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许昌市城市规划建设档案馆单位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许昌市城市规划建设档案馆</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许昌市城市规划建设档案馆</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许昌市城市规划建设档案馆于1996年5月经许昌市人民政府办公室批准成立（许政办</w:t>
      </w:r>
      <w:r>
        <w:rPr>
          <w:rFonts w:hint="eastAsia" w:ascii="仿宋_GB2312" w:eastAsia="仿宋_GB2312"/>
          <w:sz w:val="32"/>
          <w:szCs w:val="32"/>
          <w:lang w:eastAsia="zh-CN"/>
        </w:rPr>
        <w:t>〔</w:t>
      </w:r>
      <w:r>
        <w:rPr>
          <w:rFonts w:hint="eastAsia" w:ascii="仿宋_GB2312" w:eastAsia="仿宋_GB2312"/>
          <w:sz w:val="32"/>
          <w:szCs w:val="32"/>
        </w:rPr>
        <w:t>1996</w:t>
      </w:r>
      <w:r>
        <w:rPr>
          <w:rFonts w:hint="eastAsia" w:ascii="仿宋_GB2312" w:eastAsia="仿宋_GB2312"/>
          <w:sz w:val="32"/>
          <w:szCs w:val="32"/>
          <w:lang w:eastAsia="zh-CN"/>
        </w:rPr>
        <w:t>〕</w:t>
      </w:r>
      <w:r>
        <w:rPr>
          <w:rFonts w:hint="eastAsia" w:ascii="仿宋_GB2312" w:eastAsia="仿宋_GB2312"/>
          <w:sz w:val="32"/>
          <w:szCs w:val="32"/>
        </w:rPr>
        <w:t>90号），事业性质，科级规格，经费实行全额预算管理，隶属许昌市</w:t>
      </w:r>
      <w:r>
        <w:rPr>
          <w:rFonts w:hint="eastAsia" w:ascii="仿宋_GB2312" w:eastAsia="仿宋_GB2312"/>
          <w:sz w:val="32"/>
          <w:szCs w:val="32"/>
          <w:lang w:eastAsia="zh-CN"/>
        </w:rPr>
        <w:t>自然资源和规划</w:t>
      </w:r>
      <w:r>
        <w:rPr>
          <w:rFonts w:hint="eastAsia" w:ascii="仿宋_GB2312" w:eastAsia="仿宋_GB2312"/>
          <w:sz w:val="32"/>
          <w:szCs w:val="32"/>
        </w:rPr>
        <w:t>局二级机构。其主要工作职责：接收征集和保管许昌市规划区域内的具有永久、长期保管和利用价值的城市规划建设管理档案资料，并对接收进馆的档案资料进行科学分类管理，积极开发档案信息资源，为全市城市规划建设管理和社会经济发展服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b/>
          <w:bCs/>
          <w:color w:val="FF0000"/>
          <w:kern w:val="0"/>
          <w:sz w:val="32"/>
          <w:szCs w:val="32"/>
          <w:highlight w:val="none"/>
          <w:lang w:val="en-US" w:eastAsia="zh-CN"/>
        </w:rPr>
      </w:pPr>
      <w:r>
        <w:rPr>
          <w:rFonts w:hint="eastAsia" w:ascii="仿宋_GB2312" w:hAnsi="仿宋_GB2312" w:eastAsia="仿宋_GB2312" w:cs="仿宋_GB2312"/>
          <w:sz w:val="32"/>
          <w:szCs w:val="32"/>
        </w:rPr>
        <w:t>许昌市城市规划建设档案馆</w:t>
      </w:r>
      <w:r>
        <w:rPr>
          <w:rFonts w:hint="eastAsia" w:ascii="仿宋_GB2312" w:hAnsi="仿宋_GB2312" w:eastAsia="仿宋_GB2312" w:cs="仿宋_GB2312"/>
          <w:color w:val="auto"/>
          <w:kern w:val="0"/>
          <w:sz w:val="32"/>
          <w:szCs w:val="32"/>
          <w:highlight w:val="none"/>
          <w:lang w:val="en-US" w:eastAsia="zh-CN"/>
        </w:rPr>
        <w:t>内设机构1个，包括：办公室。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rPr>
        <w:t>许昌市城市规划建设档案馆</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color w:val="auto"/>
          <w:kern w:val="0"/>
          <w:sz w:val="32"/>
          <w:szCs w:val="32"/>
          <w:highlight w:val="none"/>
          <w:lang w:val="en-US" w:eastAsia="zh-CN"/>
        </w:rPr>
        <w:t>决算包括：本级决算（1个</w:t>
      </w:r>
      <w:bookmarkStart w:id="0" w:name="_GoBack"/>
      <w:bookmarkEnd w:id="0"/>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rPr>
        <w:t>许昌市城市规划建设档案馆</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ind w:firstLine="5700" w:firstLineChars="1900"/>
              <w:jc w:val="both"/>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320"/>
        <w:gridCol w:w="1320"/>
        <w:gridCol w:w="1315"/>
        <w:gridCol w:w="1315"/>
        <w:gridCol w:w="1315"/>
        <w:gridCol w:w="1315"/>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575"/>
        <w:gridCol w:w="1575"/>
        <w:gridCol w:w="1569"/>
        <w:gridCol w:w="1569"/>
        <w:gridCol w:w="1569"/>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36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9"/>
        <w:gridCol w:w="521"/>
        <w:gridCol w:w="1016"/>
        <w:gridCol w:w="3932"/>
        <w:gridCol w:w="521"/>
        <w:gridCol w:w="1146"/>
        <w:gridCol w:w="1188"/>
        <w:gridCol w:w="982"/>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6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49" w:type="dxa"/>
            <w:gridSpan w:val="5"/>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4214"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4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4214"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9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6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5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8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5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63"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3353"/>
        <w:gridCol w:w="2884"/>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7"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99" w:type="dxa"/>
            <w:gridSpan w:val="3"/>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53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9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53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4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95.40</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87"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519" w:left="1440" w:header="720" w:footer="720" w:gutter="0"/>
          <w:pgNumType w:fmt="numberInDash"/>
          <w:cols w:space="720" w:num="1"/>
          <w:docGrid w:type="lines" w:linePitch="312" w:charSpace="0"/>
        </w:sectPr>
      </w:pPr>
    </w:p>
    <w:tbl>
      <w:tblPr>
        <w:tblStyle w:val="5"/>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75"/>
        <w:gridCol w:w="841"/>
        <w:gridCol w:w="766"/>
        <w:gridCol w:w="2416"/>
        <w:gridCol w:w="749"/>
        <w:gridCol w:w="766"/>
        <w:gridCol w:w="4396"/>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79" w:type="dxa"/>
            <w:gridSpan w:val="7"/>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513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79"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513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w:t>
            </w:r>
          </w:p>
        </w:tc>
        <w:tc>
          <w:tcPr>
            <w:tcW w:w="909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1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tbl>
      <w:tblPr>
        <w:tblStyle w:val="5"/>
        <w:tblpPr w:leftFromText="180" w:rightFromText="180" w:vertAnchor="text" w:horzAnchor="page" w:tblpX="1576" w:tblpY="51"/>
        <w:tblOverlap w:val="never"/>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6"/>
        <w:gridCol w:w="1884"/>
        <w:gridCol w:w="1819"/>
        <w:gridCol w:w="1819"/>
        <w:gridCol w:w="1819"/>
        <w:gridCol w:w="1819"/>
        <w:gridCol w:w="1819"/>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02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8" w:type="dxa"/>
            <w:gridSpan w:val="4"/>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727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部门：许昌市城市规划建设档案馆</w:t>
            </w:r>
          </w:p>
        </w:tc>
        <w:tc>
          <w:tcPr>
            <w:tcW w:w="727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5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8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5"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112.93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8.76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7.2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我单位调出一人，人员经费支出相应减少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105.33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105.33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8.76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7.2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我单位调出一人，人员经费支出相应减少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lang w:val="en-US"/>
        </w:rPr>
        <w:t>1.37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我单位调出一人，人员经费支出相应减少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一般公共服务（类）支出0.58万元，占0.51%；社会保障和就业支出（类）支出14.03万元，占12.42%；卫生健康支出（类）支出2.92万元，占2.59%；城乡社区支出（类）支出95.40万元，占84.48%。</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113.18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99.78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153.13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000000"/>
          <w:sz w:val="32"/>
          <w:szCs w:val="32"/>
          <w:highlight w:val="none"/>
          <w:lang w:val="en-US" w:eastAsia="zh-CN"/>
        </w:rPr>
        <w:t>社保每年都会进行调整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000000"/>
          <w:sz w:val="32"/>
          <w:szCs w:val="32"/>
          <w:highlight w:val="none"/>
          <w:lang w:val="en-US" w:eastAsia="zh-CN"/>
        </w:rPr>
        <w:t>社保基数每年都会进行调整</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000000"/>
          <w:sz w:val="32"/>
          <w:szCs w:val="32"/>
          <w:highlight w:val="none"/>
          <w:lang w:val="en-US" w:eastAsia="zh-CN"/>
        </w:rPr>
        <w:t>社保基数每年都会进行调整</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0000FF"/>
          <w:sz w:val="32"/>
          <w:szCs w:val="32"/>
          <w:highlight w:val="none"/>
          <w:lang w:val="en-US" w:eastAsia="zh-CN"/>
        </w:rPr>
        <w:t>.</w:t>
      </w:r>
      <w:r>
        <w:rPr>
          <w:rFonts w:hint="eastAsia" w:ascii="仿宋_GB2312" w:hAnsi="仿宋_GB2312" w:eastAsia="仿宋_GB2312" w:cs="仿宋_GB2312"/>
          <w:b/>
          <w:bCs/>
          <w:color w:val="000000"/>
          <w:sz w:val="32"/>
          <w:szCs w:val="32"/>
          <w:highlight w:val="none"/>
          <w:lang w:val="en-US" w:eastAsia="zh-CN"/>
        </w:rPr>
        <w:t>城乡社区支出（类）城乡社区管理事务（款）行政运行（项）。</w:t>
      </w:r>
      <w:r>
        <w:rPr>
          <w:rFonts w:hint="eastAsia" w:ascii="仿宋_GB2312" w:hAnsi="仿宋_GB2312" w:eastAsia="仿宋_GB2312" w:cs="仿宋_GB2312"/>
          <w:color w:val="000000"/>
          <w:sz w:val="32"/>
          <w:szCs w:val="32"/>
          <w:highlight w:val="none"/>
          <w:lang w:val="en-US" w:eastAsia="zh-CN"/>
        </w:rPr>
        <w:t>年初预算为0万元，支出决算为4.47万元。决算数与年初预算数存在差异的主要原因是是人员经费支出增加。</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6．城乡社区支出（类）城乡社区规划与管理（款）城乡社区规划与管理（项）。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我单位2021年度调出一人，费用相应减少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112.93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105.1</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基本工资、津贴补贴、奖金、绩效工资、机关事业单位基本养老保险缴费、职工基本医疗保险缴费、其他社会保障缴费、住房公积金、退休费；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7.83</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办公费、咨询费、水费、邮电费、培训费、委托业务费、工会经费、福利费。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2021年度“三公”经费支出决算数与预算数不存在差异。因公出国（境）团组数0个，累计0人次。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量</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情况说明：</w:t>
      </w:r>
      <w:r>
        <w:rPr>
          <w:rFonts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年度没有政府性基金收入，也没有使用政府性基金安排的支出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sz w:val="32"/>
          <w:szCs w:val="24"/>
          <w:lang w:val="en-US"/>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许昌市城市规划建设档案馆按照《中共许昌市委 许昌市人民政府关于全面实施预算绩效管理的实施意见》（许发〔2021〕13号）文件要求，对本单位整体支出和项目支出开展全过程预算绩效管理。2021年我单位纳入预算绩效管理的支出总额为112.93万元，其中：基本支出112.93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2021年度我单位严格履行预算绩效管理主体责任，以绩效目标为导向，做好绩效运行监控，提升绩效自评质量。为确保绩效评价工作顺利开展，我单位进一步加强制度建设，提升自评质量，使绩效管理取得新成效。一是我馆进一步明确了对绩效考核工作的目标，使我单位的各项工作有标准、有措施的稳步开展，并及时报送相关绩效目标。二是不断加强过程监控，对基本支出采取半年报方式监控整体绩效运行信息。三是健全绩效管理工作机制，明确职责分工，积极参加财政部门组织的专题培训，提高单位自身绩效管理工作水平。四是加强宣传，树立全单位绩效管理理念，进一步增强支出责任和效率意识，全面加强预算管理优化资源配置，提高资金使用绩效和科学精细化管理水平，提升工作执行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城市规划建设档案馆对本单位整体绩效目标和项目支出绩效目标进行了自评。一是许昌市城市规划建设档案馆整体绩效自评情况，全年接收、管理并向社会提供城市规划、审批档案资料；对建设工程竣工项目竣工档案指导、审核、接收，并出具城建档案验收意见，依法全面履行城建档案馆职责，较圆满</w:t>
      </w:r>
      <w:r>
        <w:rPr>
          <w:rFonts w:hint="eastAsia" w:ascii="仿宋_GB2312" w:hAnsi="仿宋_GB2312" w:eastAsia="仿宋_GB2312" w:cs="仿宋_GB2312"/>
          <w:sz w:val="32"/>
          <w:szCs w:val="32"/>
          <w:lang w:val="en-US" w:eastAsia="zh-CN"/>
        </w:rPr>
        <w:t>完成了档案管理工作的年度总体目标</w:t>
      </w:r>
      <w:r>
        <w:rPr>
          <w:rFonts w:hint="eastAsia" w:ascii="仿宋_GB2312" w:hAnsi="仿宋_GB2312" w:eastAsia="仿宋_GB2312" w:cs="仿宋_GB2312"/>
          <w:color w:val="auto"/>
          <w:sz w:val="32"/>
          <w:szCs w:val="32"/>
          <w:highlight w:val="none"/>
          <w:lang w:val="en-US" w:eastAsia="zh-CN"/>
        </w:rPr>
        <w:t>。二是项目绩效自评情况。许昌市城市规划建设档案馆共有0个项目批复了绩效目标，项目金额0万元。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r>
        <w:rPr>
          <w:rFonts w:hint="eastAsia" w:ascii="仿宋_GB2312" w:hAnsi="仿宋_GB2312" w:eastAsia="仿宋_GB2312" w:cs="仿宋_GB2312"/>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NDM0OGFkZjk1NDhiMWVmMDZlMDU2YTVmNzdkOT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337F8"/>
    <w:rsid w:val="01DC6F05"/>
    <w:rsid w:val="02A3489A"/>
    <w:rsid w:val="02CA138D"/>
    <w:rsid w:val="03116244"/>
    <w:rsid w:val="033646FC"/>
    <w:rsid w:val="03C75F80"/>
    <w:rsid w:val="03D60903"/>
    <w:rsid w:val="0478364D"/>
    <w:rsid w:val="05337065"/>
    <w:rsid w:val="053D4C0D"/>
    <w:rsid w:val="0557532E"/>
    <w:rsid w:val="05F60F2F"/>
    <w:rsid w:val="07230354"/>
    <w:rsid w:val="0799329C"/>
    <w:rsid w:val="08397436"/>
    <w:rsid w:val="086F16A7"/>
    <w:rsid w:val="0A0F7225"/>
    <w:rsid w:val="0A2B7D82"/>
    <w:rsid w:val="0A42370D"/>
    <w:rsid w:val="0AA1691D"/>
    <w:rsid w:val="0ADC40E9"/>
    <w:rsid w:val="0AE607F4"/>
    <w:rsid w:val="0B386127"/>
    <w:rsid w:val="0B451598"/>
    <w:rsid w:val="0BEC73F4"/>
    <w:rsid w:val="0C392698"/>
    <w:rsid w:val="0CA710DF"/>
    <w:rsid w:val="0D727575"/>
    <w:rsid w:val="0F785D3B"/>
    <w:rsid w:val="10BD36F6"/>
    <w:rsid w:val="11332131"/>
    <w:rsid w:val="11BF0649"/>
    <w:rsid w:val="123E3E08"/>
    <w:rsid w:val="12E2295F"/>
    <w:rsid w:val="133212F4"/>
    <w:rsid w:val="13D22E22"/>
    <w:rsid w:val="141C208A"/>
    <w:rsid w:val="156C0326"/>
    <w:rsid w:val="15C20D9A"/>
    <w:rsid w:val="161C2DFF"/>
    <w:rsid w:val="16373578"/>
    <w:rsid w:val="16D3336B"/>
    <w:rsid w:val="17200028"/>
    <w:rsid w:val="17214184"/>
    <w:rsid w:val="17806C36"/>
    <w:rsid w:val="17A74F62"/>
    <w:rsid w:val="180718E4"/>
    <w:rsid w:val="18A47774"/>
    <w:rsid w:val="18AE08B2"/>
    <w:rsid w:val="19045B0B"/>
    <w:rsid w:val="1A8D28EB"/>
    <w:rsid w:val="1A9F2D78"/>
    <w:rsid w:val="1AF20D68"/>
    <w:rsid w:val="1B2E6FD8"/>
    <w:rsid w:val="1B877D21"/>
    <w:rsid w:val="1BC60A26"/>
    <w:rsid w:val="1BD04010"/>
    <w:rsid w:val="1C4319A9"/>
    <w:rsid w:val="1C724FE6"/>
    <w:rsid w:val="1D52543E"/>
    <w:rsid w:val="1E14234D"/>
    <w:rsid w:val="1E443B4B"/>
    <w:rsid w:val="1E994F4A"/>
    <w:rsid w:val="1EAF0224"/>
    <w:rsid w:val="1EFF32AD"/>
    <w:rsid w:val="1F2230A4"/>
    <w:rsid w:val="1F2C47BF"/>
    <w:rsid w:val="20210932"/>
    <w:rsid w:val="202448E0"/>
    <w:rsid w:val="20F614FE"/>
    <w:rsid w:val="21302EEA"/>
    <w:rsid w:val="219C3A6F"/>
    <w:rsid w:val="22376FB5"/>
    <w:rsid w:val="239D7A62"/>
    <w:rsid w:val="23E152D7"/>
    <w:rsid w:val="23EE2489"/>
    <w:rsid w:val="25356C6E"/>
    <w:rsid w:val="255D43C8"/>
    <w:rsid w:val="26714EF8"/>
    <w:rsid w:val="26876BDD"/>
    <w:rsid w:val="2714632A"/>
    <w:rsid w:val="27541E73"/>
    <w:rsid w:val="27B0539E"/>
    <w:rsid w:val="29365CF8"/>
    <w:rsid w:val="299469B3"/>
    <w:rsid w:val="2A805789"/>
    <w:rsid w:val="2ADC0D75"/>
    <w:rsid w:val="2B4A0E52"/>
    <w:rsid w:val="2C752B50"/>
    <w:rsid w:val="2C975890"/>
    <w:rsid w:val="2CBC077F"/>
    <w:rsid w:val="2DD43B61"/>
    <w:rsid w:val="2DEF21BB"/>
    <w:rsid w:val="2E4A2F05"/>
    <w:rsid w:val="2E8F6D9B"/>
    <w:rsid w:val="2ECC1061"/>
    <w:rsid w:val="2FA476AD"/>
    <w:rsid w:val="303F7540"/>
    <w:rsid w:val="30E57B25"/>
    <w:rsid w:val="31DD00BF"/>
    <w:rsid w:val="3293174C"/>
    <w:rsid w:val="32BB38D4"/>
    <w:rsid w:val="32C9376D"/>
    <w:rsid w:val="33780472"/>
    <w:rsid w:val="33AF0905"/>
    <w:rsid w:val="345360B7"/>
    <w:rsid w:val="355932F4"/>
    <w:rsid w:val="35611882"/>
    <w:rsid w:val="35E13004"/>
    <w:rsid w:val="360033E2"/>
    <w:rsid w:val="36712FCE"/>
    <w:rsid w:val="36746FC3"/>
    <w:rsid w:val="368763AE"/>
    <w:rsid w:val="36BC13F6"/>
    <w:rsid w:val="36E508DC"/>
    <w:rsid w:val="371D4697"/>
    <w:rsid w:val="3760383F"/>
    <w:rsid w:val="395D59E7"/>
    <w:rsid w:val="39745F9B"/>
    <w:rsid w:val="39A93932"/>
    <w:rsid w:val="3A915562"/>
    <w:rsid w:val="3B014914"/>
    <w:rsid w:val="3B8D4765"/>
    <w:rsid w:val="3BCA0B99"/>
    <w:rsid w:val="3C000DBA"/>
    <w:rsid w:val="3C772EA8"/>
    <w:rsid w:val="3CA41FC9"/>
    <w:rsid w:val="3DC045D3"/>
    <w:rsid w:val="3E504FFB"/>
    <w:rsid w:val="3E615CD0"/>
    <w:rsid w:val="3E9C47F6"/>
    <w:rsid w:val="3F8073EA"/>
    <w:rsid w:val="3F8B0112"/>
    <w:rsid w:val="3FAB3095"/>
    <w:rsid w:val="3FE45947"/>
    <w:rsid w:val="41242965"/>
    <w:rsid w:val="435671EA"/>
    <w:rsid w:val="436C03B1"/>
    <w:rsid w:val="4387106A"/>
    <w:rsid w:val="440809E9"/>
    <w:rsid w:val="442407A6"/>
    <w:rsid w:val="44805EA1"/>
    <w:rsid w:val="45710696"/>
    <w:rsid w:val="46007B33"/>
    <w:rsid w:val="46142B1B"/>
    <w:rsid w:val="47491B0E"/>
    <w:rsid w:val="47E60DD0"/>
    <w:rsid w:val="48735039"/>
    <w:rsid w:val="48D22B98"/>
    <w:rsid w:val="492C684B"/>
    <w:rsid w:val="49500594"/>
    <w:rsid w:val="49E7604E"/>
    <w:rsid w:val="4A0554BE"/>
    <w:rsid w:val="4BF67CDD"/>
    <w:rsid w:val="4CF06098"/>
    <w:rsid w:val="4D173441"/>
    <w:rsid w:val="4D255D1B"/>
    <w:rsid w:val="4D577109"/>
    <w:rsid w:val="4D603DD6"/>
    <w:rsid w:val="4E1F4272"/>
    <w:rsid w:val="4E373824"/>
    <w:rsid w:val="4EBF010F"/>
    <w:rsid w:val="4F471EB0"/>
    <w:rsid w:val="4FBE8D43"/>
    <w:rsid w:val="505502B4"/>
    <w:rsid w:val="51331326"/>
    <w:rsid w:val="51740A7F"/>
    <w:rsid w:val="51A5541E"/>
    <w:rsid w:val="51C96242"/>
    <w:rsid w:val="51D22022"/>
    <w:rsid w:val="53906AE1"/>
    <w:rsid w:val="53D51AEE"/>
    <w:rsid w:val="545F32AC"/>
    <w:rsid w:val="54C46067"/>
    <w:rsid w:val="54F46F60"/>
    <w:rsid w:val="55A37BEA"/>
    <w:rsid w:val="56362CD2"/>
    <w:rsid w:val="56B440F1"/>
    <w:rsid w:val="57384B5F"/>
    <w:rsid w:val="5778214B"/>
    <w:rsid w:val="5784687B"/>
    <w:rsid w:val="57846959"/>
    <w:rsid w:val="578E6A87"/>
    <w:rsid w:val="5797D419"/>
    <w:rsid w:val="5A1C4BCA"/>
    <w:rsid w:val="5A3B1D40"/>
    <w:rsid w:val="5AC2203A"/>
    <w:rsid w:val="5AC543DA"/>
    <w:rsid w:val="5ACC129A"/>
    <w:rsid w:val="5AF13563"/>
    <w:rsid w:val="5B2A4E72"/>
    <w:rsid w:val="5BA760E1"/>
    <w:rsid w:val="5BD42B40"/>
    <w:rsid w:val="5BD735D5"/>
    <w:rsid w:val="5CBB3334"/>
    <w:rsid w:val="5D115FAF"/>
    <w:rsid w:val="5F2C78D9"/>
    <w:rsid w:val="5F9E394C"/>
    <w:rsid w:val="5FFFD021"/>
    <w:rsid w:val="600C32B1"/>
    <w:rsid w:val="61A409C1"/>
    <w:rsid w:val="62811722"/>
    <w:rsid w:val="62E75A72"/>
    <w:rsid w:val="64447139"/>
    <w:rsid w:val="64571880"/>
    <w:rsid w:val="649125B6"/>
    <w:rsid w:val="652F4C1A"/>
    <w:rsid w:val="65670581"/>
    <w:rsid w:val="666D37F1"/>
    <w:rsid w:val="67087D8F"/>
    <w:rsid w:val="671F687E"/>
    <w:rsid w:val="672F39F1"/>
    <w:rsid w:val="67490214"/>
    <w:rsid w:val="676353B3"/>
    <w:rsid w:val="67F415F8"/>
    <w:rsid w:val="682640D1"/>
    <w:rsid w:val="684B73E5"/>
    <w:rsid w:val="69FF787E"/>
    <w:rsid w:val="6A047A2A"/>
    <w:rsid w:val="6A2353D4"/>
    <w:rsid w:val="6A2C0664"/>
    <w:rsid w:val="6A3070ED"/>
    <w:rsid w:val="6A591573"/>
    <w:rsid w:val="6C465394"/>
    <w:rsid w:val="6C696E6C"/>
    <w:rsid w:val="6CC878AB"/>
    <w:rsid w:val="6D233F0B"/>
    <w:rsid w:val="6EFB7548"/>
    <w:rsid w:val="6F3831C3"/>
    <w:rsid w:val="6F8B71C1"/>
    <w:rsid w:val="6F932245"/>
    <w:rsid w:val="6FBA385D"/>
    <w:rsid w:val="70753482"/>
    <w:rsid w:val="707B522A"/>
    <w:rsid w:val="73194D05"/>
    <w:rsid w:val="73A83B0E"/>
    <w:rsid w:val="744D3EF9"/>
    <w:rsid w:val="74794411"/>
    <w:rsid w:val="75867C40"/>
    <w:rsid w:val="75B10B26"/>
    <w:rsid w:val="76432199"/>
    <w:rsid w:val="76F44829"/>
    <w:rsid w:val="77A267C0"/>
    <w:rsid w:val="77D95376"/>
    <w:rsid w:val="78882278"/>
    <w:rsid w:val="78B118A6"/>
    <w:rsid w:val="79135044"/>
    <w:rsid w:val="7A7D0F99"/>
    <w:rsid w:val="7B39786C"/>
    <w:rsid w:val="7B4C03B4"/>
    <w:rsid w:val="7C8376E8"/>
    <w:rsid w:val="7CBC0D5A"/>
    <w:rsid w:val="7E4A0E7C"/>
    <w:rsid w:val="7EBE016A"/>
    <w:rsid w:val="7EE20ECF"/>
    <w:rsid w:val="7EFD449D"/>
    <w:rsid w:val="7F583CF0"/>
    <w:rsid w:val="B8A772F1"/>
    <w:rsid w:val="FCDC0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8118</Words>
  <Characters>9571</Characters>
  <Lines>60</Lines>
  <Paragraphs>16</Paragraphs>
  <TotalTime>37</TotalTime>
  <ScaleCrop>false</ScaleCrop>
  <LinksUpToDate>false</LinksUpToDate>
  <CharactersWithSpaces>9790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水里的鱼</cp:lastModifiedBy>
  <cp:lastPrinted>2023-02-21T14:44:00Z</cp:lastPrinted>
  <dcterms:modified xsi:type="dcterms:W3CDTF">2023-05-09T02:39:09Z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374B448FC5E7453DB437AFE64C7B0860</vt:lpwstr>
  </property>
</Properties>
</file>