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许昌市城市管理执法支队单位决算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许昌市城市管理执法支队概况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许昌市城市管理执法支队</w:t>
      </w: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bCs/>
          <w:sz w:val="32"/>
          <w:szCs w:val="32"/>
        </w:rPr>
        <w:t>单位职责</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(一）负责全市城市管理综合执法的统筹协调、组织调度和监督考核，负责市级承担的城市管理综合执法事项、跨区域及重大复杂违法违规案件的查纠。</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(二）住房城乡建设领域法律法规规章规定的全部行政处罚权（含市容市貌管理方面的行政处罚权）；</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(三）环境保护管理方面社会噪声污染、建筑施工噪声污染、建筑施工扬尘污染、餐饮服务业油烟污染、露天烧烤污染、城市焚烧沥青塑料垃圾等烟尘和恶臭污染、露天焚烧秸秆落叶等烟尘污染的行政处罚权；</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(四）工商管理方面户外公共场所无照经营、违规设置户外广告的行政处罚权；</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(五）食品药品监管方面户外公共场所食品销售和餐饮摊点无证经营的行政处罚权。</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许昌市城市管理执法支队内设机构11个，包括：</w:t>
      </w:r>
      <w:r>
        <w:rPr>
          <w:rFonts w:hint="eastAsia" w:ascii="仿宋_GB2312" w:hAnsi="宋体" w:eastAsia="仿宋_GB2312"/>
          <w:sz w:val="32"/>
          <w:szCs w:val="32"/>
        </w:rPr>
        <w:t>7个执法大队和</w:t>
      </w:r>
      <w:r>
        <w:rPr>
          <w:rFonts w:hint="eastAsia" w:ascii="仿宋_GB2312" w:hAnsi="仿宋_GB2312" w:eastAsia="仿宋_GB2312" w:cs="仿宋_GB2312"/>
          <w:sz w:val="32"/>
          <w:szCs w:val="32"/>
        </w:rPr>
        <w:t>4个科室，具体是市容执法一大队、市容执法二大队、市容执法三大队、城市空间管理执法大队、住房建设执法大队、城乡规划执法大队、固体废弃物与园林绿化执法大队7个大队和</w:t>
      </w:r>
      <w:r>
        <w:rPr>
          <w:rFonts w:hint="eastAsia" w:ascii="仿宋_GB2312" w:hAnsi="宋体" w:eastAsia="仿宋_GB2312"/>
          <w:sz w:val="32"/>
          <w:szCs w:val="32"/>
        </w:rPr>
        <w:t>综合科、法制审核科、督查应急科、计财装备科4个科室。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从决算单位构成看，许昌市城市管理执法支队单位决算包括：本级决算</w:t>
      </w:r>
      <w:r>
        <w:rPr>
          <w:rFonts w:hint="eastAsia" w:ascii="仿宋_GB2312" w:hAnsi="仿宋_GB2312" w:eastAsia="仿宋_GB2312" w:cs="仿宋_GB2312"/>
          <w:sz w:val="32"/>
          <w:szCs w:val="32"/>
        </w:rPr>
        <w:t>(1个)。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许昌市城市管理执法支队</w:t>
      </w: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第二部分  2021年度单位决算表</w:t>
      </w:r>
    </w:p>
    <w:tbl>
      <w:tblPr>
        <w:tblStyle w:val="6"/>
        <w:tblW w:w="14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93"/>
        <w:gridCol w:w="894"/>
        <w:gridCol w:w="1494"/>
        <w:gridCol w:w="4194"/>
        <w:gridCol w:w="894"/>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4065" w:type="dxa"/>
            <w:gridSpan w:val="6"/>
            <w:tcBorders>
              <w:top w:val="nil"/>
              <w:left w:val="nil"/>
              <w:bottom w:val="nil"/>
              <w:right w:val="nil"/>
            </w:tcBorders>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75" w:type="dxa"/>
            <w:gridSpan w:val="4"/>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2390"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75" w:type="dxa"/>
            <w:gridSpan w:val="4"/>
            <w:vMerge w:val="continue"/>
            <w:tcBorders>
              <w:top w:val="nil"/>
              <w:left w:val="nil"/>
              <w:bottom w:val="nil"/>
              <w:right w:val="nil"/>
            </w:tcBorders>
            <w:vAlign w:val="bottom"/>
          </w:tcPr>
          <w:p>
            <w:pPr>
              <w:jc w:val="left"/>
              <w:rPr>
                <w:rFonts w:ascii="宋体" w:hAnsi="宋体" w:cs="宋体"/>
                <w:color w:val="000000"/>
                <w:sz w:val="20"/>
                <w:szCs w:val="20"/>
              </w:rPr>
            </w:pPr>
          </w:p>
        </w:tc>
        <w:tc>
          <w:tcPr>
            <w:tcW w:w="2390"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8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658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4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41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49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894"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894"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9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一、一般公共预算财政拨款收入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9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3,088.42</w:t>
            </w: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一、一般公共服务支出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二、政府性基金预算财政拨款收入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二、外交支出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三、国有资本经营预算财政拨款收入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三、国防支出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四、上级补助收入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四、公共安全支出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五、事业收入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五、教育支出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六、经营收入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六、科学技术支出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七、附属单位上缴收入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七、文化旅游体育与传媒支出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八、其他收入</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49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0.25</w:t>
            </w: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八、社会保障和就业支出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九、卫生健康支出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十、节能环保支出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十一、城乡社区支出</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3,268.24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本年收入合计</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49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3,088.67</w:t>
            </w:r>
          </w:p>
        </w:tc>
        <w:tc>
          <w:tcPr>
            <w:tcW w:w="41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本年支出合计</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3,835.25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使用非财政拨款结余</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49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42.62</w:t>
            </w: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结余分配</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149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年初结转和结余</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49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704.39</w:t>
            </w:r>
          </w:p>
        </w:tc>
        <w:tc>
          <w:tcPr>
            <w:tcW w:w="419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年末结转和结余</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3"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4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4194"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1496"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9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894" w:type="dxa"/>
            <w:tcBorders>
              <w:top w:val="nil"/>
              <w:left w:val="nil"/>
              <w:bottom w:val="single" w:color="000000" w:sz="8"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49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3,835.68</w:t>
            </w:r>
          </w:p>
        </w:tc>
        <w:tc>
          <w:tcPr>
            <w:tcW w:w="41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8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14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3,835.68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65" w:type="dxa"/>
            <w:gridSpan w:val="6"/>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注：本表反映单位本年度的总收支和年末结转结余情况。本表金额转换为万元时，因四舍五入可能存在尾差。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65" w:type="dxa"/>
            <w:gridSpan w:val="6"/>
            <w:tcBorders>
              <w:top w:val="nil"/>
              <w:left w:val="nil"/>
              <w:bottom w:val="nil"/>
              <w:right w:val="nil"/>
            </w:tcBorders>
            <w:vAlign w:val="center"/>
          </w:tcPr>
          <w:p>
            <w:pPr>
              <w:widowControl/>
              <w:jc w:val="left"/>
              <w:textAlignment w:val="center"/>
              <w:rPr>
                <w:rFonts w:ascii="宋体" w:hAnsi="宋体" w:cs="宋体"/>
                <w:color w:val="000000"/>
                <w:kern w:val="0"/>
                <w:sz w:val="20"/>
                <w:szCs w:val="20"/>
              </w:rPr>
            </w:pPr>
          </w:p>
        </w:tc>
      </w:tr>
    </w:tbl>
    <w:p>
      <w:pPr>
        <w:autoSpaceDN w:val="0"/>
        <w:textAlignment w:val="cente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422"/>
        <w:gridCol w:w="1455"/>
        <w:gridCol w:w="1457"/>
        <w:gridCol w:w="975"/>
        <w:gridCol w:w="1035"/>
        <w:gridCol w:w="1697"/>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5" w:type="dxa"/>
            <w:gridSpan w:val="9"/>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95" w:type="dxa"/>
            <w:gridSpan w:val="9"/>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90" w:type="dxa"/>
            <w:gridSpan w:val="7"/>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2605"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42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45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45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9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0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9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9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2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5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5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3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9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0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2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5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5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3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9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0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2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5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5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3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9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0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2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5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5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03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9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90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3,088.67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3,088.42</w:t>
            </w:r>
          </w:p>
        </w:tc>
        <w:tc>
          <w:tcPr>
            <w:tcW w:w="1457"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90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一般公共服务支出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人大事务</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2010101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行政运行</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20129</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群众团体事务</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2012906</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工会事务</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社会保障和就业支出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299.74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299.74</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行政事业单位养老支出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271.87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271.87</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行政单位离退休</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155.83</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155.83</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2080505</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机关事业单位基本养老保险缴费支出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116.04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116.04</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20808</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抚恤</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2080801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死亡抚恤</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卫生健康支出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108.92</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108.92</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行政事业单位医疗</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108.92</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108.92</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行政单位医疗</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59.30</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59.30</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2101103</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公务员医疗补助</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49.62</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49.62</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城乡社区支出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2,635.36</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2,635.11</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城乡社区管理事务</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2,635.36</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2,635.11</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行政运行</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2,143.18</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2,142.93</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2120102</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一般行政管理事务</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482.84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482.84</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2120199</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其他城乡社区管理事务支出</w:t>
            </w:r>
          </w:p>
        </w:tc>
        <w:tc>
          <w:tcPr>
            <w:tcW w:w="142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9.34</w:t>
            </w:r>
          </w:p>
        </w:tc>
        <w:tc>
          <w:tcPr>
            <w:tcW w:w="14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9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0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95"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0"/>
                <w:szCs w:val="20"/>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6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605"/>
        <w:gridCol w:w="1680"/>
        <w:gridCol w:w="1545"/>
        <w:gridCol w:w="1665"/>
        <w:gridCol w:w="1294"/>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685" w:type="dxa"/>
            <w:gridSpan w:val="8"/>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735" w:type="dxa"/>
            <w:gridSpan w:val="7"/>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1950" w:type="dxa"/>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735" w:type="dxa"/>
            <w:gridSpan w:val="7"/>
            <w:vMerge w:val="continue"/>
            <w:tcBorders>
              <w:top w:val="nil"/>
              <w:left w:val="nil"/>
              <w:bottom w:val="nil"/>
              <w:right w:val="nil"/>
            </w:tcBorders>
            <w:vAlign w:val="bottom"/>
          </w:tcPr>
          <w:p>
            <w:pPr>
              <w:jc w:val="left"/>
              <w:rPr>
                <w:rFonts w:ascii="宋体" w:hAnsi="宋体" w:cs="宋体"/>
                <w:color w:val="000000"/>
                <w:sz w:val="20"/>
                <w:szCs w:val="20"/>
              </w:rPr>
            </w:pPr>
          </w:p>
        </w:tc>
        <w:tc>
          <w:tcPr>
            <w:tcW w:w="1950" w:type="dxa"/>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6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6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6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6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3,835.25</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2,813.53</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1,021.71</w:t>
            </w:r>
          </w:p>
        </w:tc>
        <w:tc>
          <w:tcPr>
            <w:tcW w:w="1665"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一般公共服务支出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人大事务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2010101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行政运行</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20129</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群众团体事务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2012906</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工会事务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社会保障和就业支出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行政事业单位养老支出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288.18</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288.18</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行政单位离退休</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157.74</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157.74</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2080505</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机关事业单位基本养老保险缴费支出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130.44</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130.44</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20808</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抚恤</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2080801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死亡抚恤</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卫生健康支出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行政事业单位医疗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60.93</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60.93</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2101102</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事业单位医疗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2101103</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公务员医疗补助</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65.26</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65.26</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节能环保支出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6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21103</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污染防治</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6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2110301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大气</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6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城乡社区支出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3,268.24</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2,326.63</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941.61</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城乡社区管理事务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3,268.24</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2,326.63</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941.61</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2120101</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行政运行</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2,326.60</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2,326.60</w:t>
            </w:r>
          </w:p>
        </w:tc>
        <w:tc>
          <w:tcPr>
            <w:tcW w:w="15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2120102</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一般行政管理事务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932.27</w:t>
            </w:r>
          </w:p>
        </w:tc>
        <w:tc>
          <w:tcPr>
            <w:tcW w:w="16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932.27</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2120199</w:t>
            </w:r>
          </w:p>
        </w:tc>
        <w:tc>
          <w:tcPr>
            <w:tcW w:w="3956"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其他城乡社区管理事务支出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9.37</w:t>
            </w:r>
          </w:p>
        </w:tc>
        <w:tc>
          <w:tcPr>
            <w:tcW w:w="16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0.03</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9.34</w:t>
            </w:r>
          </w:p>
        </w:tc>
        <w:tc>
          <w:tcPr>
            <w:tcW w:w="16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9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5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5" w:type="dxa"/>
            <w:gridSpan w:val="8"/>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注：本表反映单位本年度各项支出情况。本表金额转换为万元时，因四舍五入可能存在尾差。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6"/>
        <w:tblW w:w="141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7"/>
        <w:gridCol w:w="564"/>
        <w:gridCol w:w="1303"/>
        <w:gridCol w:w="3464"/>
        <w:gridCol w:w="564"/>
        <w:gridCol w:w="1228"/>
        <w:gridCol w:w="1387"/>
        <w:gridCol w:w="1068"/>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45" w:type="dxa"/>
            <w:gridSpan w:val="9"/>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957" w:type="dxa"/>
            <w:gridSpan w:val="7"/>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2188"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957" w:type="dxa"/>
            <w:gridSpan w:val="7"/>
            <w:vMerge w:val="continue"/>
            <w:tcBorders>
              <w:top w:val="nil"/>
              <w:left w:val="nil"/>
              <w:bottom w:val="nil"/>
              <w:right w:val="nil"/>
            </w:tcBorders>
            <w:vAlign w:val="bottom"/>
          </w:tcPr>
          <w:p>
            <w:pPr>
              <w:jc w:val="left"/>
              <w:rPr>
                <w:rFonts w:ascii="宋体" w:hAnsi="宋体" w:cs="宋体"/>
                <w:color w:val="000000"/>
                <w:sz w:val="20"/>
                <w:szCs w:val="20"/>
              </w:rPr>
            </w:pPr>
          </w:p>
        </w:tc>
        <w:tc>
          <w:tcPr>
            <w:tcW w:w="2188"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     入</w:t>
            </w:r>
          </w:p>
        </w:tc>
        <w:tc>
          <w:tcPr>
            <w:tcW w:w="883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4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56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30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46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56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2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38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06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47"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56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0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346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56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2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8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6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2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564"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0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564"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2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3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一、一般公共预算财政拨款</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3,088.42</w:t>
            </w: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一、一般公共服务支出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二、政府性基金预算财政拨款</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二、外交支出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三、国有资本经营财政拨款</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三、国防支出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四、公共安全支出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五、教育支出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六、科学技术支出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七、文化旅游体育与传媒支出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八、社会保障和就业支出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九、卫生健康支出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十、节能环保支出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十一、城乡社区支出</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3,225.62</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3,225.62</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本年收入合计</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3,088.42</w:t>
            </w:r>
          </w:p>
        </w:tc>
        <w:tc>
          <w:tcPr>
            <w:tcW w:w="34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本年支出合计</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3,792.63</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3,792.63</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年初财政拨款结转和结余</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704.21</w:t>
            </w: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年末财政拨款结转和结余</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一般公共预算财政拨款</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704.21</w:t>
            </w:r>
          </w:p>
        </w:tc>
        <w:tc>
          <w:tcPr>
            <w:tcW w:w="346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政府性基金预算财政拨款</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国有资本经营预算财政拨款</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30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464"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122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564" w:type="dxa"/>
            <w:tcBorders>
              <w:top w:val="nil"/>
              <w:left w:val="nil"/>
              <w:bottom w:val="single" w:color="000000" w:sz="8"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3,792.63</w:t>
            </w:r>
          </w:p>
        </w:tc>
        <w:tc>
          <w:tcPr>
            <w:tcW w:w="34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5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22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3,792.63</w:t>
            </w:r>
          </w:p>
        </w:tc>
        <w:tc>
          <w:tcPr>
            <w:tcW w:w="138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3,792.63</w:t>
            </w:r>
          </w:p>
        </w:tc>
        <w:tc>
          <w:tcPr>
            <w:tcW w:w="106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45" w:type="dxa"/>
            <w:gridSpan w:val="9"/>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3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3"/>
        <w:gridCol w:w="5058"/>
        <w:gridCol w:w="2489"/>
        <w:gridCol w:w="2613"/>
        <w:gridCol w:w="2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85" w:type="dxa"/>
            <w:gridSpan w:val="5"/>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23" w:type="dxa"/>
            <w:gridSpan w:val="4"/>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2962" w:type="dxa"/>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23" w:type="dxa"/>
            <w:gridSpan w:val="4"/>
            <w:vMerge w:val="continue"/>
            <w:tcBorders>
              <w:top w:val="nil"/>
              <w:left w:val="nil"/>
              <w:bottom w:val="nil"/>
              <w:right w:val="nil"/>
            </w:tcBorders>
            <w:vAlign w:val="bottom"/>
          </w:tcPr>
          <w:p>
            <w:pPr>
              <w:jc w:val="left"/>
              <w:rPr>
                <w:rFonts w:ascii="宋体" w:hAnsi="宋体" w:cs="宋体"/>
                <w:color w:val="000000"/>
                <w:sz w:val="20"/>
                <w:szCs w:val="20"/>
              </w:rPr>
            </w:pPr>
          </w:p>
        </w:tc>
        <w:tc>
          <w:tcPr>
            <w:tcW w:w="2962" w:type="dxa"/>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806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505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248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261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296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505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48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61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96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505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48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61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96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32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248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61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296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632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3,792.63</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2,770.92</w:t>
            </w: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1,021.71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一般公共服务支出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44.65</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人大事务</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2010101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行政运行</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33.67</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20129</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群众团体事务</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2012906</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工会事务</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社会保障和就业支出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316.05</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行政事业单位养老支出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288.18</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288.18</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行政单位离退休</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157.74</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157.74</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2080505</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机关事业单位基本养老保险缴费支出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130.44</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130.44</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20808</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抚恤</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2080801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死亡抚恤</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卫生健康支出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行政事业单位医疗</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126.20</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行政单位医疗</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60.93</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60.93</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2101102</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事业单位医疗</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2101103</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公务员医疗补助</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65.26</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65.26</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节能环保支出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261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21103</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污染防治</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261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2110301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大气</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c>
          <w:tcPr>
            <w:tcW w:w="261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城乡社区支出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3,225.62</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2,284.01</w:t>
            </w: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941.61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城乡社区管理事务</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3,225.62</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2,284.01</w:t>
            </w: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941.61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2120101</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行政运行</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2,283.98</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2,283.98</w:t>
            </w:r>
          </w:p>
        </w:tc>
        <w:tc>
          <w:tcPr>
            <w:tcW w:w="29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2120102</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一般行政管理事务</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932.27</w:t>
            </w:r>
          </w:p>
        </w:tc>
        <w:tc>
          <w:tcPr>
            <w:tcW w:w="261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2120199</w:t>
            </w:r>
          </w:p>
        </w:tc>
        <w:tc>
          <w:tcPr>
            <w:tcW w:w="5058"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其他城乡社区管理事务支出</w:t>
            </w:r>
          </w:p>
        </w:tc>
        <w:tc>
          <w:tcPr>
            <w:tcW w:w="248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9.37</w:t>
            </w:r>
          </w:p>
        </w:tc>
        <w:tc>
          <w:tcPr>
            <w:tcW w:w="261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0.03</w:t>
            </w:r>
          </w:p>
        </w:tc>
        <w:tc>
          <w:tcPr>
            <w:tcW w:w="296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385" w:type="dxa"/>
            <w:gridSpan w:val="5"/>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2900"/>
        <w:gridCol w:w="1357"/>
        <w:gridCol w:w="777"/>
        <w:gridCol w:w="1945"/>
        <w:gridCol w:w="938"/>
        <w:gridCol w:w="983"/>
        <w:gridCol w:w="2667"/>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28" w:type="dxa"/>
            <w:gridSpan w:val="9"/>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94" w:type="dxa"/>
            <w:gridSpan w:val="7"/>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3734" w:type="dxa"/>
            <w:gridSpan w:val="2"/>
            <w:tcBorders>
              <w:top w:val="nil"/>
              <w:left w:val="nil"/>
              <w:bottom w:val="nil"/>
              <w:right w:val="nil"/>
            </w:tcBorders>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94" w:type="dxa"/>
            <w:gridSpan w:val="7"/>
            <w:vMerge w:val="continue"/>
            <w:tcBorders>
              <w:top w:val="nil"/>
              <w:left w:val="nil"/>
              <w:bottom w:val="nil"/>
              <w:right w:val="nil"/>
            </w:tcBorders>
            <w:vAlign w:val="bottom"/>
          </w:tcPr>
          <w:p>
            <w:pPr>
              <w:jc w:val="left"/>
              <w:rPr>
                <w:rFonts w:ascii="宋体" w:hAnsi="宋体" w:cs="宋体"/>
                <w:color w:val="000000"/>
                <w:sz w:val="20"/>
                <w:szCs w:val="20"/>
              </w:rPr>
            </w:pPr>
          </w:p>
        </w:tc>
        <w:tc>
          <w:tcPr>
            <w:tcW w:w="3734" w:type="dxa"/>
            <w:gridSpan w:val="2"/>
            <w:tcBorders>
              <w:top w:val="nil"/>
              <w:left w:val="nil"/>
              <w:bottom w:val="nil"/>
              <w:right w:val="nil"/>
            </w:tcBorders>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w:t>
            </w:r>
          </w:p>
        </w:tc>
        <w:tc>
          <w:tcPr>
            <w:tcW w:w="837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9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35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77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94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98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66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06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4"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9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5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77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3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8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66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6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工资福利支出</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2,255.24</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商品和服务支出</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319.54</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债务利息及费用支出</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基本工资</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530.66</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办公费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26.53</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国内债务付息</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津贴补贴</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1,215.43</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印刷费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13.49</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国外债务付息</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奖金</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120.76</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咨询费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资本性支出</w:t>
            </w:r>
          </w:p>
        </w:tc>
        <w:tc>
          <w:tcPr>
            <w:tcW w:w="106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伙食补助费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手续费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房屋建筑物购建</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绩效工资</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水费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0.09</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办公设备购置</w:t>
            </w:r>
          </w:p>
        </w:tc>
        <w:tc>
          <w:tcPr>
            <w:tcW w:w="106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机关事业单位基本养老保险缴费</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130.44</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电费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3.40</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专用设备购置</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职业年金缴费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邮电费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3.23</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基础设施建设</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职工基本医疗保险缴费</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64.85</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取暖费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大型修缮</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公务员医疗补助缴费</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61.73</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物业管理费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0.39</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信息网络及软件购置更新</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其他社会保障缴费</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1.64</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差旅费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2.57</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物资储备</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住房公积金</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128.25</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因公出国（境）费用</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土地补偿</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医疗费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维修（护）费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1.96</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安置补助</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其他工资福利支出</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1.46</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租赁费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34.40</w:t>
            </w: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地上附着物和青苗补偿</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对个人和家庭的补助</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185.62</w:t>
            </w: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会议费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拆迁补偿</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离休费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培训费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公务用车购置</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30302</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退休费</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157.72</w:t>
            </w: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30217</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公务接待费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0.22</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31019</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其他交通工具购置</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30303</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退职（役）费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30218</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专用材料费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2.81</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31021</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文物和陈列品购置</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30304</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抚恤金</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27.87</w:t>
            </w: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30224</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被装购置费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31022</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无形资产购置</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30305</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生活补助</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0.03</w:t>
            </w: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30225</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专用燃料费</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31099</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其他资本性支出</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30306</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救济费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30226</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劳务费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10.27</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399</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其他支出</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30307</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医疗费补助</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30227</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委托业务费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18.61</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39906</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赠与</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30308</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助学金</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30228</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工会经费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10.98</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39907</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国家赔偿费用支出</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30309</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奖励金</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30229</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福利费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24.21</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39908</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对民间非营利组织和群众性自治组织补贴</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30310</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个人农业生产补贴</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30231</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公务用车运行维护费</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35.54</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39999</w:t>
            </w: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其他支出</w:t>
            </w: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30311</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代缴社会保险费</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30239</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其他交通费用</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126.25</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30399</w:t>
            </w: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其他对个人和家庭的补助</w:t>
            </w: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30240</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税金及附加费用</w:t>
            </w:r>
          </w:p>
        </w:tc>
        <w:tc>
          <w:tcPr>
            <w:tcW w:w="9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29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3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77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30299</w:t>
            </w:r>
          </w:p>
        </w:tc>
        <w:tc>
          <w:tcPr>
            <w:tcW w:w="194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r>
              <w:rPr>
                <w:rFonts w:hint="eastAsia" w:ascii="宋体" w:hAnsi="宋体"/>
                <w:color w:val="000000"/>
                <w:sz w:val="20"/>
                <w:szCs w:val="20"/>
              </w:rPr>
              <w:t xml:space="preserve">  其他商品和服务支出</w:t>
            </w:r>
          </w:p>
        </w:tc>
        <w:tc>
          <w:tcPr>
            <w:tcW w:w="938"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4.58</w:t>
            </w:r>
          </w:p>
        </w:tc>
        <w:tc>
          <w:tcPr>
            <w:tcW w:w="983"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266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135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2,440.85</w:t>
            </w:r>
          </w:p>
        </w:tc>
        <w:tc>
          <w:tcPr>
            <w:tcW w:w="7310" w:type="dxa"/>
            <w:gridSpan w:val="5"/>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1067"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28" w:type="dxa"/>
            <w:gridSpan w:val="9"/>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0"/>
        <w:gridCol w:w="1032"/>
        <w:gridCol w:w="1126"/>
        <w:gridCol w:w="1082"/>
        <w:gridCol w:w="1011"/>
        <w:gridCol w:w="1125"/>
        <w:gridCol w:w="854"/>
        <w:gridCol w:w="990"/>
        <w:gridCol w:w="1039"/>
        <w:gridCol w:w="1053"/>
        <w:gridCol w:w="1381"/>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13" w:type="dxa"/>
            <w:gridSpan w:val="12"/>
            <w:tcBorders>
              <w:top w:val="nil"/>
              <w:left w:val="nil"/>
              <w:bottom w:val="nil"/>
              <w:right w:val="nil"/>
            </w:tcBorders>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22" w:type="dxa"/>
            <w:gridSpan w:val="10"/>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2791"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22" w:type="dxa"/>
            <w:gridSpan w:val="10"/>
            <w:vMerge w:val="continue"/>
            <w:tcBorders>
              <w:top w:val="nil"/>
              <w:left w:val="nil"/>
              <w:bottom w:val="nil"/>
              <w:right w:val="nil"/>
            </w:tcBorders>
            <w:vAlign w:val="bottom"/>
          </w:tcPr>
          <w:p>
            <w:pPr>
              <w:jc w:val="left"/>
              <w:rPr>
                <w:rFonts w:ascii="宋体" w:hAnsi="宋体" w:cs="宋体"/>
                <w:color w:val="000000"/>
                <w:sz w:val="20"/>
                <w:szCs w:val="20"/>
              </w:rPr>
            </w:pPr>
          </w:p>
        </w:tc>
        <w:tc>
          <w:tcPr>
            <w:tcW w:w="2791"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8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72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03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219"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85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99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73"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03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2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08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公务用车购置费</w:t>
            </w:r>
          </w:p>
        </w:tc>
        <w:tc>
          <w:tcPr>
            <w:tcW w:w="10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公务用车运行费</w:t>
            </w: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85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9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3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05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公务用车购置费</w:t>
            </w:r>
          </w:p>
        </w:tc>
        <w:tc>
          <w:tcPr>
            <w:tcW w:w="138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公务用车运行费</w:t>
            </w:r>
          </w:p>
        </w:tc>
        <w:tc>
          <w:tcPr>
            <w:tcW w:w="141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2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08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0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85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9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03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05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38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83.00</w:t>
            </w:r>
          </w:p>
        </w:tc>
        <w:tc>
          <w:tcPr>
            <w:tcW w:w="10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73.00</w:t>
            </w:r>
          </w:p>
        </w:tc>
        <w:tc>
          <w:tcPr>
            <w:tcW w:w="10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11"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73.00</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10.00</w:t>
            </w:r>
          </w:p>
        </w:tc>
        <w:tc>
          <w:tcPr>
            <w:tcW w:w="85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35.76</w:t>
            </w:r>
          </w:p>
        </w:tc>
        <w:tc>
          <w:tcPr>
            <w:tcW w:w="99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3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35.54</w:t>
            </w:r>
          </w:p>
        </w:tc>
        <w:tc>
          <w:tcPr>
            <w:tcW w:w="105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381"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35.54</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13" w:type="dxa"/>
            <w:gridSpan w:val="12"/>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1"/>
        <w:gridCol w:w="2000"/>
        <w:gridCol w:w="1931"/>
        <w:gridCol w:w="1562"/>
        <w:gridCol w:w="1754"/>
        <w:gridCol w:w="1657"/>
        <w:gridCol w:w="1575"/>
        <w:gridCol w:w="1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0" w:type="dxa"/>
            <w:gridSpan w:val="8"/>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05" w:type="dxa"/>
            <w:gridSpan w:val="6"/>
            <w:vMerge w:val="restart"/>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单位：许昌市城市管理执法支队</w:t>
            </w:r>
          </w:p>
        </w:tc>
        <w:tc>
          <w:tcPr>
            <w:tcW w:w="3505"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05" w:type="dxa"/>
            <w:gridSpan w:val="6"/>
            <w:vMerge w:val="continue"/>
            <w:tcBorders>
              <w:top w:val="nil"/>
              <w:left w:val="nil"/>
              <w:bottom w:val="nil"/>
              <w:right w:val="nil"/>
            </w:tcBorders>
            <w:vAlign w:val="bottom"/>
          </w:tcPr>
          <w:p>
            <w:pPr>
              <w:jc w:val="left"/>
              <w:rPr>
                <w:rFonts w:ascii="宋体" w:hAnsi="宋体" w:cs="宋体"/>
                <w:color w:val="000000"/>
                <w:sz w:val="20"/>
                <w:szCs w:val="20"/>
              </w:rPr>
            </w:pPr>
          </w:p>
        </w:tc>
        <w:tc>
          <w:tcPr>
            <w:tcW w:w="3505"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93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56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498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1"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20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6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75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65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1"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0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6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75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5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1"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0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6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75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5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0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3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6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75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5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0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31"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562"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754"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657"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575"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930"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20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31"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75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3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tcBorders>
              <w:top w:val="nil"/>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200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931"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562"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754"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657"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575"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c>
          <w:tcPr>
            <w:tcW w:w="1930" w:type="dxa"/>
            <w:tcBorders>
              <w:top w:val="nil"/>
              <w:left w:val="nil"/>
              <w:bottom w:val="single" w:color="000000" w:sz="4" w:space="0"/>
              <w:right w:val="single" w:color="000000" w:sz="4" w:space="0"/>
            </w:tcBorders>
            <w:vAlign w:val="center"/>
          </w:tcPr>
          <w:p>
            <w:pPr>
              <w:autoSpaceDN w:val="0"/>
              <w:jc w:val="left"/>
              <w:textAlignment w:val="center"/>
              <w:rPr>
                <w:rFonts w:ascii="宋体" w:hAnsi="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20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31"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75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3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20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31"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75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3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20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31"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75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3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20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31"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6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75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7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3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10" w:type="dxa"/>
            <w:gridSpan w:val="8"/>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000000"/>
          <w:kern w:val="0"/>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32"/>
          <w:szCs w:val="32"/>
        </w:rPr>
        <w:t>说明：我单位没有政</w:t>
      </w:r>
      <w:bookmarkStart w:id="0" w:name="_GoBack"/>
      <w:bookmarkEnd w:id="0"/>
      <w:r>
        <w:rPr>
          <w:rFonts w:hint="eastAsia" w:ascii="宋体" w:hAnsi="宋体" w:cs="宋体"/>
          <w:color w:val="000000"/>
          <w:kern w:val="0"/>
          <w:sz w:val="32"/>
          <w:szCs w:val="32"/>
        </w:rPr>
        <w:t>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年度收、支总计均为3835.68万元。与上年度相比，收、支总计各减少396.27万元，下降9.36%。主要原因是人员在职转退休；</w:t>
      </w:r>
      <w:r>
        <w:rPr>
          <w:rFonts w:hint="eastAsia" w:eastAsia="仿宋_GB2312" w:cs="仿宋_GB2312"/>
          <w:sz w:val="32"/>
          <w:szCs w:val="32"/>
        </w:rPr>
        <w:t>项目支出减少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highlight w:val="yellow"/>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年度收入合计3088.67万元，其中：财政拨款收入3088.42万元，占99.99</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%；上级补助收入0.00万元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%；事业收入0.00万元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%；经营收入0.00万元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%；附属单位上缴收入0.00万元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%；其他收入0.25万元，占0.</w:t>
      </w:r>
      <w:r>
        <w:rPr>
          <w:rFonts w:hint="eastAsia" w:ascii="仿宋_GB2312" w:hAnsi="仿宋_GB2312" w:eastAsia="仿宋_GB2312" w:cs="仿宋_GB2312"/>
          <w:sz w:val="32"/>
          <w:szCs w:val="32"/>
          <w:lang w:val="en-US" w:eastAsia="zh-CN"/>
        </w:rPr>
        <w:t>0081</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年度支出合计3835.25万元，其中：基本支出2813.53万元，占73.36%；项目支出1021.71万元，占26.64%；上缴上级支出0.00万元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%；经营支出0.00万元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%；对附属单位补助支出0.00万元</w:t>
      </w:r>
      <w:r>
        <w:rPr>
          <w:rFonts w:ascii="Calibri" w:hAnsi="Calibri" w:eastAsia="仿宋_GB2312" w:cs="仿宋_GB2312"/>
          <w:sz w:val="32"/>
          <w:szCs w:val="32"/>
        </w:rPr>
        <w:t>,</w:t>
      </w:r>
      <w:r>
        <w:rPr>
          <w:rFonts w:hint="eastAsia" w:ascii="仿宋_GB2312" w:hAnsi="仿宋_GB2312" w:eastAsia="仿宋_GB2312" w:cs="仿宋_GB2312"/>
          <w:sz w:val="32"/>
          <w:szCs w:val="32"/>
        </w:rPr>
        <w:t xml:space="preserve"> 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highlight w:val="red"/>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年度财政拨款收、支总计均为3792.63万元。与上年度相比，财政拨款收、支总计各减少439.32万元，下降10.38%。主要原因是人员在职转退休；</w:t>
      </w:r>
      <w:r>
        <w:rPr>
          <w:rFonts w:hint="eastAsia" w:eastAsia="仿宋_GB2312" w:cs="仿宋_GB2312"/>
          <w:sz w:val="32"/>
          <w:szCs w:val="32"/>
        </w:rPr>
        <w:t>项目支出减少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年度一般公共预算财政拨款支出3792.63万元，占支出合计的100%。与上年度相比，一般公共预算财政拨款支出增加24.4万元，增长0.65%。主要原因是是</w:t>
      </w:r>
      <w:r>
        <w:rPr>
          <w:rFonts w:hint="eastAsia" w:eastAsia="仿宋_GB2312"/>
          <w:sz w:val="32"/>
          <w:szCs w:val="32"/>
        </w:rPr>
        <w:t>人员工资、文明奖、社保缴费等标准上调</w:t>
      </w:r>
      <w:r>
        <w:rPr>
          <w:rFonts w:hint="eastAsia" w:ascii="仿宋_GB2312" w:hAnsi="仿宋_GB2312" w:eastAsia="仿宋_GB2312" w:cs="仿宋_GB2312"/>
          <w:sz w:val="32"/>
          <w:szCs w:val="32"/>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年度一般公共预算财政拨款支出3792.63万元，主要用于以下方面：一般公共服务（类）支出44.65万元，占1.18%；社会保障和就业（类）支出316.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5万元，占8.33%；卫生健康（类）支出126.20万元，占3.33%；节能环保支出80.10万元，占2.11%，城乡社区（类）支出3225.62万元，占85.05%。</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年度一般公共预算财政拨款支出年初预算为2794.37万元，支出决算为3792.63万元，完成年初预算的135.72%。其中：</w:t>
      </w:r>
    </w:p>
    <w:p>
      <w:pPr>
        <w:widowControl/>
        <w:spacing w:line="600" w:lineRule="exact"/>
        <w:ind w:firstLine="642"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1.一般公共服务支出（类）人大事务（款）行政运行（项）。</w:t>
      </w:r>
      <w:r>
        <w:rPr>
          <w:rFonts w:hint="eastAsia" w:ascii="仿宋_GB2312" w:hAnsi="仿宋_GB2312" w:eastAsia="仿宋_GB2312" w:cs="仿宋_GB2312"/>
          <w:sz w:val="32"/>
          <w:szCs w:val="32"/>
        </w:rPr>
        <w:t>年初预算为545.10万元，支出决算为33.67万元，完成年初预算的6.18%。决算数与年初预算数存在差异的主要原因是该科目部分支出调剂至城乡社区支出（类）城乡社区管理事务（款）行政运行（项）。</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2．一般公共服务支出（类）群众团体事务（款）工会事务（项）。</w:t>
      </w:r>
      <w:r>
        <w:rPr>
          <w:rFonts w:hint="eastAsia" w:ascii="仿宋_GB2312" w:hAnsi="仿宋_GB2312" w:eastAsia="仿宋_GB2312" w:cs="仿宋_GB2312"/>
          <w:sz w:val="32"/>
          <w:szCs w:val="32"/>
        </w:rPr>
        <w:t>年初预算为10.98万元，支出决算为10.98万元，完成年初预算的100%。决算数与年初预算数无差异。</w:t>
      </w:r>
    </w:p>
    <w:p>
      <w:pPr>
        <w:widowControl/>
        <w:spacing w:line="600" w:lineRule="exact"/>
        <w:ind w:firstLine="642"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3．社会保障和就业支出（类）行政事业单位养老支出（款）  行政单位离退休（项）。</w:t>
      </w:r>
      <w:r>
        <w:rPr>
          <w:rFonts w:hint="eastAsia" w:ascii="仿宋_GB2312" w:hAnsi="仿宋_GB2312" w:eastAsia="仿宋_GB2312" w:cs="仿宋_GB2312"/>
          <w:sz w:val="32"/>
          <w:szCs w:val="32"/>
        </w:rPr>
        <w:t>年初预算为156.70万元，支出决算为157.74万元，完成年初预算的100.67%。决算数与年初预算数存在差异的主要原因是新增退休人员，且退休人员文明奖、健康休养费增加。</w:t>
      </w:r>
    </w:p>
    <w:p>
      <w:pPr>
        <w:widowControl/>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年初预算为130.20万元，支出决算为130.44万元，完成年初预算的100.18%。决算数与年初预算数存在差异的主要原因是社保基数调整，核算缴费基数时四舍五入产生误差。</w:t>
      </w:r>
    </w:p>
    <w:p>
      <w:pPr>
        <w:widowControl/>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5．社会保障和就业支出（类）抚恤（款）死亡抚恤（项）。</w:t>
      </w:r>
      <w:r>
        <w:rPr>
          <w:rFonts w:hint="eastAsia" w:ascii="仿宋_GB2312" w:hAnsi="仿宋_GB2312" w:eastAsia="仿宋_GB2312" w:cs="仿宋_GB2312"/>
          <w:sz w:val="32"/>
          <w:szCs w:val="32"/>
        </w:rPr>
        <w:t>年初预算为0.00万元，支出决算为27.87万元，决算数与年初预算数存在差异的主要原因是新增在职人员死亡。</w:t>
      </w:r>
    </w:p>
    <w:p>
      <w:pPr>
        <w:widowControl/>
        <w:spacing w:line="60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6. 卫生健康支出（类）行政事业单位医疗（款）行政单位医疗（项）。</w:t>
      </w:r>
      <w:r>
        <w:rPr>
          <w:rFonts w:hint="eastAsia" w:ascii="仿宋_GB2312" w:hAnsi="仿宋_GB2312" w:eastAsia="仿宋_GB2312" w:cs="仿宋_GB2312"/>
          <w:bCs/>
          <w:sz w:val="32"/>
          <w:szCs w:val="32"/>
        </w:rPr>
        <w:t>年初预算为61.89万元，支出决算为60.93万元，完成年初预算的98.45%。决算数与年初预算数存在差异的主要原因是退休人员人数增加及在职人员死亡等。</w:t>
      </w:r>
    </w:p>
    <w:p>
      <w:pPr>
        <w:widowControl/>
        <w:spacing w:line="60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7.卫生健康支出（类）行政事业单位医疗（款）事业单位医疗（项）。</w:t>
      </w:r>
      <w:r>
        <w:rPr>
          <w:rFonts w:hint="eastAsia" w:ascii="仿宋_GB2312" w:hAnsi="仿宋_GB2312" w:eastAsia="仿宋_GB2312" w:cs="仿宋_GB2312"/>
          <w:bCs/>
          <w:sz w:val="32"/>
          <w:szCs w:val="32"/>
        </w:rPr>
        <w:t>年初预算为7.22万元，支出决算为0.02元，完成年初预算的0.28%。决算数与年初预算数存在差异的主要原因是使用行政单位医疗项弥补事业单位医疗支出。</w:t>
      </w:r>
    </w:p>
    <w:p>
      <w:pPr>
        <w:widowControl/>
        <w:spacing w:line="60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8.卫生健康支出（类）行政事业单位医疗（款）公务员医疗补助（项）。</w:t>
      </w:r>
      <w:r>
        <w:rPr>
          <w:rFonts w:hint="eastAsia" w:ascii="仿宋_GB2312" w:hAnsi="仿宋_GB2312" w:eastAsia="仿宋_GB2312" w:cs="仿宋_GB2312"/>
          <w:bCs/>
          <w:sz w:val="32"/>
          <w:szCs w:val="32"/>
        </w:rPr>
        <w:t>年初预算为65.81万元，支出决算为65.26万元，完成年初预算的99.16%。决算数与年初预算数存在差异的主要原因是在职人员转退休及在职人员死亡等。</w:t>
      </w:r>
    </w:p>
    <w:p>
      <w:pPr>
        <w:widowControl/>
        <w:spacing w:line="60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9.节能环保支出（类）污染防治（款）大气（项）。</w:t>
      </w:r>
      <w:r>
        <w:rPr>
          <w:rFonts w:hint="eastAsia" w:ascii="仿宋_GB2312" w:hAnsi="仿宋_GB2312" w:eastAsia="仿宋_GB2312" w:cs="仿宋_GB2312"/>
          <w:bCs/>
          <w:sz w:val="32"/>
          <w:szCs w:val="32"/>
        </w:rPr>
        <w:t>年初预算为0.00万元，支出决算为80.10万元。决算数与年初预算数存在差异的主要原因是该项目为年中追加项目，未纳入年初预算。</w:t>
      </w:r>
    </w:p>
    <w:p>
      <w:pPr>
        <w:widowControl/>
        <w:spacing w:line="590" w:lineRule="exact"/>
        <w:ind w:firstLine="642" w:firstLineChars="200"/>
        <w:outlineLvl w:val="1"/>
        <w:rPr>
          <w:rFonts w:ascii="黑体" w:hAnsi="黑体" w:eastAsia="黑体" w:cs="黑体"/>
          <w:sz w:val="32"/>
          <w:szCs w:val="32"/>
        </w:rPr>
      </w:pPr>
      <w:r>
        <w:rPr>
          <w:rFonts w:hint="eastAsia" w:ascii="仿宋_GB2312" w:hAnsi="仿宋_GB2312" w:eastAsia="仿宋_GB2312" w:cs="仿宋_GB2312"/>
          <w:b/>
          <w:bCs/>
          <w:sz w:val="32"/>
          <w:szCs w:val="32"/>
        </w:rPr>
        <w:t>10.城乡社区支出（类）城乡社区管理事务（款）行政运行（项）。</w:t>
      </w:r>
      <w:r>
        <w:rPr>
          <w:rFonts w:hint="eastAsia" w:ascii="仿宋_GB2312" w:hAnsi="仿宋_GB2312" w:eastAsia="仿宋_GB2312" w:cs="仿宋_GB2312"/>
          <w:bCs/>
          <w:sz w:val="32"/>
          <w:szCs w:val="32"/>
        </w:rPr>
        <w:t>年初预算为1816.47万元，支出决算为2283.98万元，完成年初预算的125.74%。决算数与年初预算数存在差异的主要原因是</w:t>
      </w:r>
      <w:r>
        <w:rPr>
          <w:rFonts w:hint="eastAsia" w:ascii="仿宋_GB2312" w:hAnsi="仿宋_GB2312" w:eastAsia="仿宋_GB2312" w:cs="仿宋_GB2312"/>
          <w:sz w:val="32"/>
          <w:szCs w:val="32"/>
        </w:rPr>
        <w:t>一般公共服务支出（类）人大事务（款）行政运行（项）部分支出调剂至该科目，</w:t>
      </w:r>
      <w:r>
        <w:rPr>
          <w:rFonts w:hint="eastAsia" w:ascii="仿宋_GB2312" w:hAnsi="仿宋_GB2312" w:eastAsia="仿宋_GB2312" w:cs="仿宋_GB2312"/>
          <w:bCs/>
          <w:sz w:val="32"/>
          <w:szCs w:val="32"/>
        </w:rPr>
        <w:t>在职人员工资上调，社保基数及公积金基数上调等。</w:t>
      </w:r>
    </w:p>
    <w:p>
      <w:pPr>
        <w:widowControl/>
        <w:spacing w:line="60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11.城乡社区支出（类）城乡社区管理事务（款）一般行政管理事务（项）。</w:t>
      </w:r>
      <w:r>
        <w:rPr>
          <w:rFonts w:hint="eastAsia" w:ascii="仿宋_GB2312" w:hAnsi="仿宋_GB2312" w:eastAsia="仿宋_GB2312" w:cs="仿宋_GB2312"/>
          <w:bCs/>
          <w:sz w:val="32"/>
          <w:szCs w:val="32"/>
        </w:rPr>
        <w:t>年初预算为0.00万元，支出决算为932.27万元。决算数与年初预算数存在差异的主要原因是2021年临时人员工资与社保等项目未列入年度单位预算。</w:t>
      </w:r>
    </w:p>
    <w:p>
      <w:pPr>
        <w:widowControl/>
        <w:spacing w:line="60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12.城乡社区支出（类）城乡社区管理事务（款）其他城乡社区管理事务支出（项）。</w:t>
      </w:r>
      <w:r>
        <w:rPr>
          <w:rFonts w:hint="eastAsia" w:ascii="仿宋_GB2312" w:hAnsi="仿宋_GB2312" w:eastAsia="仿宋_GB2312" w:cs="仿宋_GB2312"/>
          <w:bCs/>
          <w:sz w:val="32"/>
          <w:szCs w:val="32"/>
        </w:rPr>
        <w:t>年初预算为0.00万元，支出决算为9.37万元。决算数与年初预算数存在差异的主要原因是2021年火车站广场运行维护费未列入年度单位预算。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2770.92万元。其中：人员经费2440.85万元，主要包括：基本工资、津贴补贴、奖金、机关事业单位基本养老保险缴费、职工基本医疗保险缴费、公务员医疗补助缴费、其他社会保障缴费、住房公积金、其他工资福利支出、退休费、抚恤金、生活补助；公用经费330.06万元，主要包括：办公费、印刷费、水费、电费、邮电费、物业管理费、差旅费、维修（护）费、租赁费、公务接待费、专用材料费、劳务费、委托业务费、工会经费、福利费、公务用车运行维护费、其他交通费用、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年度“三公”经费财政拨款支出预算为83.00万元，支出决算为35.76万元，完成预算的</w:t>
      </w:r>
      <w:r>
        <w:rPr>
          <w:rFonts w:ascii="仿宋_GB2312" w:hAnsi="仿宋_GB2312" w:eastAsia="仿宋_GB2312" w:cs="仿宋_GB2312"/>
          <w:sz w:val="32"/>
          <w:szCs w:val="32"/>
        </w:rPr>
        <w:t>43.08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年度“三公”经费支出决算数与预算数存在差异的主要原因是我单位严格执行“八项规定”，节约预算资金使用，减少不必要的公务活动，压缩三公经费开支。</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35.54万元，完成预算的48.68%，占99.38%；公务接待费支出决算0.22万元，完成预算的2.20%，占0.62%。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预算为0.00万元，支出决算为0.00万元。2021年度“三公”经费支出决算数与预算数不存在差异。因公出国（境）团组数0个，因公出国（境）人次数0人。</w:t>
      </w:r>
    </w:p>
    <w:p>
      <w:pPr>
        <w:widowControl/>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73.00万元，支出决算为35.54万元，完成预算的48.68%。决算数与预算数存在差异的主要原因是我单位严格执行“八项规定”，节约预算资金使用，减少不必要的公车外出及维修，压缩公务用车运行维护费用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35.54万元。主要用于</w:t>
      </w:r>
      <w:r>
        <w:rPr>
          <w:rFonts w:hint="eastAsia" w:ascii="仿宋_GB2312" w:eastAsia="仿宋_GB2312"/>
          <w:sz w:val="32"/>
          <w:szCs w:val="32"/>
        </w:rPr>
        <w:t>燃料费、维修费、保险费等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年期末，单位开支财政拨款的公务用车保有量为23辆。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预算为10.00万元，支出决算为0.22万元，完成预算的2.20%。决算数与预算数存在差异的主要原因是我单位严格执行“八项规定”，节约预算资金使用，减少不必要的公务活动，压缩公务接待经费开支。其中：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0.22万元。主要用于接待兄弟单位前来学习经验。</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年共接待国内来访团组2个、来宾30人次（不包括陪同人员）。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w:t>
      </w:r>
      <w:r>
        <w:rPr>
          <w:rFonts w:hint="eastAsia" w:ascii="仿宋_GB2312" w:hAnsi="仿宋_GB2312" w:eastAsia="仿宋_GB2312" w:cs="仿宋_GB2312"/>
          <w:bCs/>
          <w:sz w:val="32"/>
          <w:szCs w:val="32"/>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414.08万元，支出决算为330.06万元，完成年初预算的79.71%。决算数与年初预算数存在差异的主要原因是我单位严格执行“八项规定”，节约预算资金使用，减少不必要的公务活动，压缩三公经费开支。</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91.85万元，其中：政府采购货物支出91.85万元、政府采购工程支出0.00万元、政府采购服务支出0.00万元。授予中小企业合同金额91.85万元，占政府采购支出总额的100%，其中：授予小微企业合同金额91.85万元，占政府采购支出总额的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23辆，其中：省级领导干部用车0辆、主要领导干部用车0辆、机要通信用车0辆、应急保障车0辆、执法执勤用车23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（一）绩效管理工作开展情况。</w:t>
      </w:r>
    </w:p>
    <w:p>
      <w:pPr>
        <w:widowControl/>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000000"/>
          <w:kern w:val="0"/>
          <w:sz w:val="32"/>
          <w:szCs w:val="32"/>
          <w:highlight w:val="none"/>
        </w:rPr>
        <w:t>我支队按以下三个步骤组织实施了绩效自评：（</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）确定绩效自评范围</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确定项目绩效考评全覆盖，确保自评无遗漏。</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收集项目相关资料，如预算资料、财务资料、项目采购资料、合同资料、工作年度总结报告等。（3）确定绩效自评目标。全面了解项目管理过程是否规范、产出目标是否完成以及效果目标是否实现等方面的内容，总结经验，查找不足，为项目在以后年度的开展提供可行性参考建议。</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预算执行率达到</w:t>
      </w:r>
      <w:r>
        <w:rPr>
          <w:rFonts w:hint="eastAsia" w:ascii="仿宋_GB2312" w:hAnsi="仿宋_GB2312" w:eastAsia="仿宋_GB2312" w:cs="仿宋_GB2312"/>
          <w:color w:val="000000"/>
          <w:kern w:val="0"/>
          <w:sz w:val="32"/>
          <w:szCs w:val="32"/>
        </w:rPr>
        <w:t>100%，财政资金的使用严格按照财政</w:t>
      </w:r>
      <w:r>
        <w:rPr>
          <w:rFonts w:hint="eastAsia" w:ascii="仿宋_GB2312" w:hAnsi="仿宋_GB2312" w:eastAsia="仿宋_GB2312" w:cs="仿宋_GB2312"/>
          <w:bCs/>
          <w:sz w:val="32"/>
          <w:szCs w:val="32"/>
        </w:rPr>
        <w:t>单位</w:t>
      </w:r>
      <w:r>
        <w:rPr>
          <w:rFonts w:hint="eastAsia" w:ascii="仿宋_GB2312" w:hAnsi="仿宋_GB2312" w:eastAsia="仿宋_GB2312" w:cs="仿宋_GB2312"/>
          <w:color w:val="000000"/>
          <w:kern w:val="0"/>
          <w:sz w:val="32"/>
          <w:szCs w:val="32"/>
        </w:rPr>
        <w:t>工作要求，加强财务管理，规范支出手续，保证资金使用依法依规，有效保证了各项工作的开展，取得了良好的社会效益。</w:t>
      </w:r>
      <w:r>
        <w:rPr>
          <w:rFonts w:hint="eastAsia" w:ascii="仿宋_GB2312" w:hAnsi="仿宋_GB2312" w:eastAsia="仿宋_GB2312" w:cs="仿宋_GB2312"/>
          <w:sz w:val="32"/>
          <w:szCs w:val="32"/>
        </w:rPr>
        <w:t>二是项目绩效自评情况：5个项目分别按照实施内容和目标进行开展，项目预算执行、产出指标、经济指标、服务对象满意度等指标完成较好，达到了预期效果，有力的保证了我单位工作业务的开展，项目的实施效果得到了实施对象的满意和认可，我单位共有5个项目批复了绩效目标，项目金额1050.38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100分。其中：5个项目评价等级为“优”、0个项目评价等级为“良”、0个项目评价等级为“中”、0个项目评价等级为“差”。</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highlight w:val="red"/>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shape id="文本框 1030"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shape>
      </w:pict>
    </w:r>
    <w:r>
      <w:rPr>
        <w:rFonts w:ascii="Times New Roman" w:hAnsi="Times New Roman" w:eastAsia="宋体" w:cs="Times New Roman"/>
        <w:kern w:val="2"/>
        <w:sz w:val="18"/>
        <w:szCs w:val="18"/>
        <w:lang w:val="en-US" w:eastAsia="zh-CN" w:bidi="ar-SA"/>
      </w:rPr>
      <w:pict>
        <v:shape id="文本框 1027" o:spid="_x0000_s4098"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shape id="文本框 1031" o:spid="_x0000_s409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E3F5FE1"/>
    <w:rsid w:val="EFEBCA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楷体_GB2312"/>
      <w:sz w:val="28"/>
      <w:szCs w:val="20"/>
    </w:r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w:link w:val="3"/>
    <w:qFormat/>
    <w:uiPriority w:val="99"/>
    <w:rPr>
      <w:kern w:val="2"/>
      <w:sz w:val="18"/>
      <w:szCs w:val="18"/>
    </w:rPr>
  </w:style>
  <w:style w:type="character" w:customStyle="1" w:styleId="11">
    <w:name w:val="页眉 Char Char"/>
    <w:link w:val="5"/>
    <w:qFormat/>
    <w:uiPriority w:val="99"/>
    <w:rPr>
      <w:kern w:val="2"/>
      <w:sz w:val="18"/>
      <w:szCs w:val="18"/>
    </w:rPr>
  </w:style>
  <w:style w:type="character" w:customStyle="1" w:styleId="12">
    <w:name w:val="页脚 Char Char"/>
    <w:link w:val="4"/>
    <w:qFormat/>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8944</Words>
  <Characters>11355</Characters>
  <Lines>95</Lines>
  <Paragraphs>26</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2023-05-11T18:40:00Z</dcterms:created>
  <dc:creator>管理者</dc:creator>
  <cp:lastModifiedBy>huanghe</cp:lastModifiedBy>
  <cp:lastPrinted>2023-05-11T19:07:00Z</cp:lastPrinted>
  <dcterms:modified xsi:type="dcterms:W3CDTF">2023-05-16T11:45:11Z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53E13A73C0CD46B29C851B618CE51BFA</vt:lpwstr>
  </property>
</Properties>
</file>