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许昌市城市管理局</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本级</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许昌市城市管理局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许昌市城市管理局</w:t>
      </w:r>
      <w:r>
        <w:rPr>
          <w:rFonts w:hint="eastAsia" w:ascii="黑体" w:hAnsi="黑体" w:eastAsia="黑体" w:cs="黑体"/>
          <w:sz w:val="48"/>
          <w:szCs w:val="48"/>
          <w:highlight w:val="none"/>
        </w:rPr>
        <w:t>（</w:t>
      </w: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ordWrap/>
        <w:adjustRightInd/>
        <w:spacing w:before="0" w:after="0" w:line="240" w:lineRule="auto"/>
        <w:ind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关于城市管理和城市管理行政执法方面的法律法规和方针政策；研究拟订全市城市管理规范性文件，编制城市管理总体规划、中长期发展规划、专项规划和年度计划，并组织实施和监督检查。</w:t>
      </w:r>
    </w:p>
    <w:p>
      <w:pPr>
        <w:wordWrap/>
        <w:adjustRightInd/>
        <w:spacing w:before="0" w:after="0" w:line="240" w:lineRule="auto"/>
        <w:ind w:righ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制定全市城市管理和城市管理综合执法工作规范和执法行为规范，组织开展业务培训、综合考核、法律法规普及和宣传教育工作。</w:t>
      </w:r>
    </w:p>
    <w:p>
      <w:pPr>
        <w:wordWrap/>
        <w:adjustRightInd/>
        <w:spacing w:before="0" w:after="0" w:line="240" w:lineRule="auto"/>
        <w:ind w:righ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负责全市城市管理和城市管理综合执法的统筹协调、组织调度和监督考核；负责全市城市管理和城市管理综合执法行政复议和行政诉讼工作的监督指导；负责全市城市管理综合执法机构依法行政和严格、规范、文明执法工作的监督指导；负责全市跨区域城市管理综合执法重大案件的查纠工作。</w:t>
      </w:r>
    </w:p>
    <w:p>
      <w:pPr>
        <w:wordWrap/>
        <w:adjustRightInd/>
        <w:spacing w:before="0" w:after="0" w:line="240" w:lineRule="auto"/>
        <w:ind w:righ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（四）负责行使住房城乡建设领域法律法规规章规定的全部行政处罚权及相应的行政强制权。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具体负责</w:t>
      </w:r>
      <w:r>
        <w:rPr>
          <w:rFonts w:hint="eastAsia" w:ascii="仿宋_GB2312" w:hAnsi="仿宋_GB2312" w:eastAsia="仿宋_GB2312" w:cs="仿宋_GB2312"/>
          <w:color w:val="auto"/>
          <w:sz w:val="32"/>
          <w:szCs w:val="32"/>
          <w:u w:val="none" w:color="auto"/>
        </w:rPr>
        <w:t>行使市建成区内房地产市场方面未经许可销售房屋、未取得资质证书或超越资质从事房地产开发经营等行为的行政处罚权</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行使市建成区内建筑市场方面由市本级及以上财政投资的建设工程项目未经许可违法建设行为的行政处罚权</w:t>
      </w:r>
      <w:r>
        <w:rPr>
          <w:rFonts w:hint="eastAsia" w:ascii="仿宋_GB2312" w:hAnsi="仿宋_GB2312" w:eastAsia="仿宋_GB2312" w:cs="仿宋_GB2312"/>
          <w:color w:val="auto"/>
          <w:sz w:val="32"/>
          <w:szCs w:val="32"/>
          <w:u w:val="none" w:color="auto"/>
          <w:lang w:val="en-US" w:eastAsia="zh-CN"/>
        </w:rPr>
        <w:t>;行使市建成区内</w:t>
      </w:r>
      <w:r>
        <w:rPr>
          <w:rFonts w:hint="eastAsia" w:ascii="仿宋_GB2312" w:hAnsi="仿宋_GB2312" w:eastAsia="仿宋_GB2312" w:cs="仿宋_GB2312"/>
          <w:color w:val="auto"/>
          <w:sz w:val="32"/>
          <w:szCs w:val="32"/>
          <w:u w:val="none" w:color="auto"/>
          <w:lang w:eastAsia="zh-CN"/>
        </w:rPr>
        <w:t>工程质量监督方面的行政处罚权</w:t>
      </w:r>
      <w:r>
        <w:rPr>
          <w:rFonts w:hint="eastAsia" w:ascii="仿宋_GB2312" w:hAnsi="仿宋_GB2312" w:eastAsia="仿宋_GB2312" w:cs="仿宋_GB2312"/>
          <w:color w:val="auto"/>
          <w:sz w:val="32"/>
          <w:szCs w:val="32"/>
          <w:u w:val="none" w:color="auto"/>
        </w:rPr>
        <w:t>；行使</w:t>
      </w:r>
      <w:r>
        <w:rPr>
          <w:rFonts w:hint="eastAsia" w:ascii="仿宋_GB2312" w:hAnsi="仿宋_GB2312" w:eastAsia="仿宋_GB2312" w:cs="仿宋_GB2312"/>
          <w:color w:val="auto"/>
          <w:sz w:val="32"/>
          <w:szCs w:val="32"/>
          <w:u w:val="none" w:color="auto"/>
          <w:lang w:eastAsia="zh-CN"/>
        </w:rPr>
        <w:t>市管区域内</w:t>
      </w:r>
      <w:r>
        <w:rPr>
          <w:rFonts w:hint="eastAsia" w:ascii="仿宋_GB2312" w:hAnsi="仿宋_GB2312" w:eastAsia="仿宋_GB2312" w:cs="仿宋_GB2312"/>
          <w:color w:val="auto"/>
          <w:sz w:val="32"/>
          <w:szCs w:val="32"/>
          <w:u w:val="none" w:color="auto"/>
        </w:rPr>
        <w:t>建筑工地扬尘污染、噪音污染、文明施工管理违法违规行为的行政处罚权。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lang w:eastAsia="zh-CN"/>
        </w:rPr>
        <w:t>具体负责</w:t>
      </w:r>
      <w:r>
        <w:rPr>
          <w:rFonts w:hint="eastAsia" w:ascii="仿宋_GB2312" w:hAnsi="仿宋_GB2312" w:eastAsia="仿宋_GB2312" w:cs="仿宋_GB2312"/>
          <w:color w:val="auto"/>
          <w:sz w:val="32"/>
          <w:szCs w:val="32"/>
          <w:u w:val="none" w:color="auto"/>
        </w:rPr>
        <w:t>行使市建成区内建筑垃圾、生活垃圾、餐厨垃圾清运处置违法违规行为的行政处罚权；行使市建成区内违规设置大型户外广告、</w:t>
      </w:r>
      <w:r>
        <w:rPr>
          <w:rFonts w:hint="eastAsia" w:ascii="仿宋_GB2312" w:hAnsi="仿宋_GB2312" w:eastAsia="仿宋_GB2312" w:cs="仿宋_GB2312"/>
          <w:color w:val="auto"/>
          <w:sz w:val="32"/>
          <w:szCs w:val="32"/>
          <w:u w:val="none" w:color="auto"/>
          <w:lang w:eastAsia="zh-CN"/>
        </w:rPr>
        <w:t>临街</w:t>
      </w:r>
      <w:r>
        <w:rPr>
          <w:rFonts w:hint="eastAsia" w:ascii="仿宋_GB2312" w:hAnsi="仿宋_GB2312" w:eastAsia="仿宋_GB2312" w:cs="仿宋_GB2312"/>
          <w:color w:val="auto"/>
          <w:sz w:val="32"/>
          <w:szCs w:val="32"/>
          <w:u w:val="none" w:color="auto"/>
        </w:rPr>
        <w:t>建筑物</w:t>
      </w:r>
      <w:r>
        <w:rPr>
          <w:rFonts w:hint="eastAsia" w:ascii="仿宋_GB2312" w:hAnsi="仿宋_GB2312" w:eastAsia="仿宋_GB2312" w:cs="仿宋_GB2312"/>
          <w:color w:val="auto"/>
          <w:sz w:val="32"/>
          <w:szCs w:val="32"/>
          <w:u w:val="none" w:color="auto"/>
          <w:lang w:eastAsia="zh-CN"/>
        </w:rPr>
        <w:t>外部</w:t>
      </w:r>
      <w:r>
        <w:rPr>
          <w:rFonts w:hint="eastAsia" w:ascii="仿宋_GB2312" w:hAnsi="仿宋_GB2312" w:eastAsia="仿宋_GB2312" w:cs="仿宋_GB2312"/>
          <w:color w:val="auto"/>
          <w:sz w:val="32"/>
          <w:szCs w:val="32"/>
          <w:u w:val="none" w:color="auto"/>
        </w:rPr>
        <w:t>装修及城市家具行为的行政处罚权；行使市管区域内道路、广场、游园、绿化带等市容市貌和环境卫生管理方面的行政处罚权。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具体负责</w:t>
      </w:r>
      <w:r>
        <w:rPr>
          <w:rFonts w:hint="eastAsia" w:ascii="仿宋_GB2312" w:hAnsi="仿宋_GB2312" w:eastAsia="仿宋_GB2312" w:cs="仿宋_GB2312"/>
          <w:color w:val="auto"/>
          <w:sz w:val="32"/>
          <w:szCs w:val="32"/>
          <w:u w:val="none" w:color="auto"/>
        </w:rPr>
        <w:t>行使市管区域内对企业和个人未经审批或未按批准要求占用、挖掘、破坏市政道路、桥梁及其他市政公用设施等违法违规行为的行政处罚权；行使公用事业管理方面除瓶装燃气和汽车加气站管理的行政处罚权；行使</w:t>
      </w:r>
      <w:r>
        <w:rPr>
          <w:rFonts w:hint="eastAsia" w:ascii="仿宋_GB2312" w:hAnsi="仿宋_GB2312" w:eastAsia="仿宋_GB2312" w:cs="仿宋_GB2312"/>
          <w:color w:val="auto"/>
          <w:sz w:val="32"/>
          <w:szCs w:val="32"/>
          <w:u w:val="none" w:color="auto"/>
          <w:lang w:eastAsia="zh-CN"/>
        </w:rPr>
        <w:t>市区</w:t>
      </w:r>
      <w:r>
        <w:rPr>
          <w:rFonts w:hint="eastAsia" w:ascii="仿宋_GB2312" w:hAnsi="仿宋_GB2312" w:eastAsia="仿宋_GB2312" w:cs="仿宋_GB2312"/>
          <w:color w:val="auto"/>
          <w:sz w:val="32"/>
          <w:szCs w:val="32"/>
          <w:u w:val="none" w:color="auto"/>
        </w:rPr>
        <w:t>的夜景亮化项目管理方面的行政处罚权。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lang w:eastAsia="zh-CN"/>
        </w:rPr>
        <w:t>具体负责</w:t>
      </w:r>
      <w:r>
        <w:rPr>
          <w:rFonts w:hint="eastAsia" w:ascii="仿宋_GB2312" w:hAnsi="仿宋_GB2312" w:eastAsia="仿宋_GB2312" w:cs="仿宋_GB2312"/>
          <w:color w:val="auto"/>
          <w:sz w:val="32"/>
          <w:szCs w:val="32"/>
          <w:u w:val="none" w:color="auto"/>
        </w:rPr>
        <w:t>行使市管区域内未经审批占用、破坏园林、砍伐树木及不按批准要求对园林树木实施砍伐、移植等违法违规行为的行政处罚权；行使市管区域内破坏广场游园、公共绿地等违法违规行为的行政处罚权。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（五）负责行使市城市规划区范围内城乡规划管理方面违反城乡规划、已经市委城乡规划建设委员会审议通过但未取得规划许可、或未按照城乡规划许可内容建设违法案件的行政处罚权及相应的行政强制权。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（六）负责</w:t>
      </w:r>
      <w:r>
        <w:rPr>
          <w:rFonts w:hint="eastAsia" w:ascii="仿宋_GB2312" w:hAnsi="仿宋_GB2312" w:eastAsia="仿宋_GB2312" w:cs="仿宋_GB2312"/>
          <w:color w:val="auto"/>
          <w:sz w:val="32"/>
          <w:szCs w:val="32"/>
          <w:u w:val="none" w:color="auto"/>
        </w:rPr>
        <w:t>行使市管区域内社会噪声污染、餐饮服务业油烟污染、露天烧烤污染、城市焚烧沥青塑料垃圾等烟尘和恶臭污染、露天焚烧秸秆落叶等烟尘污染的行政处罚权。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（七）负责</w:t>
      </w:r>
      <w:r>
        <w:rPr>
          <w:rFonts w:hint="eastAsia" w:ascii="仿宋_GB2312" w:hAnsi="仿宋_GB2312" w:eastAsia="仿宋_GB2312" w:cs="仿宋_GB2312"/>
          <w:color w:val="auto"/>
          <w:sz w:val="32"/>
          <w:szCs w:val="32"/>
          <w:u w:val="none" w:color="auto"/>
        </w:rPr>
        <w:t>行使市管区域内户外公共场所无照经营</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食品销售和餐饮摊点无证经营的行政处罚权。</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（八）</w:t>
      </w:r>
      <w:r>
        <w:rPr>
          <w:rFonts w:hint="eastAsia" w:ascii="仿宋_GB2312" w:hAnsi="仿宋_GB2312" w:eastAsia="仿宋_GB2312" w:cs="仿宋_GB2312"/>
          <w:color w:val="auto"/>
          <w:sz w:val="32"/>
          <w:szCs w:val="32"/>
          <w:u w:val="none" w:color="auto"/>
        </w:rPr>
        <w:t>负责行使市管区域内法律</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法规</w:t>
      </w:r>
      <w:r>
        <w:rPr>
          <w:rFonts w:hint="eastAsia" w:ascii="仿宋_GB2312" w:hAnsi="仿宋_GB2312" w:eastAsia="仿宋_GB2312" w:cs="仿宋_GB2312"/>
          <w:color w:val="auto"/>
          <w:sz w:val="32"/>
          <w:szCs w:val="32"/>
          <w:u w:val="none" w:color="auto"/>
          <w:lang w:eastAsia="zh-CN"/>
        </w:rPr>
        <w:t>和地方性</w:t>
      </w:r>
      <w:r>
        <w:rPr>
          <w:rFonts w:hint="eastAsia" w:ascii="仿宋_GB2312" w:hAnsi="仿宋_GB2312" w:eastAsia="仿宋_GB2312" w:cs="仿宋_GB2312"/>
          <w:color w:val="auto"/>
          <w:sz w:val="32"/>
          <w:szCs w:val="32"/>
          <w:u w:val="none" w:color="auto"/>
        </w:rPr>
        <w:t>规章赋予的涉及城市管理执法领域的其他职责和市政府交办的其他执法事项。</w:t>
      </w:r>
    </w:p>
    <w:p>
      <w:pPr>
        <w:wordWrap/>
        <w:adjustRightInd/>
        <w:spacing w:before="0" w:after="0" w:line="240" w:lineRule="auto"/>
        <w:ind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）负责组织拟定全市市容市貌管理相关标准规范并监督实施；负责全市市容市貌的统筹管理，组织协调城市管理重大活动;牵头做好城市街景综合整治工作</w:t>
      </w:r>
      <w:r>
        <w:rPr>
          <w:rFonts w:hint="eastAsia" w:ascii="仿宋_GB2312" w:hAnsi="仿宋_GB2312" w:eastAsia="仿宋_GB2312" w:cs="仿宋_GB2312"/>
          <w:sz w:val="32"/>
          <w:szCs w:val="32"/>
          <w:lang w:eastAsia="zh-CN"/>
        </w:rPr>
        <w:t>；负责市管区域内在城市道路两侧和公共场地临时堆放物料，搭建临时建筑物、构筑物或者其他设施许可；负责市管区域内市容市貌管理工作</w:t>
      </w:r>
      <w:r>
        <w:rPr>
          <w:rFonts w:hint="eastAsia" w:ascii="仿宋_GB2312" w:hAnsi="仿宋_GB2312" w:eastAsia="仿宋_GB2312" w:cs="仿宋_GB2312"/>
          <w:sz w:val="32"/>
          <w:szCs w:val="32"/>
        </w:rPr>
        <w:t>。</w:t>
      </w:r>
    </w:p>
    <w:p>
      <w:pPr>
        <w:wordWrap/>
        <w:adjustRightInd/>
        <w:spacing w:before="0" w:after="0" w:line="240" w:lineRule="auto"/>
        <w:ind w:righ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负责市建成区城市公共空间规划的监管；负责全市户外广告专项规划的组织编制、拟定设置技术规范；负责全市设置大型户外广告及市管区域在城市建筑物、设施上悬挂、张贴宣传品的审批管理；负责市管区域内临街建筑物外部装修审批管理。</w:t>
      </w:r>
    </w:p>
    <w:p>
      <w:pPr>
        <w:wordWrap/>
        <w:adjustRightInd/>
        <w:spacing w:before="0" w:after="0" w:line="240" w:lineRule="auto"/>
        <w:ind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）负责全市环境卫生管理工作的行业监管、督促指导、综合协调、督导考核等；</w:t>
      </w:r>
      <w:r>
        <w:rPr>
          <w:rFonts w:hint="eastAsia" w:ascii="仿宋_GB2312" w:hAnsi="仿宋_GB2312" w:eastAsia="仿宋_GB2312" w:cs="仿宋_GB2312"/>
          <w:sz w:val="32"/>
          <w:szCs w:val="32"/>
          <w:lang w:eastAsia="zh-CN"/>
        </w:rPr>
        <w:t>负责市管区域内环境卫生管理工作；</w:t>
      </w:r>
      <w:r>
        <w:rPr>
          <w:rFonts w:hint="eastAsia" w:ascii="仿宋_GB2312" w:hAnsi="仿宋_GB2312" w:eastAsia="仿宋_GB2312" w:cs="仿宋_GB2312"/>
          <w:color w:val="auto"/>
          <w:sz w:val="32"/>
          <w:szCs w:val="32"/>
        </w:rPr>
        <w:t>负责市建成区生活垃圾的处置、资源化利用和处理费征收；</w:t>
      </w:r>
      <w:r>
        <w:rPr>
          <w:rFonts w:hint="eastAsia" w:ascii="仿宋_GB2312" w:hAnsi="仿宋_GB2312" w:eastAsia="仿宋_GB2312" w:cs="仿宋_GB2312"/>
          <w:sz w:val="32"/>
          <w:szCs w:val="32"/>
          <w:lang w:eastAsia="zh-CN"/>
        </w:rPr>
        <w:t>负责市管区域内环卫设施拆除及异地重建批准；负责市管区域内从事城市生活垃圾经营性清扫、收集、运输、处理服务许可；</w:t>
      </w:r>
      <w:r>
        <w:rPr>
          <w:rFonts w:hint="eastAsia" w:ascii="仿宋_GB2312" w:hAnsi="仿宋_GB2312" w:eastAsia="仿宋_GB2312" w:cs="仿宋_GB2312"/>
          <w:color w:val="auto"/>
          <w:sz w:val="32"/>
          <w:szCs w:val="32"/>
        </w:rPr>
        <w:t>负责市管区域内大型环卫基础设施的管理。</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负责全市建筑垃圾管理和资源化利用工作的行业管理、督促指导、综合协调；</w:t>
      </w:r>
      <w:r>
        <w:rPr>
          <w:rFonts w:hint="eastAsia" w:ascii="仿宋_GB2312" w:hAnsi="仿宋_GB2312" w:eastAsia="仿宋_GB2312" w:cs="仿宋_GB2312"/>
          <w:color w:val="auto"/>
          <w:sz w:val="32"/>
          <w:szCs w:val="32"/>
        </w:rPr>
        <w:t>负责市区范围内建筑垃圾的监督管理工作；负责对魏都区、东城区、经济技术开发区</w:t>
      </w:r>
      <w:r>
        <w:rPr>
          <w:rFonts w:hint="eastAsia" w:ascii="仿宋_GB2312" w:hAnsi="仿宋_GB2312" w:eastAsia="仿宋_GB2312" w:cs="仿宋_GB2312"/>
          <w:color w:val="auto"/>
          <w:sz w:val="32"/>
          <w:szCs w:val="32"/>
          <w:lang w:eastAsia="zh-CN"/>
        </w:rPr>
        <w:t>拆迁</w:t>
      </w:r>
      <w:r>
        <w:rPr>
          <w:rFonts w:hint="eastAsia" w:ascii="仿宋_GB2312" w:hAnsi="仿宋_GB2312" w:eastAsia="仿宋_GB2312" w:cs="仿宋_GB2312"/>
          <w:color w:val="auto"/>
          <w:sz w:val="32"/>
          <w:szCs w:val="32"/>
        </w:rPr>
        <w:t>类建筑垃圾处置核准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处置费征收工作；负责对市区建筑垃圾私拉乱运、污染道路等违章行为的查处工作；负责对市区建筑垃圾无害化处理和资源化利用、特许经营企业的监督指导工作。</w:t>
      </w:r>
    </w:p>
    <w:p>
      <w:pPr>
        <w:wordWrap/>
        <w:adjustRightInd/>
        <w:spacing w:before="0" w:after="0" w:line="240" w:lineRule="auto"/>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十三</w:t>
      </w:r>
      <w:r>
        <w:rPr>
          <w:rFonts w:hint="eastAsia" w:ascii="仿宋_GB2312" w:hAnsi="仿宋_GB2312" w:eastAsia="仿宋_GB2312" w:cs="仿宋_GB2312"/>
          <w:color w:val="auto"/>
          <w:sz w:val="32"/>
          <w:szCs w:val="32"/>
        </w:rPr>
        <w:t>）负责市建成区公共自行车系统建设和运营管理，督促指导各县（市）公共自行车系统建设和运营管理。</w:t>
      </w:r>
    </w:p>
    <w:p>
      <w:pPr>
        <w:wordWrap/>
        <w:adjustRightInd/>
        <w:spacing w:before="0" w:after="0" w:line="240" w:lineRule="auto"/>
        <w:ind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十四</w:t>
      </w:r>
      <w:r>
        <w:rPr>
          <w:rFonts w:hint="eastAsia" w:ascii="仿宋_GB2312" w:hAnsi="仿宋_GB2312" w:eastAsia="仿宋_GB2312" w:cs="仿宋_GB2312"/>
          <w:color w:val="auto"/>
          <w:sz w:val="32"/>
          <w:szCs w:val="32"/>
        </w:rPr>
        <w:t>）负责全市城市景观照明的行业管理、督促指导、综合协调等；负责市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的景观照明项目的组织实施、管理维护。</w:t>
      </w:r>
    </w:p>
    <w:p>
      <w:pPr>
        <w:numPr>
          <w:ilvl w:val="0"/>
          <w:numId w:val="0"/>
        </w:numPr>
        <w:wordWrap/>
        <w:adjustRightInd/>
        <w:spacing w:before="0" w:after="0" w:line="240" w:lineRule="auto"/>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（十五）</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全市园林绿化工作</w:t>
      </w:r>
      <w:r>
        <w:rPr>
          <w:rFonts w:hint="eastAsia" w:ascii="仿宋_GB2312" w:hAnsi="仿宋_GB2312" w:eastAsia="仿宋_GB2312" w:cs="仿宋_GB2312"/>
          <w:sz w:val="32"/>
          <w:szCs w:val="32"/>
          <w:lang w:eastAsia="zh-CN"/>
        </w:rPr>
        <w:t>的行业指导、综合协调工作，拟定相关规范标准并监督实施；负责城市规划区内工程建设涉及城市绿地、树木审批工作；负责市管区域内园林绿化项目的组织实施。</w:t>
      </w:r>
    </w:p>
    <w:p>
      <w:pPr>
        <w:numPr>
          <w:ilvl w:val="0"/>
          <w:numId w:val="0"/>
        </w:numPr>
        <w:wordWrap/>
        <w:adjustRightInd/>
        <w:spacing w:before="0" w:after="0" w:line="240" w:lineRule="auto"/>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（十六）</w:t>
      </w:r>
      <w:r>
        <w:rPr>
          <w:rFonts w:hint="eastAsia" w:ascii="仿宋_GB2312" w:hAnsi="仿宋_GB2312" w:eastAsia="仿宋_GB2312" w:cs="仿宋_GB2312"/>
          <w:color w:val="auto"/>
          <w:sz w:val="32"/>
          <w:szCs w:val="32"/>
        </w:rPr>
        <w:t>负责全市数字化城管系统的运行管理、督促指导、综合协调、督导考核等；督促指导县（市、区）数字化城管系统平台的建设管理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负责全市城市管理突发事件的指挥调度等工作。</w:t>
      </w:r>
    </w:p>
    <w:p>
      <w:pPr>
        <w:wordWrap/>
        <w:adjustRightInd/>
        <w:spacing w:before="0" w:after="0" w:line="240" w:lineRule="auto"/>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市委、市</w:t>
      </w:r>
      <w:r>
        <w:rPr>
          <w:rFonts w:hint="eastAsia" w:ascii="仿宋_GB2312" w:hAnsi="仿宋_GB2312" w:eastAsia="仿宋_GB2312" w:cs="仿宋_GB2312"/>
          <w:color w:val="auto"/>
          <w:sz w:val="32"/>
          <w:szCs w:val="32"/>
        </w:rPr>
        <w:t>政府交办的其他</w:t>
      </w:r>
      <w:r>
        <w:rPr>
          <w:rFonts w:hint="eastAsia" w:ascii="仿宋_GB2312" w:hAnsi="仿宋_GB2312" w:eastAsia="仿宋_GB2312" w:cs="仿宋_GB2312"/>
          <w:color w:val="auto"/>
          <w:sz w:val="32"/>
          <w:szCs w:val="32"/>
          <w:lang w:eastAsia="zh-CN"/>
        </w:rPr>
        <w:t>任务</w:t>
      </w:r>
      <w:r>
        <w:rPr>
          <w:rFonts w:hint="eastAsia" w:ascii="仿宋_GB2312" w:hAnsi="仿宋_GB2312" w:eastAsia="仿宋_GB2312" w:cs="仿宋_GB2312"/>
          <w:color w:val="auto"/>
          <w:sz w:val="32"/>
          <w:szCs w:val="32"/>
        </w:rPr>
        <w:t>。</w:t>
      </w:r>
    </w:p>
    <w:p>
      <w:pPr>
        <w:numPr>
          <w:ilvl w:val="0"/>
          <w:numId w:val="0"/>
        </w:numPr>
        <w:wordWrap/>
        <w:adjustRightInd/>
        <w:spacing w:before="0" w:after="0" w:line="240" w:lineRule="auto"/>
        <w:ind w:right="0" w:firstLine="640" w:firstLineChars="200"/>
        <w:textAlignment w:val="auto"/>
        <w:rPr>
          <w:rFonts w:hint="eastAsia" w:ascii="黑体" w:hAnsi="黑体" w:eastAsia="黑体" w:cs="黑体"/>
          <w:sz w:val="44"/>
          <w:szCs w:val="44"/>
          <w:lang w:eastAsia="zh-CN"/>
        </w:rPr>
      </w:pPr>
      <w:r>
        <w:rPr>
          <w:rFonts w:hint="eastAsia" w:ascii="仿宋_GB2312" w:hAnsi="仿宋_GB2312" w:eastAsia="仿宋_GB2312" w:cs="仿宋_GB2312"/>
          <w:color w:val="auto"/>
          <w:sz w:val="32"/>
          <w:szCs w:val="32"/>
          <w:lang w:eastAsia="zh-CN"/>
        </w:rPr>
        <w:t>（十八）</w:t>
      </w:r>
      <w:r>
        <w:rPr>
          <w:rFonts w:hint="eastAsia" w:ascii="仿宋_GB2312" w:hAnsi="仿宋_GB2312" w:eastAsia="仿宋_GB2312" w:cs="仿宋_GB2312"/>
          <w:sz w:val="32"/>
          <w:szCs w:val="32"/>
          <w:lang w:val="en-US" w:eastAsia="zh-CN"/>
        </w:rPr>
        <w:t>与市住房与城乡建设局、市自然资源和规划局的有关责任分工。城市规划、建设以及其他行政管理部门负责专业技术强的违法违规行为认定、城市规划核实、专业技术鉴定、资质资格和专业技术核准、质量安全监督检查、工作中发现违法事项移交、行政处罚中涉及行政许可事项落实等管理职责；城市管理综合执法部门执行具体行政处罚权及相应的行政强制权，负责城市巡查、督查和问题发现以及查处落实工作；建立健全信息互通、资源共享、协调联动机制，有关行政管理部门应将与城市管理行政执法有关的行政许可和管理信息及时通报城市管理综合执法部门，城市管理综合执法部门应将实施行政处罚的情况和发现的问题通报有关行政管理部门，并提出管理建议。</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 w:val="32"/>
          <w:szCs w:val="32"/>
          <w:lang w:eastAsia="zh-CN"/>
        </w:rPr>
        <w:t>许昌市城市管理局（</w:t>
      </w:r>
      <w:r>
        <w:rPr>
          <w:rFonts w:hint="eastAsia" w:ascii="仿宋_GB2312" w:hAnsi="仿宋_GB2312" w:eastAsia="仿宋_GB2312" w:cs="仿宋_GB2312"/>
          <w:color w:val="auto"/>
          <w:sz w:val="32"/>
          <w:szCs w:val="32"/>
          <w:lang w:eastAsia="zh-CN"/>
        </w:rPr>
        <w:t>本级）内设机构</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个，</w:t>
      </w:r>
      <w:r>
        <w:rPr>
          <w:rFonts w:hint="eastAsia" w:ascii="仿宋" w:hAnsi="仿宋" w:eastAsia="仿宋" w:cs="仿宋"/>
          <w:color w:val="auto"/>
          <w:sz w:val="32"/>
          <w:szCs w:val="32"/>
          <w:lang w:eastAsia="zh-CN"/>
        </w:rPr>
        <w:t>包括：办公室、人事科、计划财务科、政策法规科、市容环境卫生管理科（政务服务科）、园林绿化管理科、督查考核科、机关党委</w:t>
      </w:r>
      <w:r>
        <w:rPr>
          <w:rFonts w:hint="eastAsia" w:ascii="仿宋_GB2312" w:hAnsi="仿宋_GB2312" w:eastAsia="仿宋_GB2312" w:cs="仿宋_GB2312"/>
          <w:color w:val="auto"/>
          <w:sz w:val="32"/>
          <w:szCs w:val="32"/>
          <w:lang w:val="en-US" w:eastAsia="zh-CN"/>
        </w:rPr>
        <w:t>。</w:t>
      </w:r>
    </w:p>
    <w:p>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从决算单位构成看，许昌市城市管理局（本级）单位决算包括：本级决算（1个）。</w:t>
      </w:r>
    </w:p>
    <w:p>
      <w:pPr>
        <w:widowControl/>
        <w:ind w:firstLine="64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bookmarkStart w:id="0" w:name="_GoBack"/>
      <w:bookmarkEnd w:id="0"/>
      <w:r>
        <w:rPr>
          <w:rFonts w:hint="eastAsia" w:ascii="仿宋_GB2312" w:hAnsi="仿宋_GB2312" w:eastAsia="仿宋_GB2312" w:cs="仿宋_GB2312"/>
          <w:color w:val="auto"/>
          <w:kern w:val="0"/>
          <w:sz w:val="32"/>
          <w:szCs w:val="32"/>
          <w:highlight w:val="none"/>
          <w:lang w:val="en-US" w:eastAsia="zh-CN"/>
        </w:rPr>
        <w:t>许昌市城市管理局（本级）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40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577"/>
        <w:gridCol w:w="480"/>
        <w:gridCol w:w="615"/>
        <w:gridCol w:w="2361"/>
        <w:gridCol w:w="3293"/>
        <w:gridCol w:w="1"/>
        <w:gridCol w:w="444"/>
        <w:gridCol w:w="1"/>
        <w:gridCol w:w="3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4066"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057" w:type="dxa"/>
            <w:gridSpan w:val="2"/>
            <w:vAlign w:val="bottom"/>
          </w:tcPr>
          <w:p>
            <w:pPr>
              <w:autoSpaceDN w:val="0"/>
              <w:jc w:val="left"/>
              <w:textAlignment w:val="bottom"/>
              <w:rPr>
                <w:rFonts w:hint="default" w:ascii="Arial" w:hAnsi="宋体"/>
                <w:b w:val="0"/>
                <w:i w:val="0"/>
                <w:color w:val="000000"/>
                <w:sz w:val="20"/>
                <w:u w:val="none"/>
              </w:rPr>
            </w:pPr>
          </w:p>
        </w:tc>
        <w:tc>
          <w:tcPr>
            <w:tcW w:w="615" w:type="dxa"/>
            <w:vAlign w:val="bottom"/>
          </w:tcPr>
          <w:p>
            <w:pPr>
              <w:autoSpaceDN w:val="0"/>
              <w:jc w:val="left"/>
              <w:textAlignment w:val="bottom"/>
              <w:rPr>
                <w:rFonts w:hint="default" w:ascii="Arial" w:hAnsi="宋体"/>
                <w:b w:val="0"/>
                <w:i w:val="0"/>
                <w:color w:val="000000"/>
                <w:sz w:val="20"/>
                <w:u w:val="none"/>
              </w:rPr>
            </w:pPr>
          </w:p>
        </w:tc>
        <w:tc>
          <w:tcPr>
            <w:tcW w:w="2361" w:type="dxa"/>
            <w:vAlign w:val="bottom"/>
          </w:tcPr>
          <w:p>
            <w:pPr>
              <w:autoSpaceDN w:val="0"/>
              <w:jc w:val="left"/>
              <w:textAlignment w:val="bottom"/>
              <w:rPr>
                <w:rFonts w:hint="default" w:ascii="Arial" w:hAnsi="宋体"/>
                <w:b w:val="0"/>
                <w:i w:val="0"/>
                <w:color w:val="000000"/>
                <w:sz w:val="20"/>
                <w:u w:val="none"/>
              </w:rPr>
            </w:pPr>
          </w:p>
        </w:tc>
        <w:tc>
          <w:tcPr>
            <w:tcW w:w="3294" w:type="dxa"/>
            <w:gridSpan w:val="2"/>
            <w:vAlign w:val="bottom"/>
          </w:tcPr>
          <w:p>
            <w:pPr>
              <w:autoSpaceDN w:val="0"/>
              <w:jc w:val="left"/>
              <w:textAlignment w:val="bottom"/>
              <w:rPr>
                <w:rFonts w:hint="default" w:ascii="Arial" w:hAnsi="宋体"/>
                <w:b w:val="0"/>
                <w:i w:val="0"/>
                <w:color w:val="000000"/>
                <w:sz w:val="20"/>
                <w:u w:val="none"/>
              </w:rPr>
            </w:pPr>
          </w:p>
        </w:tc>
        <w:tc>
          <w:tcPr>
            <w:tcW w:w="445" w:type="dxa"/>
            <w:gridSpan w:val="2"/>
            <w:vAlign w:val="bottom"/>
          </w:tcPr>
          <w:p>
            <w:pPr>
              <w:autoSpaceDN w:val="0"/>
              <w:jc w:val="left"/>
              <w:textAlignment w:val="bottom"/>
              <w:rPr>
                <w:rFonts w:hint="default" w:ascii="Arial" w:hAnsi="宋体"/>
                <w:b w:val="0"/>
                <w:i w:val="0"/>
                <w:color w:val="000000"/>
                <w:sz w:val="20"/>
                <w:u w:val="none"/>
              </w:rPr>
            </w:pPr>
          </w:p>
        </w:tc>
        <w:tc>
          <w:tcPr>
            <w:tcW w:w="329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057" w:type="dxa"/>
            <w:gridSpan w:val="2"/>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：许昌市城市管理局（本级）</w:t>
            </w:r>
          </w:p>
        </w:tc>
        <w:tc>
          <w:tcPr>
            <w:tcW w:w="615" w:type="dxa"/>
            <w:vAlign w:val="bottom"/>
          </w:tcPr>
          <w:p>
            <w:pPr>
              <w:autoSpaceDN w:val="0"/>
              <w:jc w:val="left"/>
              <w:textAlignment w:val="bottom"/>
              <w:rPr>
                <w:rFonts w:hint="default" w:ascii="Arial" w:hAnsi="宋体"/>
                <w:b w:val="0"/>
                <w:i w:val="0"/>
                <w:color w:val="000000"/>
                <w:sz w:val="20"/>
                <w:u w:val="none"/>
              </w:rPr>
            </w:pPr>
          </w:p>
        </w:tc>
        <w:tc>
          <w:tcPr>
            <w:tcW w:w="2361" w:type="dxa"/>
            <w:vAlign w:val="bottom"/>
          </w:tcPr>
          <w:p>
            <w:pPr>
              <w:autoSpaceDN w:val="0"/>
              <w:jc w:val="left"/>
              <w:textAlignment w:val="bottom"/>
              <w:rPr>
                <w:rFonts w:hint="default" w:ascii="Arial" w:hAnsi="宋体"/>
                <w:b w:val="0"/>
                <w:i w:val="0"/>
                <w:color w:val="000000"/>
                <w:sz w:val="20"/>
                <w:u w:val="none"/>
              </w:rPr>
            </w:pPr>
          </w:p>
        </w:tc>
        <w:tc>
          <w:tcPr>
            <w:tcW w:w="3294" w:type="dxa"/>
            <w:gridSpan w:val="2"/>
            <w:vAlign w:val="bottom"/>
          </w:tcPr>
          <w:p>
            <w:pPr>
              <w:autoSpaceDN w:val="0"/>
              <w:jc w:val="left"/>
              <w:textAlignment w:val="bottom"/>
              <w:rPr>
                <w:rFonts w:hint="default" w:ascii="Arial" w:hAnsi="宋体"/>
                <w:b w:val="0"/>
                <w:i w:val="0"/>
                <w:color w:val="000000"/>
                <w:sz w:val="20"/>
                <w:u w:val="none"/>
              </w:rPr>
            </w:pPr>
          </w:p>
        </w:tc>
        <w:tc>
          <w:tcPr>
            <w:tcW w:w="445" w:type="dxa"/>
            <w:gridSpan w:val="2"/>
            <w:vAlign w:val="bottom"/>
          </w:tcPr>
          <w:p>
            <w:pPr>
              <w:autoSpaceDN w:val="0"/>
              <w:jc w:val="left"/>
              <w:textAlignment w:val="bottom"/>
              <w:rPr>
                <w:rFonts w:hint="default" w:ascii="Arial" w:hAnsi="宋体"/>
                <w:b w:val="0"/>
                <w:i w:val="0"/>
                <w:color w:val="000000"/>
                <w:sz w:val="20"/>
                <w:u w:val="none"/>
              </w:rPr>
            </w:pPr>
          </w:p>
        </w:tc>
        <w:tc>
          <w:tcPr>
            <w:tcW w:w="329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703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收入</w:t>
            </w:r>
          </w:p>
        </w:tc>
        <w:tc>
          <w:tcPr>
            <w:tcW w:w="7033" w:type="dxa"/>
            <w:gridSpan w:val="5"/>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项目</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行次</w:t>
            </w:r>
          </w:p>
        </w:tc>
        <w:tc>
          <w:tcPr>
            <w:tcW w:w="2976"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金额</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项目</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行次</w:t>
            </w:r>
          </w:p>
        </w:tc>
        <w:tc>
          <w:tcPr>
            <w:tcW w:w="329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栏次</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p>
        </w:tc>
        <w:tc>
          <w:tcPr>
            <w:tcW w:w="2976"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1</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栏次</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p>
        </w:tc>
        <w:tc>
          <w:tcPr>
            <w:tcW w:w="329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一、一般公共预算财政拨款收入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2,513.91</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一、一般公共服务支出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32</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二、政府性基金预算财政拨款收入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二、外交支出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33</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三、国有资本经营预算财政拨款收入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3</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三、国防支出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34</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四、上级补助收入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4</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四、公共安全支出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35</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五、事业收入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5</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五、教育支出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36</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六、经营收入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6</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六、科学技术支出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37</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七、附属单位上缴收入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7</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七、文化旅游体育与传媒支出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38</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八、其他收入</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8</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0.08</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八、社会保障和就业支出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39</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9</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九、卫生健康支出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40</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10</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十、节能环保支出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41</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11</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十一、城乡社区支出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42</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5,413.30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12</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十二、农林水支出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43</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13</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十三、交通运输支出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44</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14</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十四、资源勘探工业信息等支出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45</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15</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十五、商业服务业等支出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46</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16</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十六、金融支出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47</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17</w:t>
            </w:r>
          </w:p>
        </w:tc>
        <w:tc>
          <w:tcPr>
            <w:tcW w:w="29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十七、援助其他地区支出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48</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auto"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auto"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18</w:t>
            </w:r>
          </w:p>
        </w:tc>
        <w:tc>
          <w:tcPr>
            <w:tcW w:w="2976" w:type="dxa"/>
            <w:gridSpan w:val="2"/>
            <w:tcBorders>
              <w:bottom w:val="single" w:color="auto" w:sz="4" w:space="0"/>
              <w:right w:val="single" w:color="000000" w:sz="4" w:space="0"/>
            </w:tcBorders>
            <w:vAlign w:val="center"/>
          </w:tcPr>
          <w:p>
            <w:pPr>
              <w:autoSpaceDN w:val="0"/>
              <w:jc w:val="right"/>
              <w:textAlignment w:val="center"/>
              <w:rPr>
                <w:sz w:val="20"/>
                <w:szCs w:val="20"/>
              </w:rPr>
            </w:pPr>
          </w:p>
        </w:tc>
        <w:tc>
          <w:tcPr>
            <w:tcW w:w="3293" w:type="dxa"/>
            <w:tcBorders>
              <w:bottom w:val="single" w:color="auto"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十八、自然资源海洋气象等支出</w:t>
            </w:r>
          </w:p>
        </w:tc>
        <w:tc>
          <w:tcPr>
            <w:tcW w:w="445" w:type="dxa"/>
            <w:gridSpan w:val="2"/>
            <w:tcBorders>
              <w:bottom w:val="single" w:color="auto"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49</w:t>
            </w:r>
          </w:p>
        </w:tc>
        <w:tc>
          <w:tcPr>
            <w:tcW w:w="3295" w:type="dxa"/>
            <w:gridSpan w:val="2"/>
            <w:tcBorders>
              <w:bottom w:val="single" w:color="auto"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top w:val="single" w:color="auto" w:sz="4" w:space="0"/>
              <w:left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19</w:t>
            </w:r>
          </w:p>
        </w:tc>
        <w:tc>
          <w:tcPr>
            <w:tcW w:w="2976" w:type="dxa"/>
            <w:gridSpan w:val="2"/>
            <w:tcBorders>
              <w:top w:val="single" w:color="auto" w:sz="4" w:space="0"/>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top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十九、住房保障支出</w:t>
            </w:r>
          </w:p>
        </w:tc>
        <w:tc>
          <w:tcPr>
            <w:tcW w:w="445" w:type="dxa"/>
            <w:gridSpan w:val="2"/>
            <w:tcBorders>
              <w:top w:val="single" w:color="auto"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50</w:t>
            </w:r>
          </w:p>
        </w:tc>
        <w:tc>
          <w:tcPr>
            <w:tcW w:w="3295" w:type="dxa"/>
            <w:gridSpan w:val="2"/>
            <w:tcBorders>
              <w:top w:val="single" w:color="auto" w:sz="4" w:space="0"/>
              <w:bottom w:val="single" w:color="000000" w:sz="4" w:space="0"/>
              <w:right w:val="single" w:color="auto"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20</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二十、粮油物资储备支出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51</w:t>
            </w:r>
          </w:p>
        </w:tc>
        <w:tc>
          <w:tcPr>
            <w:tcW w:w="3295" w:type="dxa"/>
            <w:gridSpan w:val="2"/>
            <w:tcBorders>
              <w:bottom w:val="single" w:color="000000" w:sz="4" w:space="0"/>
              <w:right w:val="single" w:color="auto"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21</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二十一、国有资本经营预算支出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52</w:t>
            </w:r>
          </w:p>
        </w:tc>
        <w:tc>
          <w:tcPr>
            <w:tcW w:w="3295" w:type="dxa"/>
            <w:gridSpan w:val="2"/>
            <w:tcBorders>
              <w:bottom w:val="single" w:color="000000" w:sz="4" w:space="0"/>
              <w:right w:val="single" w:color="auto"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22</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二十二、灾害防治及应急管理支出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53</w:t>
            </w:r>
          </w:p>
        </w:tc>
        <w:tc>
          <w:tcPr>
            <w:tcW w:w="3295" w:type="dxa"/>
            <w:gridSpan w:val="2"/>
            <w:tcBorders>
              <w:bottom w:val="single" w:color="000000" w:sz="4" w:space="0"/>
              <w:right w:val="single" w:color="auto"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auto" w:sz="4" w:space="0"/>
              <w:bottom w:val="single" w:color="auto"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auto"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23</w:t>
            </w:r>
          </w:p>
        </w:tc>
        <w:tc>
          <w:tcPr>
            <w:tcW w:w="2976" w:type="dxa"/>
            <w:gridSpan w:val="2"/>
            <w:tcBorders>
              <w:bottom w:val="single" w:color="auto" w:sz="4" w:space="0"/>
              <w:right w:val="single" w:color="000000" w:sz="4" w:space="0"/>
            </w:tcBorders>
            <w:vAlign w:val="center"/>
          </w:tcPr>
          <w:p>
            <w:pPr>
              <w:autoSpaceDN w:val="0"/>
              <w:jc w:val="right"/>
              <w:textAlignment w:val="center"/>
              <w:rPr>
                <w:sz w:val="20"/>
                <w:szCs w:val="20"/>
              </w:rPr>
            </w:pPr>
          </w:p>
        </w:tc>
        <w:tc>
          <w:tcPr>
            <w:tcW w:w="3293" w:type="dxa"/>
            <w:tcBorders>
              <w:bottom w:val="single" w:color="auto"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二十三、其他支出</w:t>
            </w:r>
          </w:p>
        </w:tc>
        <w:tc>
          <w:tcPr>
            <w:tcW w:w="445" w:type="dxa"/>
            <w:gridSpan w:val="2"/>
            <w:tcBorders>
              <w:bottom w:val="single" w:color="auto"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54</w:t>
            </w:r>
          </w:p>
        </w:tc>
        <w:tc>
          <w:tcPr>
            <w:tcW w:w="3295" w:type="dxa"/>
            <w:gridSpan w:val="2"/>
            <w:tcBorders>
              <w:bottom w:val="single" w:color="auto" w:sz="4" w:space="0"/>
              <w:right w:val="single" w:color="auto"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24</w:t>
            </w:r>
          </w:p>
        </w:tc>
        <w:tc>
          <w:tcPr>
            <w:tcW w:w="2976" w:type="dxa"/>
            <w:gridSpan w:val="2"/>
            <w:tcBorders>
              <w:top w:val="single" w:color="auto" w:sz="4" w:space="0"/>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top w:val="single" w:color="auto"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二十四、债务还本支出</w:t>
            </w:r>
          </w:p>
        </w:tc>
        <w:tc>
          <w:tcPr>
            <w:tcW w:w="445" w:type="dxa"/>
            <w:gridSpan w:val="2"/>
            <w:tcBorders>
              <w:top w:val="single" w:color="auto"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55</w:t>
            </w:r>
          </w:p>
        </w:tc>
        <w:tc>
          <w:tcPr>
            <w:tcW w:w="3295" w:type="dxa"/>
            <w:gridSpan w:val="2"/>
            <w:tcBorders>
              <w:top w:val="single" w:color="auto"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25</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二十五、债务付息支出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56</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26</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二十六、抗疫特别国债安排的支出</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57</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i w:val="0"/>
                <w:color w:val="000000"/>
                <w:sz w:val="20"/>
                <w:szCs w:val="20"/>
                <w:u w:val="none"/>
                <w:lang w:eastAsia="zh-CN"/>
              </w:rPr>
              <w:t>本年收入合计</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27</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r>
              <w:rPr>
                <w:rFonts w:hint="default" w:ascii="宋体" w:hAnsi="宋体" w:eastAsia="宋体"/>
                <w:b w:val="0"/>
                <w:i w:val="0"/>
                <w:color w:val="000000"/>
                <w:sz w:val="20"/>
                <w:szCs w:val="20"/>
                <w:u w:val="none"/>
                <w:lang w:eastAsia="zh-CN"/>
              </w:rPr>
              <w:t>2,513.99</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lang w:eastAsia="zh-CN"/>
              </w:rPr>
              <w:t>本年支出合计</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58</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6,295.76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使用非财政拨款结余</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28</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结余分配</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59</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年初结转和结余</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29</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r>
              <w:rPr>
                <w:rFonts w:hint="default" w:ascii="宋体" w:hAnsi="宋体" w:eastAsia="宋体"/>
                <w:b w:val="0"/>
                <w:i w:val="0"/>
                <w:color w:val="000000"/>
                <w:sz w:val="20"/>
                <w:szCs w:val="20"/>
                <w:u w:val="none"/>
                <w:lang w:eastAsia="zh-CN"/>
              </w:rPr>
              <w:t>3,781.90</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年末结转和结余</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60</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30</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shd w:val="clear" w:color="auto" w:fill="C0C0C0"/>
                <w:lang w:eastAsia="zh-CN"/>
              </w:rPr>
            </w:pP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61</w:t>
            </w:r>
          </w:p>
        </w:tc>
        <w:tc>
          <w:tcPr>
            <w:tcW w:w="329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5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i w:val="0"/>
                <w:color w:val="000000"/>
                <w:sz w:val="20"/>
                <w:szCs w:val="20"/>
                <w:u w:val="none"/>
                <w:lang w:eastAsia="zh-CN"/>
              </w:rPr>
              <w:t>总计</w:t>
            </w:r>
          </w:p>
        </w:tc>
        <w:tc>
          <w:tcPr>
            <w:tcW w:w="480" w:type="dxa"/>
            <w:tcBorders>
              <w:left w:val="single" w:color="000000" w:sz="4" w:space="0"/>
              <w:bottom w:val="single" w:color="000000" w:sz="4" w:space="0"/>
              <w:right w:val="single" w:color="000000" w:sz="4" w:space="0"/>
            </w:tcBorders>
            <w:vAlign w:val="center"/>
          </w:tcPr>
          <w:p>
            <w:pPr>
              <w:autoSpaceDN w:val="0"/>
              <w:jc w:val="center"/>
              <w:textAlignment w:val="center"/>
              <w:rPr>
                <w:sz w:val="20"/>
                <w:szCs w:val="20"/>
              </w:rPr>
            </w:pPr>
            <w:r>
              <w:rPr>
                <w:rFonts w:hint="default" w:ascii="宋体" w:hAnsi="宋体" w:eastAsia="宋体"/>
                <w:b w:val="0"/>
                <w:i w:val="0"/>
                <w:color w:val="000000"/>
                <w:sz w:val="20"/>
                <w:szCs w:val="20"/>
                <w:u w:val="none"/>
                <w:lang w:eastAsia="zh-CN"/>
              </w:rPr>
              <w:t>31</w:t>
            </w:r>
          </w:p>
        </w:tc>
        <w:tc>
          <w:tcPr>
            <w:tcW w:w="2976" w:type="dxa"/>
            <w:gridSpan w:val="2"/>
            <w:tcBorders>
              <w:bottom w:val="single" w:color="000000" w:sz="4" w:space="0"/>
              <w:right w:val="single" w:color="000000" w:sz="4" w:space="0"/>
            </w:tcBorders>
            <w:vAlign w:val="center"/>
          </w:tcPr>
          <w:p>
            <w:pPr>
              <w:autoSpaceDN w:val="0"/>
              <w:jc w:val="right"/>
              <w:textAlignment w:val="center"/>
              <w:rPr>
                <w:sz w:val="20"/>
                <w:szCs w:val="20"/>
              </w:rPr>
            </w:pPr>
            <w:r>
              <w:rPr>
                <w:rFonts w:hint="default" w:ascii="宋体" w:hAnsi="宋体" w:eastAsia="宋体"/>
                <w:b w:val="0"/>
                <w:i w:val="0"/>
                <w:color w:val="000000"/>
                <w:sz w:val="20"/>
                <w:szCs w:val="20"/>
                <w:u w:val="none"/>
                <w:lang w:eastAsia="zh-CN"/>
              </w:rPr>
              <w:t>6,295.89</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shd w:val="clear" w:color="auto" w:fill="C0C0C0"/>
                <w:lang w:eastAsia="zh-CN"/>
              </w:rPr>
            </w:pPr>
            <w:r>
              <w:rPr>
                <w:rFonts w:hint="default" w:ascii="宋体" w:hAnsi="宋体" w:eastAsia="宋体"/>
                <w:b/>
                <w:i w:val="0"/>
                <w:color w:val="000000"/>
                <w:sz w:val="20"/>
                <w:szCs w:val="20"/>
                <w:u w:val="none"/>
                <w:lang w:eastAsia="zh-CN"/>
              </w:rPr>
              <w:t>总计</w:t>
            </w:r>
          </w:p>
        </w:tc>
        <w:tc>
          <w:tcPr>
            <w:tcW w:w="4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shd w:val="clear" w:color="auto" w:fill="C0C0C0"/>
                <w:lang w:eastAsia="zh-CN"/>
              </w:rPr>
            </w:pPr>
            <w:r>
              <w:rPr>
                <w:rFonts w:hint="default" w:ascii="宋体" w:hAnsi="宋体" w:eastAsia="宋体"/>
                <w:b w:val="0"/>
                <w:i w:val="0"/>
                <w:color w:val="000000"/>
                <w:sz w:val="20"/>
                <w:szCs w:val="20"/>
                <w:u w:val="none"/>
                <w:lang w:eastAsia="zh-CN"/>
              </w:rPr>
              <w:t>62</w:t>
            </w:r>
          </w:p>
        </w:tc>
        <w:tc>
          <w:tcPr>
            <w:tcW w:w="329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6,295.89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4066" w:type="dxa"/>
            <w:gridSpan w:val="9"/>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注：本表反映</w:t>
            </w:r>
            <w:r>
              <w:rPr>
                <w:rFonts w:hint="eastAsia" w:ascii="宋体" w:hAnsi="宋体"/>
                <w:b w:val="0"/>
                <w:i w:val="0"/>
                <w:color w:val="000000"/>
                <w:sz w:val="20"/>
                <w:szCs w:val="20"/>
                <w:u w:val="none"/>
                <w:lang w:eastAsia="zh-CN"/>
              </w:rPr>
              <w:t>单位</w:t>
            </w:r>
            <w:r>
              <w:rPr>
                <w:rFonts w:hint="default" w:ascii="宋体" w:hAnsi="宋体" w:eastAsia="宋体"/>
                <w:b w:val="0"/>
                <w:i w:val="0"/>
                <w:color w:val="000000"/>
                <w:sz w:val="20"/>
                <w:szCs w:val="20"/>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2,513.99</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2,513.91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val="0"/>
                <w:bCs/>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val="0"/>
                <w:bCs/>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val="0"/>
                <w:bCs/>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val="0"/>
                <w:bCs/>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华文中宋" w:hAnsi="华文中宋" w:eastAsia="华文中宋" w:cs="华文中宋"/>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工会事务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57.92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57.92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行政事业单位养老支出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57.92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57.92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行政单位离退休</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44.08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44.08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机关事业单位基本养老保险缴费支出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13.84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13.84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卫生健康支出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7.26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7.26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公务员医疗补助</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6.70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6.70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节能环保支出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能源管理事务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其他能源管理事务支出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1,652.74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1,652.66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城乡社区管理事务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1,330.21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1,330.13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行政运行</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452.60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452.52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一般行政管理事务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477.44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477.44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其他城乡社区管理事务支出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400.17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400.17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296.28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296.28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296.28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296.28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城乡社区公共设施</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26.25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26.25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其他城乡社区公共设施支出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26.25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26.25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农林水支出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水利</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其他水利支出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904"/>
        <w:gridCol w:w="1904"/>
        <w:gridCol w:w="1904"/>
        <w:gridCol w:w="1904"/>
        <w:gridCol w:w="1904"/>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463" w:type="dxa"/>
            <w:gridSpan w:val="5"/>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6,295.76</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584.87</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5,710.89</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一般公共服务支出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群众团体事务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工会事务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社会保障和就业支出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70.78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70.78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行政事业单位养老支出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70.78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70.78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行政单位离退休</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47.18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47.18</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机关事业单位基本养老保险缴费支出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23.59</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23.59</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其他行政事业单位养老支出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卫生健康支出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22.32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22.32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行政事业单位医疗</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22.32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22.32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行政单位医疗</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11.43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11.43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公务员医疗补助</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10.89</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10.89</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节能环保支出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能源管理事务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其他能源管理事务支出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785.53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5,413.30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489.94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4,923.35</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城乡社区管理事务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3,369.94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489.94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2,880.00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行政运行</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489.94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489.94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一般行政管理事务</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2,479.84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2,479.84</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 xml:space="preserve"> 其他城乡社区管理事务支出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400.17</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400.17</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299.12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299.12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299.12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299.12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城乡社区公共设施</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1,744.23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1,744.23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其他城乡社区公共设施支出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1,744.23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1,744.23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农林水支出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水利</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其他水利支出</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9"/>
        <w:gridCol w:w="665"/>
        <w:gridCol w:w="1842"/>
        <w:gridCol w:w="2748"/>
        <w:gridCol w:w="630"/>
        <w:gridCol w:w="1125"/>
        <w:gridCol w:w="1230"/>
        <w:gridCol w:w="319"/>
        <w:gridCol w:w="942"/>
        <w:gridCol w:w="1"/>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12921"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财政拨款收入支出决算总表</w:t>
            </w:r>
          </w:p>
        </w:tc>
        <w:tc>
          <w:tcPr>
            <w:tcW w:w="1059"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341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6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4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748"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3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49"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2002"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341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66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4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748"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3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49"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2"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5926"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8054" w:type="dxa"/>
            <w:gridSpan w:val="8"/>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8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金额</w:t>
            </w:r>
          </w:p>
        </w:tc>
        <w:tc>
          <w:tcPr>
            <w:tcW w:w="27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一般公共预算财政拨款</w:t>
            </w: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政府性基金预算财政拨款</w:t>
            </w: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7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61"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060" w:type="dxa"/>
            <w:gridSpan w:val="2"/>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2,513.91</w:t>
            </w: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一、一般公共服务支出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33</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auto"/>
                <w:sz w:val="20"/>
                <w:szCs w:val="20"/>
                <w:highlight w:val="none"/>
                <w:u w:val="none"/>
                <w:lang w:eastAsia="zh-CN"/>
              </w:rPr>
              <w:t>1.83</w:t>
            </w: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auto"/>
                <w:sz w:val="20"/>
                <w:szCs w:val="20"/>
                <w:highlight w:val="none"/>
                <w:u w:val="none"/>
                <w:lang w:eastAsia="zh-CN"/>
              </w:rPr>
              <w:t>1.83</w:t>
            </w: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二、政府性基金预算财政拨款</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二、外交支出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34</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三、国防支出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35</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四、公共安全支出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36</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五、教育支出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37</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六、科学技术支出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eastAsia="zh-CN"/>
              </w:rPr>
              <w:t>38</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七、文化旅游体育与传媒支出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39</w:t>
            </w:r>
          </w:p>
        </w:tc>
        <w:tc>
          <w:tcPr>
            <w:tcW w:w="11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八、社会保障和就业支出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40</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70.78</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70.78</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九、卫生健康支出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41</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22.32</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22.32</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10</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十、节能环保支出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42</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785.53</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785.53</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11</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十一、城乡社区支出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43</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5,410.47</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5,410.47</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十二、农林水支出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44</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2.00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2.00</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13</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十三、交通运输支出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45</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14</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十四、资源勘探工业信息等支出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46</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15</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十五、商业服务业等支出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47</w:t>
            </w:r>
          </w:p>
        </w:tc>
        <w:tc>
          <w:tcPr>
            <w:tcW w:w="1125" w:type="dxa"/>
            <w:tcBorders>
              <w:top w:val="single" w:color="000000" w:sz="4" w:space="0"/>
              <w:left w:val="nil"/>
              <w:bottom w:val="single" w:color="000000" w:sz="4" w:space="0"/>
              <w:right w:val="nil"/>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16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十六、金融支出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48</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十七、援助其他地区支出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49</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18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十八、自然资源海洋气象等支出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50</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19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十九、住房保障支出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51</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二十、粮油物资储备支出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二十一、国有资本经营预算支出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53</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二十二、灾害防治及应急管理支出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54</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23</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二十三、其他支出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55</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24</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二十四、债务还本支出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25</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二十五、债务付息支出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57</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26</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二十六、抗疫特别国债安排的支出</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58</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r>
              <w:rPr>
                <w:rFonts w:hint="eastAsia" w:ascii="宋体" w:hAnsi="宋体" w:cs="宋体"/>
                <w:b/>
                <w:color w:val="000000"/>
                <w:kern w:val="0"/>
                <w:sz w:val="20"/>
                <w:szCs w:val="20"/>
                <w:highlight w:val="none"/>
              </w:rPr>
              <w:t>本年收入合计</w:t>
            </w: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27</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2,513.91</w:t>
            </w: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center"/>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本年支出合计</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59</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6,292.93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6,292.93</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财政拨款结转和结余</w:t>
            </w: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28</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3,779.02</w:t>
            </w: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r>
              <w:rPr>
                <w:rFonts w:hint="default" w:ascii="宋体" w:hAnsi="宋体" w:eastAsia="宋体"/>
                <w:b w:val="0"/>
                <w:i w:val="0"/>
                <w:color w:val="000000"/>
                <w:sz w:val="20"/>
                <w:szCs w:val="20"/>
                <w:u w:val="none"/>
                <w:lang w:eastAsia="zh-CN"/>
              </w:rPr>
              <w:t>年末财政拨款结转和结余</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60</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rPr>
            </w:pPr>
            <w:r>
              <w:rPr>
                <w:rFonts w:hint="eastAsia" w:ascii="宋体" w:hAnsi="宋体" w:cs="宋体"/>
                <w:color w:val="000000"/>
                <w:kern w:val="0"/>
                <w:sz w:val="20"/>
                <w:szCs w:val="20"/>
                <w:highlight w:val="none"/>
              </w:rPr>
              <w:t xml:space="preserve">      一般公共预算财政拨款</w:t>
            </w:r>
          </w:p>
        </w:tc>
        <w:tc>
          <w:tcPr>
            <w:tcW w:w="665"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000000"/>
                <w:kern w:val="0"/>
                <w:sz w:val="20"/>
                <w:szCs w:val="20"/>
                <w:highlight w:val="none"/>
                <w:lang w:val="en-US" w:eastAsia="zh-CN"/>
              </w:rPr>
            </w:pPr>
            <w:r>
              <w:rPr>
                <w:rFonts w:hint="default" w:ascii="宋体" w:hAnsi="宋体" w:eastAsia="宋体"/>
                <w:b w:val="0"/>
                <w:i w:val="0"/>
                <w:color w:val="000000"/>
                <w:sz w:val="20"/>
                <w:szCs w:val="20"/>
                <w:u w:val="none"/>
                <w:lang w:eastAsia="zh-CN"/>
              </w:rPr>
              <w:t>29</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3,779.02</w:t>
            </w: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default" w:ascii="宋体" w:hAnsi="宋体" w:eastAsia="宋体"/>
                <w:b/>
                <w:i w:val="0"/>
                <w:color w:val="000000"/>
                <w:sz w:val="20"/>
                <w:szCs w:val="20"/>
                <w:u w:val="none"/>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61</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政府性基金预算财政拨款</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30</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62</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sz w:val="20"/>
                <w:szCs w:val="20"/>
                <w:highlight w:val="none"/>
                <w:lang w:val="en-US" w:eastAsia="zh-CN"/>
              </w:rPr>
              <w:t>31</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left"/>
              <w:textAlignment w:val="center"/>
              <w:rPr>
                <w:rFonts w:hint="eastAsia" w:ascii="宋体" w:hAnsi="宋体" w:cs="宋体"/>
                <w:color w:val="auto"/>
                <w:sz w:val="20"/>
                <w:szCs w:val="20"/>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auto"/>
                <w:kern w:val="0"/>
                <w:sz w:val="20"/>
                <w:szCs w:val="20"/>
                <w:highlight w:val="none"/>
              </w:rPr>
            </w:pPr>
            <w:r>
              <w:rPr>
                <w:rFonts w:hint="default" w:ascii="宋体" w:hAnsi="宋体" w:eastAsia="宋体"/>
                <w:b w:val="0"/>
                <w:i w:val="0"/>
                <w:color w:val="000000"/>
                <w:sz w:val="20"/>
                <w:szCs w:val="20"/>
                <w:u w:val="none"/>
                <w:lang w:eastAsia="zh-CN"/>
              </w:rPr>
              <w:t>63</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341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32</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6,292.93</w:t>
            </w:r>
          </w:p>
        </w:tc>
        <w:tc>
          <w:tcPr>
            <w:tcW w:w="274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utoSpaceDN w:val="0"/>
              <w:jc w:val="center"/>
              <w:textAlignment w:val="center"/>
              <w:rPr>
                <w:rFonts w:hint="eastAsia" w:ascii="宋体" w:hAnsi="宋体" w:cs="宋体"/>
                <w:b/>
                <w:color w:val="auto"/>
                <w:sz w:val="20"/>
                <w:szCs w:val="20"/>
                <w:highlight w:val="none"/>
              </w:rPr>
            </w:pPr>
            <w:r>
              <w:rPr>
                <w:rFonts w:hint="default" w:ascii="宋体" w:hAnsi="宋体" w:eastAsia="宋体"/>
                <w:b/>
                <w:i w:val="0"/>
                <w:color w:val="000000"/>
                <w:sz w:val="20"/>
                <w:szCs w:val="20"/>
                <w:u w:val="none"/>
                <w:lang w:eastAsia="zh-CN"/>
              </w:rPr>
              <w:t>总计</w:t>
            </w:r>
          </w:p>
        </w:tc>
        <w:tc>
          <w:tcPr>
            <w:tcW w:w="630" w:type="dxa"/>
            <w:tcBorders>
              <w:top w:val="single" w:color="000000" w:sz="4" w:space="0"/>
              <w:left w:val="single" w:color="000000" w:sz="4" w:space="0"/>
              <w:bottom w:val="single" w:color="000000" w:sz="4" w:space="0"/>
              <w:right w:val="single" w:color="000000" w:sz="4" w:space="0"/>
            </w:tcBorders>
            <w:shd w:val="clear" w:color="C0C0C0" w:fill="auto"/>
            <w:tcMar>
              <w:top w:w="15" w:type="dxa"/>
              <w:left w:w="15" w:type="dxa"/>
              <w:right w:w="15" w:type="dxa"/>
            </w:tcMar>
            <w:vAlign w:val="center"/>
          </w:tcPr>
          <w:p>
            <w:pPr>
              <w:autoSpaceDN w:val="0"/>
              <w:jc w:val="center"/>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64</w:t>
            </w: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6,292.93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N w:val="0"/>
              <w:jc w:val="right"/>
              <w:textAlignment w:val="center"/>
              <w:rPr>
                <w:rFonts w:hint="eastAsia" w:ascii="宋体" w:hAnsi="宋体" w:cs="宋体"/>
                <w:color w:val="auto"/>
                <w:sz w:val="20"/>
                <w:szCs w:val="20"/>
                <w:highlight w:val="none"/>
              </w:rPr>
            </w:pPr>
            <w:r>
              <w:rPr>
                <w:rFonts w:hint="default" w:ascii="宋体" w:hAnsi="宋体" w:eastAsia="宋体"/>
                <w:b w:val="0"/>
                <w:i w:val="0"/>
                <w:color w:val="000000"/>
                <w:sz w:val="20"/>
                <w:szCs w:val="20"/>
                <w:u w:val="none"/>
                <w:lang w:eastAsia="zh-CN"/>
              </w:rPr>
              <w:t>6,292.93</w:t>
            </w:r>
          </w:p>
        </w:tc>
        <w:tc>
          <w:tcPr>
            <w:tcW w:w="1261"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color w:val="auto"/>
                <w:sz w:val="20"/>
                <w:szCs w:val="20"/>
                <w:highlight w:val="none"/>
              </w:rPr>
            </w:pPr>
          </w:p>
        </w:tc>
        <w:tc>
          <w:tcPr>
            <w:tcW w:w="1060" w:type="dxa"/>
            <w:gridSpan w:val="2"/>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12920"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60" w:type="dxa"/>
            <w:gridSpan w:val="2"/>
            <w:tcBorders>
              <w:top w:val="single" w:color="000000" w:sz="8" w:space="0"/>
              <w:left w:val="nil"/>
              <w:bottom w:val="nil"/>
              <w:right w:val="nil"/>
            </w:tcBorders>
            <w:vAlign w:val="top"/>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4"/>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2"/>
                <w:rFonts w:hint="default"/>
                <w:sz w:val="20"/>
                <w:szCs w:val="20"/>
                <w:highlight w:val="none"/>
              </w:rPr>
              <w:t xml:space="preserve">   </w:t>
            </w:r>
            <w:r>
              <w:rPr>
                <w:rStyle w:val="10"/>
                <w:rFonts w:hint="default"/>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6,292.93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584.87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5,708.06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1.83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70.78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70.78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70.78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70.78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47.18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47.18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23.59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23.59</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2080599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其他行政事业单位养老支出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0.01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0.01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22.32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22.32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22.32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22.32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11.43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11.43</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2101103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公务员医疗补助</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10.89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10.89</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节能环保支出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能源管理事务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2111499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其他能源管理事务支出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5,410.47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489.94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4,920.52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城乡社区管理事务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3,367.11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489.94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2,877.17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行政运行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489.94</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489.94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一般行政管理事务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2,477.01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2,477.01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2120199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其他城乡社区管理事务支出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400.17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400.17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299.12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2120201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城乡社区规划与管理</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299.12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城乡社区公共设施</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1,744.23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1,744.23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2120399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其他城乡社区公共设施支出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1,744.23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1,744.23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水利</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2130399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其他水利支出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b w:val="0"/>
                <w:bCs/>
                <w:color w:val="000000"/>
                <w:sz w:val="20"/>
                <w:szCs w:val="20"/>
                <w:highlight w:val="none"/>
              </w:rPr>
            </w:pPr>
            <w:r>
              <w:rPr>
                <w:rFonts w:hint="default" w:ascii="宋体" w:hAnsi="宋体" w:eastAsia="宋体"/>
                <w:b w:val="0"/>
                <w:bCs/>
                <w:i w:val="0"/>
                <w:color w:val="000000"/>
                <w:sz w:val="20"/>
                <w:szCs w:val="20"/>
                <w:u w:val="none"/>
                <w:lang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51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rPr>
              <w:t>单位</w:t>
            </w:r>
            <w:r>
              <w:rPr>
                <w:rFonts w:ascii="Arial" w:hAnsi="Arial" w:cs="Arial"/>
                <w:color w:val="000000"/>
                <w:kern w:val="0"/>
                <w:sz w:val="20"/>
                <w:szCs w:val="20"/>
                <w:highlight w:val="none"/>
              </w:rPr>
              <w:t>：</w:t>
            </w:r>
            <w:r>
              <w:rPr>
                <w:rFonts w:hint="eastAsia" w:ascii="Arial" w:hAnsi="Arial" w:cs="Arial"/>
                <w:color w:val="000000"/>
                <w:kern w:val="0"/>
                <w:sz w:val="20"/>
                <w:szCs w:val="20"/>
                <w:highlight w:val="none"/>
                <w:lang w:eastAsia="zh-CN"/>
              </w:rPr>
              <w:t>许昌市城市管理局（本级）</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367.60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169.39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94.03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23.09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167.76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37.46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机关事业单位基本养老保险</w:t>
            </w:r>
            <w:r>
              <w:rPr>
                <w:rFonts w:hint="eastAsia" w:ascii="宋体" w:hAnsi="宋体" w:cs="宋体"/>
                <w:color w:val="000000"/>
                <w:kern w:val="0"/>
                <w:sz w:val="20"/>
                <w:szCs w:val="20"/>
                <w:highlight w:val="none"/>
                <w:lang w:eastAsia="zh-CN"/>
              </w:rPr>
              <w:t>缴</w:t>
            </w:r>
            <w:r>
              <w:rPr>
                <w:rFonts w:hint="eastAsia" w:ascii="宋体" w:hAnsi="宋体" w:cs="宋体"/>
                <w:color w:val="000000"/>
                <w:kern w:val="0"/>
                <w:sz w:val="20"/>
                <w:szCs w:val="20"/>
                <w:highlight w:val="none"/>
              </w:rPr>
              <w:t>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23.59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11.43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22.18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5.53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61.82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47.69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47.19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0.73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36.86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30311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val="en-US" w:eastAsia="zh-CN"/>
              </w:rPr>
              <w:t xml:space="preserve">  </w:t>
            </w:r>
            <w:r>
              <w:rPr>
                <w:rFonts w:hint="eastAsia" w:ascii="宋体" w:hAnsi="宋体" w:cs="宋体"/>
                <w:color w:val="000000"/>
                <w:sz w:val="20"/>
                <w:szCs w:val="20"/>
                <w:highlight w:val="none"/>
                <w:lang w:eastAsia="zh-CN"/>
              </w:rPr>
              <w:t>代缴社会保险费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19.66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1.45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415.30</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169.57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6.50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2.50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2.77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2.05</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2.05</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
        <w:gridCol w:w="535"/>
        <w:gridCol w:w="1273"/>
        <w:gridCol w:w="1920"/>
        <w:gridCol w:w="1921"/>
        <w:gridCol w:w="1921"/>
        <w:gridCol w:w="1922"/>
        <w:gridCol w:w="1921"/>
        <w:gridCol w:w="1928"/>
        <w:gridCol w:w="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527" w:hRule="atLeast"/>
        </w:trPr>
        <w:tc>
          <w:tcPr>
            <w:tcW w:w="13951"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270" w:hRule="atLeast"/>
        </w:trPr>
        <w:tc>
          <w:tcPr>
            <w:tcW w:w="61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338" w:type="dxa"/>
            <w:gridSpan w:val="4"/>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eastAsia="zh-CN"/>
              </w:rPr>
              <w:t>许昌市城市管理局（本级）</w:t>
            </w:r>
          </w:p>
        </w:tc>
        <w:tc>
          <w:tcPr>
            <w:tcW w:w="192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57"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63" w:hRule="atLeast"/>
        </w:trPr>
        <w:tc>
          <w:tcPr>
            <w:tcW w:w="241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0"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1"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64"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28"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474" w:hRule="atLeast"/>
        </w:trPr>
        <w:tc>
          <w:tcPr>
            <w:tcW w:w="1145"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1"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28"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26" w:hRule="atLeast"/>
        </w:trPr>
        <w:tc>
          <w:tcPr>
            <w:tcW w:w="114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400" w:hRule="atLeast"/>
        </w:trPr>
        <w:tc>
          <w:tcPr>
            <w:tcW w:w="114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241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241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392" w:hRule="atLeast"/>
        </w:trPr>
        <w:tc>
          <w:tcPr>
            <w:tcW w:w="1145"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 w:type="dxa"/>
          <w:trHeight w:val="1057" w:hRule="atLeast"/>
        </w:trPr>
        <w:tc>
          <w:tcPr>
            <w:tcW w:w="13951"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b w:val="0"/>
                <w:i w:val="0"/>
                <w:color w:val="000000"/>
                <w:sz w:val="20"/>
                <w:szCs w:val="20"/>
                <w:u w:val="none"/>
                <w:lang w:eastAsia="zh-CN"/>
              </w:rPr>
              <w:t>单位</w:t>
            </w:r>
            <w:r>
              <w:rPr>
                <w:rFonts w:hint="eastAsia" w:ascii="宋体" w:hAnsi="宋体" w:cs="宋体"/>
                <w:color w:val="000000"/>
                <w:kern w:val="0"/>
                <w:sz w:val="20"/>
                <w:szCs w:val="20"/>
                <w:highlight w:val="none"/>
              </w:rPr>
              <w:t>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6295.89</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1327.01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17.41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2513.99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2513.91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99.9968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0.0032</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6295.76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584.87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5710.89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90.71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6292.93</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1260.18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16.68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6292.93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99.96</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1276.69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25.45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w:t>
      </w:r>
      <w:r>
        <w:rPr>
          <w:rFonts w:hint="eastAsia" w:ascii="仿宋_GB2312" w:hAnsi="仿宋_GB2312" w:eastAsia="仿宋_GB2312" w:cs="仿宋_GB2312"/>
          <w:sz w:val="32"/>
          <w:szCs w:val="32"/>
          <w:highlight w:val="none"/>
          <w:lang w:val="en-US" w:eastAsia="zh-CN"/>
        </w:rPr>
        <w:t>拨付</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lang w:val="en-US" w:eastAsia="zh-CN"/>
        </w:rPr>
        <w:t>性质</w:t>
      </w:r>
      <w:r>
        <w:rPr>
          <w:rFonts w:hint="eastAsia" w:ascii="仿宋_GB2312" w:hAnsi="仿宋_GB2312" w:eastAsia="仿宋_GB2312" w:cs="仿宋_GB2312"/>
          <w:sz w:val="32"/>
          <w:szCs w:val="32"/>
          <w:highlight w:val="none"/>
          <w:lang w:eastAsia="zh-CN"/>
        </w:rPr>
        <w:t>为一般公共预算财政拨款</w:t>
      </w:r>
      <w:r>
        <w:rPr>
          <w:rFonts w:hint="eastAsia" w:ascii="仿宋_GB2312" w:hAnsi="仿宋_GB2312" w:eastAsia="仿宋_GB2312" w:cs="仿宋_GB2312"/>
          <w:sz w:val="32"/>
          <w:szCs w:val="32"/>
          <w:highlight w:val="none"/>
          <w:lang w:val="en-US" w:eastAsia="zh-CN"/>
        </w:rPr>
        <w:t>的项目经费较上年增加</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6292.93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70.78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22.32万元，占0.35%；节能环保（类）支出785.53万元，占12.48%；城乡社区（类）支出5410.47万元，占85.98%；农林水（类）支出2.00万元，占0.03%</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553.20</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6292.93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1137.55</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99.73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预算数据保留整数，四舍五入产生误差</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22.17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106.41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社保基数调整，增加基数，使用上年结转资金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其他行政事业单位养老支出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100.26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社保基数调整，核算缴费基数时四舍五入产生误差</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99.31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社保基数调整，核算缴费基数时四舍五入产生误差</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节能环保</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能源管理事务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其他能源管理事务支出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785.53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追加垃圾焚烧补贴款未列入年度部门预算</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459.62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489.94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106.60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color w:val="auto"/>
          <w:sz w:val="32"/>
          <w:szCs w:val="32"/>
          <w:highlight w:val="none"/>
          <w:lang w:eastAsia="zh-CN"/>
        </w:rPr>
        <w:t>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年中追加人员晋级晋档、新增人员各项经费</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color w:val="auto"/>
          <w:sz w:val="32"/>
          <w:szCs w:val="32"/>
          <w:highlight w:val="none"/>
          <w:lang w:eastAsia="zh-CN"/>
        </w:rPr>
        <w:t>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2477.01</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追加项目款未列入年度部门预算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其他城乡社区管理事务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400.17</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追加项目尾款和中央公园管养经费未列入年度部门预算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城乡社区规划与管理</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城乡社区规划与管理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299.12</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财政拨付及年中追加人员经费</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城乡社区公共设施</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其他城乡社区公共设施</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1744.23</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color w:val="auto"/>
          <w:sz w:val="32"/>
          <w:szCs w:val="32"/>
          <w:highlight w:val="none"/>
        </w:rPr>
        <w:t>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项目工程款、中央公园管养经费等未列入年度部门预算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水利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其他水利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color w:val="auto"/>
          <w:sz w:val="32"/>
          <w:szCs w:val="32"/>
          <w:highlight w:val="none"/>
        </w:rPr>
        <w:t>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该项资金为</w:t>
      </w:r>
      <w:r>
        <w:rPr>
          <w:rFonts w:hint="eastAsia" w:ascii="仿宋_GB2312" w:hAnsi="仿宋_GB2312" w:eastAsia="仿宋_GB2312" w:cs="仿宋_GB2312"/>
          <w:color w:val="auto"/>
          <w:sz w:val="32"/>
          <w:szCs w:val="32"/>
          <w:highlight w:val="none"/>
          <w:lang w:val="en-US" w:eastAsia="zh-CN"/>
        </w:rPr>
        <w:t>河湖水系考核</w:t>
      </w:r>
      <w:r>
        <w:rPr>
          <w:rFonts w:hint="eastAsia" w:ascii="仿宋_GB2312" w:hAnsi="仿宋_GB2312" w:eastAsia="仿宋_GB2312" w:cs="仿宋_GB2312"/>
          <w:color w:val="auto"/>
          <w:sz w:val="32"/>
          <w:szCs w:val="32"/>
          <w:highlight w:val="none"/>
          <w:lang w:eastAsia="zh-CN"/>
        </w:rPr>
        <w:t>奖励资金，未列入年度部门预算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584.87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415.30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w:t>
      </w:r>
      <w:r>
        <w:rPr>
          <w:rFonts w:hint="eastAsia" w:ascii="仿宋_GB2312" w:hAnsi="仿宋_GB2312" w:eastAsia="仿宋_GB2312" w:cs="仿宋_GB2312"/>
          <w:sz w:val="32"/>
          <w:szCs w:val="32"/>
          <w:highlight w:val="none"/>
          <w:lang w:eastAsia="zh-CN"/>
        </w:rPr>
        <w:t>缴</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w:t>
      </w:r>
      <w:r>
        <w:rPr>
          <w:rFonts w:hint="eastAsia" w:ascii="仿宋_GB2312" w:hAnsi="仿宋_GB2312" w:eastAsia="仿宋_GB2312" w:cs="仿宋_GB2312"/>
          <w:sz w:val="32"/>
          <w:szCs w:val="32"/>
          <w:highlight w:val="none"/>
          <w:lang w:eastAsia="zh-CN"/>
        </w:rPr>
        <w:t>代缴社会保险费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169.57</w:t>
      </w:r>
      <w:r>
        <w:rPr>
          <w:rFonts w:hint="eastAsia" w:ascii="仿宋_GB2312" w:hAnsi="仿宋_GB2312" w:eastAsia="仿宋_GB2312" w:cs="仿宋_GB2312"/>
          <w:sz w:val="32"/>
          <w:szCs w:val="32"/>
          <w:highlight w:val="none"/>
        </w:rPr>
        <w:t>万元，主要包括：办公费、印刷费、邮电费、差旅费、维修（护）费、租赁费、会议费、公务接待费、专用材料费、委托业务费、工会经费、福利费、公务用车运行维护费、其他交通费用、其他商品和服务支出、办公设备购置。</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42.62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74.01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25.99</w:t>
      </w:r>
      <w:r>
        <w:rPr>
          <w:rFonts w:hint="eastAsia" w:ascii="仿宋_GB2312" w:hAnsi="仿宋_GB2312" w:eastAsia="仿宋_GB2312" w:cs="仿宋_GB2312"/>
          <w:sz w:val="32"/>
          <w:szCs w:val="32"/>
          <w:highlight w:val="none"/>
        </w:rPr>
        <w:t>%。具体情况如下：</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公务用车燃油费、维修保养费、过路过桥费、车辆保险费等支出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28.80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外地市城市管理部门学习、考察等公务接待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148.75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b w:val="0"/>
          <w:bCs w:val="0"/>
          <w:sz w:val="32"/>
          <w:szCs w:val="32"/>
          <w:lang w:val="en-US" w:eastAsia="zh-CN"/>
        </w:rPr>
        <w:t>正常工作需要，使用上年度结转资金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2021年期末，我单位国有资产车辆较</w:t>
      </w:r>
      <w:r>
        <w:rPr>
          <w:rFonts w:hint="eastAsia" w:ascii="仿宋_GB2312" w:hAnsi="仿宋_GB2312" w:eastAsia="仿宋_GB2312" w:cs="仿宋_GB2312"/>
          <w:sz w:val="32"/>
          <w:szCs w:val="32"/>
          <w:highlight w:val="none"/>
        </w:rPr>
        <w:t>公务用车保有量</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1辆，为中央公园管理巡逻使用的电动车辆。</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ordWrap/>
        <w:adjustRightInd/>
        <w:snapToGrid/>
        <w:spacing w:before="0" w:after="0" w:line="560" w:lineRule="exact"/>
        <w:ind w:left="0" w:leftChars="0" w:right="0"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认真做好年度财政资金的预算编制与预算绩效目标编制工作，做到应编尽编。在资金使用和管理方面，进一步强化支出管理，明确开支范围，细化资金用途，做到“预算编制有目标、预算执行有</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”，促进绩效目标如期保质保量实现。</w:t>
      </w:r>
      <w:r>
        <w:rPr>
          <w:rFonts w:hint="eastAsia" w:ascii="仿宋_GB2312" w:hAnsi="仿宋_GB2312" w:eastAsia="仿宋_GB2312" w:cs="仿宋_GB2312"/>
          <w:color w:val="000000"/>
          <w:kern w:val="0"/>
          <w:sz w:val="32"/>
          <w:szCs w:val="32"/>
          <w:lang w:val="en-US" w:eastAsia="zh-CN"/>
        </w:rPr>
        <w:t>按照年初工作任务安排，在财政资金的支持下有序开展城市管理相关工作，确保各项目标能够完成。实施的预算支出与实际需求高度相关</w:t>
      </w:r>
      <w:r>
        <w:rPr>
          <w:rFonts w:hint="eastAsia" w:ascii="仿宋_GB2312" w:hAnsi="仿宋_GB2312" w:eastAsia="仿宋_GB2312" w:cs="仿宋_GB2312"/>
          <w:color w:val="auto"/>
          <w:kern w:val="0"/>
          <w:sz w:val="32"/>
          <w:szCs w:val="32"/>
          <w:highlight w:val="none"/>
          <w:lang w:val="en-US" w:eastAsia="zh-CN"/>
        </w:rPr>
        <w:t>；具有明确的绩效目标，预算资金到位及时，预算实施过程中严格按实际需要实施，具有较高的效率；预算项目的顺利实施有力的保障了我单位工作的良性开展，取得了优异的成绩，具有较好的经济效益和社会效益，实施效果较好。</w:t>
      </w:r>
      <w:r>
        <w:rPr>
          <w:rFonts w:hint="eastAsia" w:ascii="仿宋_GB2312" w:hAnsi="仿宋_GB2312" w:eastAsia="仿宋_GB2312" w:cs="仿宋_GB2312"/>
          <w:sz w:val="32"/>
          <w:szCs w:val="32"/>
        </w:rPr>
        <w:t>全年基本支出保证了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的正常运行和日常工作的正常开展，项目支出保证了业务工作有效开展，达到预期绩效目标。</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before="0" w:after="0"/>
        <w:ind w:left="0" w:leftChars="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预算执行率达到100%，财政资金的使用严格按照财政部门工作要求，加强财务管理，规范支出手续，保证资金使用依法依规，有效保证了各项工作的开展，取得了良好的社会效益。二是项目绩效自评情况：7</w:t>
      </w:r>
      <w:r>
        <w:rPr>
          <w:rFonts w:hint="eastAsia" w:ascii="仿宋_GB2312" w:hAnsi="Times New Roman" w:eastAsia="仿宋_GB2312" w:cs="Times New Roman"/>
          <w:kern w:val="2"/>
          <w:sz w:val="32"/>
          <w:szCs w:val="32"/>
          <w:lang w:val="en-US" w:eastAsia="zh-CN" w:bidi="ar-SA"/>
        </w:rPr>
        <w:t>个项目分别按照实施内容和目标进行开展，全部执行完毕，</w:t>
      </w:r>
      <w:r>
        <w:rPr>
          <w:rFonts w:hint="eastAsia" w:ascii="仿宋" w:hAnsi="仿宋" w:eastAsia="仿宋" w:cs="仿宋"/>
          <w:color w:val="000000"/>
          <w:kern w:val="0"/>
          <w:sz w:val="32"/>
          <w:szCs w:val="32"/>
          <w:lang w:val="en-US" w:eastAsia="zh-CN"/>
        </w:rPr>
        <w:t>项目预算执行、产出指标、经济指标、服务对象满意度等指标完成较好，</w:t>
      </w:r>
      <w:r>
        <w:rPr>
          <w:rFonts w:hint="eastAsia" w:ascii="仿宋_GB2312" w:hAnsi="Times New Roman" w:eastAsia="仿宋_GB2312" w:cs="Times New Roman"/>
          <w:kern w:val="2"/>
          <w:sz w:val="32"/>
          <w:szCs w:val="32"/>
          <w:lang w:val="en-US" w:eastAsia="zh-CN" w:bidi="ar-SA"/>
        </w:rPr>
        <w:t>达到了预期效果，有力的保证了我单位工作业务的开展，项目的实施效果得到了实施对象的满意和认可</w:t>
      </w:r>
      <w:r>
        <w:rPr>
          <w:rFonts w:hint="eastAsia" w:ascii="仿宋_GB2312" w:hAnsi="仿宋_GB2312" w:eastAsia="仿宋_GB2312" w:cs="仿宋_GB2312"/>
          <w:color w:val="auto"/>
          <w:sz w:val="32"/>
          <w:szCs w:val="32"/>
          <w:highlight w:val="none"/>
          <w:lang w:val="en-US" w:eastAsia="zh-CN"/>
        </w:rPr>
        <w:t>。我单位共有7个项目批复了绩效目标，项目金额4599.46万元。</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7个项目评价等级为“优”、0个项目评价等级为“良”、0个项目评价等级为“中”、0个项目评价等级为“差”。</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ind w:left="0" w:leftChars="0" w:right="0" w:firstLine="640" w:firstLineChars="200"/>
        <w:jc w:val="both"/>
        <w:textAlignment w:val="auto"/>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lang w:val="en-US" w:eastAsia="zh-CN"/>
        </w:rPr>
      </w:pPr>
      <w:r>
        <w:rPr>
          <w:rFonts w:hint="eastAsia" w:ascii="黑体" w:hAnsi="宋体" w:eastAsia="黑体" w:cs="宋体"/>
          <w:kern w:val="0"/>
          <w:sz w:val="28"/>
          <w:szCs w:val="28"/>
          <w:highlight w:val="none"/>
          <w:lang w:val="en-US" w:eastAsia="zh-CN"/>
        </w:rPr>
        <w:t xml:space="preserve">  </w:t>
      </w: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BD4930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28"/>
      <w:szCs w:val="20"/>
    </w:r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font51"/>
    <w:qFormat/>
    <w:uiPriority w:val="0"/>
    <w:rPr>
      <w:rFonts w:hint="eastAsia" w:ascii="宋体" w:hAnsi="宋体" w:eastAsia="宋体" w:cs="宋体"/>
      <w:color w:val="000000"/>
      <w:sz w:val="24"/>
      <w:szCs w:val="24"/>
      <w:u w:val="none"/>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页脚 Char Char Char"/>
    <w:link w:val="4"/>
    <w:qFormat/>
    <w:uiPriority w:val="99"/>
    <w:rPr>
      <w:kern w:val="2"/>
      <w:sz w:val="18"/>
      <w:szCs w:val="18"/>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页眉 Char Char Char"/>
    <w:link w:val="5"/>
    <w:qFormat/>
    <w:uiPriority w:val="99"/>
    <w:rPr>
      <w:kern w:val="2"/>
      <w:sz w:val="18"/>
      <w:szCs w:val="18"/>
    </w:rPr>
  </w:style>
  <w:style w:type="character" w:customStyle="1" w:styleId="17">
    <w:name w:val="批注框文本 Char Char Char"/>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40</Pages>
  <Words>11653</Words>
  <Characters>14254</Characters>
  <Lines>60</Lines>
  <Paragraphs>16</Paragraphs>
  <TotalTime>17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huanghe</cp:lastModifiedBy>
  <cp:lastPrinted>2023-05-10T10:42:00Z</cp:lastPrinted>
  <dcterms:modified xsi:type="dcterms:W3CDTF">2023-05-16T11:17:34Z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8A56E596816C433AADCDEC9283F38E78</vt:lpwstr>
  </property>
</Properties>
</file>