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许昌市土地收购储备中心单位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许昌市土地收购储备中心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lang w:eastAsia="zh-CN"/>
        </w:rPr>
        <w:t>许昌市土地收购储备中心</w:t>
      </w:r>
    </w:p>
    <w:p>
      <w:pPr>
        <w:widowControl/>
        <w:numPr>
          <w:ilvl w:val="0"/>
          <w:numId w:val="0"/>
        </w:numPr>
        <w:ind w:firstLine="4320" w:firstLineChars="9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spacing w:line="360" w:lineRule="auto"/>
        <w:ind w:firstLine="643" w:firstLineChars="200"/>
        <w:jc w:val="left"/>
        <w:rPr>
          <w:rFonts w:ascii="仿宋_GB2312" w:eastAsia="仿宋_GB2312"/>
          <w:sz w:val="32"/>
          <w:szCs w:val="32"/>
        </w:rPr>
      </w:pPr>
      <w:r>
        <w:rPr>
          <w:rFonts w:hint="eastAsia" w:ascii="黑体" w:hAnsi="黑体" w:eastAsia="黑体" w:cs="黑体"/>
          <w:b/>
          <w:bCs/>
          <w:sz w:val="32"/>
          <w:szCs w:val="32"/>
          <w:lang w:val="en-US" w:eastAsia="zh-CN"/>
        </w:rPr>
        <w:t xml:space="preserve"> </w:t>
      </w:r>
      <w:r>
        <w:rPr>
          <w:rFonts w:hint="eastAsia" w:ascii="仿宋_GB2312" w:eastAsia="仿宋_GB2312"/>
          <w:sz w:val="32"/>
          <w:szCs w:val="32"/>
        </w:rPr>
        <w:t>1、为合理用地提供收购储备服务，违法用地与闲置抛荒土地收购资金管理与使用。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制定土地储备中长期规划，编制年度土地收储计划并及时发布土地储备信息;</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制定土地一级开发计划，负责开发土地的调查、规划、临时利用和土地开发的前期论证及监督、检查、验收等</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numPr>
          <w:ilvl w:val="0"/>
          <w:numId w:val="0"/>
        </w:numPr>
        <w:kinsoku/>
        <w:wordWrap/>
        <w:overflowPunct/>
        <w:topLinePunct w:val="0"/>
        <w:autoSpaceDE/>
        <w:autoSpaceDN/>
        <w:bidi w:val="0"/>
        <w:adjustRightInd/>
        <w:snapToGrid/>
        <w:ind w:leftChars="0" w:right="0" w:rightChars="0"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许昌市土地收购储备中心</w:t>
      </w:r>
      <w:r>
        <w:rPr>
          <w:rFonts w:hint="eastAsia" w:ascii="仿宋_GB2312" w:hAnsi="仿宋_GB2312" w:eastAsia="仿宋_GB2312" w:cs="仿宋_GB2312"/>
          <w:b w:val="0"/>
          <w:bCs w:val="0"/>
          <w:color w:val="auto"/>
          <w:kern w:val="0"/>
          <w:sz w:val="32"/>
          <w:szCs w:val="32"/>
          <w:highlight w:val="none"/>
          <w:lang w:val="en-US" w:eastAsia="zh-CN"/>
        </w:rPr>
        <w:t>内设机构</w:t>
      </w:r>
      <w:r>
        <w:rPr>
          <w:rFonts w:hint="eastAsia" w:ascii="仿宋" w:hAnsi="仿宋" w:eastAsia="仿宋" w:cs="仿宋"/>
          <w:kern w:val="0"/>
          <w:sz w:val="32"/>
          <w:szCs w:val="32"/>
        </w:rPr>
        <w:t>5个，包括：收购科、储备科、开发科、财务室、办公室。</w:t>
      </w:r>
    </w:p>
    <w:p>
      <w:pPr>
        <w:adjustRightInd w:val="0"/>
        <w:snapToGrid w:val="0"/>
        <w:spacing w:line="600" w:lineRule="exact"/>
        <w:ind w:firstLine="640" w:firstLineChars="200"/>
        <w:textAlignment w:val="center"/>
        <w:rPr>
          <w:rFonts w:hint="eastAsia" w:ascii="仿宋_GB2312" w:hAnsi="仿宋_GB2312" w:eastAsia="仿宋_GB2312" w:cs="仿宋_GB2312"/>
          <w:kern w:val="0"/>
          <w:sz w:val="32"/>
          <w:szCs w:val="32"/>
          <w:highlight w:val="none"/>
        </w:rPr>
      </w:pPr>
      <w:r>
        <w:rPr>
          <w:rFonts w:hint="eastAsia" w:ascii="仿宋" w:hAnsi="仿宋" w:eastAsia="仿宋" w:cs="仿宋"/>
          <w:kern w:val="0"/>
          <w:sz w:val="32"/>
          <w:szCs w:val="32"/>
        </w:rPr>
        <w:t>从决算单位构成看，许昌市土地收购储备中</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决算包括：本级决算</w:t>
      </w:r>
      <w:r>
        <w:rPr>
          <w:rFonts w:hint="eastAsia" w:ascii="仿宋_GB2312" w:hAnsi="仿宋_GB2312" w:eastAsia="仿宋_GB2312" w:cs="仿宋_GB2312"/>
          <w:sz w:val="32"/>
          <w:szCs w:val="32"/>
          <w:highlight w:val="none"/>
          <w:lang w:eastAsia="zh-CN"/>
        </w:rPr>
        <w:t>(1个)。</w:t>
      </w:r>
    </w:p>
    <w:p>
      <w:pPr>
        <w:widowControl/>
        <w:ind w:firstLine="64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kern w:val="0"/>
          <w:sz w:val="32"/>
          <w:szCs w:val="32"/>
        </w:rPr>
        <w:t>纳入本</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决算编制范围的单位共1个，</w:t>
      </w:r>
      <w:r>
        <w:rPr>
          <w:rFonts w:hint="eastAsia" w:ascii="仿宋" w:hAnsi="仿宋" w:eastAsia="仿宋" w:cs="仿宋"/>
          <w:kern w:val="0"/>
          <w:sz w:val="32"/>
          <w:szCs w:val="32"/>
          <w:lang w:val="en-US" w:eastAsia="zh-CN"/>
        </w:rPr>
        <w:t>具体是：</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许昌市土地收购储备中心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13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9"/>
        <w:gridCol w:w="1080"/>
        <w:gridCol w:w="1470"/>
        <w:gridCol w:w="4140"/>
        <w:gridCol w:w="1170"/>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44"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41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3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499"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部门：许昌市土地收购储备中心</w:t>
            </w:r>
          </w:p>
        </w:tc>
        <w:tc>
          <w:tcPr>
            <w:tcW w:w="14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3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6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75"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8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333.84</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333.84</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41.72</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7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1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8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c>
          <w:tcPr>
            <w:tcW w:w="4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44"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7"/>
        <w:gridCol w:w="237"/>
        <w:gridCol w:w="240"/>
        <w:gridCol w:w="2735"/>
        <w:gridCol w:w="1635"/>
        <w:gridCol w:w="1590"/>
        <w:gridCol w:w="881"/>
        <w:gridCol w:w="516"/>
        <w:gridCol w:w="514"/>
        <w:gridCol w:w="1204"/>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398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1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1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429"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部门：许昌市土地收购储备中心</w:t>
            </w:r>
          </w:p>
        </w:tc>
        <w:tc>
          <w:tcPr>
            <w:tcW w:w="16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4" w:type="dxa"/>
            <w:tcBorders>
              <w:top w:val="nil"/>
              <w:left w:val="nil"/>
              <w:bottom w:val="nil"/>
              <w:right w:val="nil"/>
            </w:tcBorders>
            <w:noWrap/>
            <w:vAlign w:val="bottom"/>
          </w:tcPr>
          <w:p>
            <w:pPr>
              <w:jc w:val="right"/>
              <w:rPr>
                <w:rFonts w:hint="default" w:ascii="Arial" w:hAnsi="Arial" w:cs="Arial"/>
                <w:i w:val="0"/>
                <w:iCs w:val="0"/>
                <w:color w:val="000000"/>
                <w:sz w:val="20"/>
                <w:szCs w:val="20"/>
                <w:u w:val="none"/>
              </w:rPr>
            </w:pPr>
          </w:p>
        </w:tc>
        <w:tc>
          <w:tcPr>
            <w:tcW w:w="241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42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8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5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51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0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9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73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9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369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42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2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333.84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333.84</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25.24</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25.24</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289.71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289.71</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289.71</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289.71</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3694"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27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260.83</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260.83</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3980"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0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2"/>
        <w:gridCol w:w="222"/>
        <w:gridCol w:w="3956"/>
        <w:gridCol w:w="1416"/>
        <w:gridCol w:w="1287"/>
        <w:gridCol w:w="705"/>
        <w:gridCol w:w="1005"/>
        <w:gridCol w:w="73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0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1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17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部门：许昌市土地收购储备中心</w:t>
            </w: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18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8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8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41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375.56</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375.56</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4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301.72</w:t>
            </w:r>
          </w:p>
        </w:tc>
        <w:tc>
          <w:tcPr>
            <w:tcW w:w="128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301.72</w:t>
            </w:r>
          </w:p>
        </w:tc>
        <w:tc>
          <w:tcPr>
            <w:tcW w:w="7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0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463" w:left="1440" w:header="720" w:footer="720" w:gutter="0"/>
          <w:pgNumType w:fmt="numberInDash"/>
          <w:cols w:space="720" w:num="1"/>
          <w:docGrid w:type="lines" w:linePitch="312" w:charSpace="0"/>
        </w:sectPr>
      </w:pPr>
    </w:p>
    <w:tbl>
      <w:tblPr>
        <w:tblStyle w:val="7"/>
        <w:tblW w:w="1398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586"/>
        <w:gridCol w:w="892"/>
        <w:gridCol w:w="3465"/>
        <w:gridCol w:w="525"/>
        <w:gridCol w:w="930"/>
        <w:gridCol w:w="1350"/>
        <w:gridCol w:w="157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98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7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07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部门：许昌市土地收购储备中心</w:t>
            </w:r>
          </w:p>
        </w:tc>
        <w:tc>
          <w:tcPr>
            <w:tcW w:w="5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9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6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9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455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43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3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307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86"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333.84</w:t>
            </w: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307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333.84</w:t>
            </w: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41.72</w:t>
            </w: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41.72</w:t>
            </w:r>
          </w:p>
        </w:tc>
        <w:tc>
          <w:tcPr>
            <w:tcW w:w="34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8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86"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9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c>
          <w:tcPr>
            <w:tcW w:w="34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375.56</w:t>
            </w:r>
          </w:p>
        </w:tc>
        <w:tc>
          <w:tcPr>
            <w:tcW w:w="15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8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2"/>
        <w:gridCol w:w="2724"/>
        <w:gridCol w:w="960"/>
        <w:gridCol w:w="1056"/>
        <w:gridCol w:w="1730"/>
        <w:gridCol w:w="881"/>
        <w:gridCol w:w="1337"/>
        <w:gridCol w:w="3294"/>
        <w:gridCol w:w="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78" w:type="dxa"/>
            <w:gridSpan w:val="9"/>
            <w:tcBorders>
              <w:top w:val="nil"/>
              <w:left w:val="nil"/>
              <w:bottom w:val="nil"/>
              <w:right w:val="nil"/>
            </w:tcBorders>
            <w:noWrap/>
            <w:vAlign w:val="bottom"/>
          </w:tcPr>
          <w:tbl>
            <w:tblPr>
              <w:tblStyle w:val="7"/>
              <w:tblW w:w="1377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426"/>
              <w:gridCol w:w="426"/>
              <w:gridCol w:w="4467"/>
              <w:gridCol w:w="5"/>
              <w:gridCol w:w="2208"/>
              <w:gridCol w:w="5"/>
              <w:gridCol w:w="1843"/>
              <w:gridCol w:w="395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84" w:hRule="atLeast"/>
              </w:trPr>
              <w:tc>
                <w:tcPr>
                  <w:tcW w:w="1376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64" w:hRule="atLeast"/>
              </w:trPr>
              <w:tc>
                <w:tcPr>
                  <w:tcW w:w="42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42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46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13"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0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64" w:hRule="atLeast"/>
              </w:trPr>
              <w:tc>
                <w:tcPr>
                  <w:tcW w:w="7958"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部门：许昌市土地收购储备中心</w:t>
                  </w:r>
                </w:p>
              </w:tc>
              <w:tc>
                <w:tcPr>
                  <w:tcW w:w="580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50"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016" w:type="dxa"/>
                  <w:gridSpan w:val="5"/>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472" w:type="dxa"/>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13"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4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72" w:type="dxa"/>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13"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6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72" w:type="dxa"/>
                  <w:gridSpan w:val="2"/>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13"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4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60"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50"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60"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50"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375.56</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375.56</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330.60</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8"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4472"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221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301.72</w:t>
                  </w:r>
                </w:p>
              </w:tc>
              <w:tc>
                <w:tcPr>
                  <w:tcW w:w="184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301.72</w:t>
                  </w:r>
                </w:p>
              </w:tc>
              <w:tc>
                <w:tcPr>
                  <w:tcW w:w="3960" w:type="dxa"/>
                  <w:gridSpan w:val="2"/>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308" w:hRule="atLeast"/>
              </w:trPr>
              <w:tc>
                <w:tcPr>
                  <w:tcW w:w="1376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4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7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4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826"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部门：许昌市土地收购储备中心</w:t>
            </w:r>
          </w:p>
        </w:tc>
        <w:tc>
          <w:tcPr>
            <w:tcW w:w="105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3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4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2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5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72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0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7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3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2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2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7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341.97</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140.61</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87.66</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50.47</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33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9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72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9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72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29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6"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354.04</w:t>
            </w:r>
          </w:p>
        </w:tc>
        <w:tc>
          <w:tcPr>
            <w:tcW w:w="8298"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5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8"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7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8"/>
        <w:gridCol w:w="888"/>
        <w:gridCol w:w="924"/>
        <w:gridCol w:w="1134"/>
        <w:gridCol w:w="1080"/>
        <w:gridCol w:w="1260"/>
        <w:gridCol w:w="930"/>
        <w:gridCol w:w="1035"/>
        <w:gridCol w:w="960"/>
        <w:gridCol w:w="1425"/>
        <w:gridCol w:w="186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3974"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4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15"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3894"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部门：许昌市土地收购储备中心</w:t>
            </w: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15"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74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8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3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24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4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8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88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2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4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7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4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8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2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18" w:type="dxa"/>
        <w:tblInd w:w="0" w:type="dxa"/>
        <w:tblLayout w:type="fixed"/>
        <w:tblCellMar>
          <w:top w:w="0" w:type="dxa"/>
          <w:left w:w="0" w:type="dxa"/>
          <w:bottom w:w="0" w:type="dxa"/>
          <w:right w:w="0" w:type="dxa"/>
        </w:tblCellMar>
      </w:tblPr>
      <w:tblGrid>
        <w:gridCol w:w="612"/>
        <w:gridCol w:w="516"/>
        <w:gridCol w:w="20"/>
        <w:gridCol w:w="30"/>
        <w:gridCol w:w="124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7"/>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1128"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p>
        </w:tc>
        <w:tc>
          <w:tcPr>
            <w:tcW w:w="50"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27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5"/>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3"/>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3"/>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5"/>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7"/>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hint="eastAsia" w:ascii="宋体" w:hAnsi="宋体" w:cs="宋体"/>
                <w:color w:val="000000"/>
                <w:sz w:val="32"/>
                <w:szCs w:val="32"/>
                <w:highlight w:val="none"/>
              </w:rPr>
            </w:pP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说明：我部门没有政府性基金收入，也没有使用政府性基金安排的支出，故本表无数据。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29.79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7.35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节约开支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333.84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333.84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29.79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7.35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节约开支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111.20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11.70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3.22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社会保障和就业（类）支出26.07万元，占6.94%；卫生健康（类）支出17.20万元，占4.58%；城乡社区（类）支出330.60万元，占88.03%。</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333.84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
        </w:rPr>
        <w:t>112.50</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2.社会保障和就业支出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color w:val="auto"/>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12.07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107.28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决算数与年初预算数存在差异</w:t>
      </w:r>
      <w:r>
        <w:rPr>
          <w:rFonts w:hint="eastAsia" w:ascii="仿宋_GB2312" w:hAnsi="仿宋_GB2312" w:eastAsia="仿宋_GB2312" w:cs="仿宋_GB2312"/>
          <w:sz w:val="32"/>
          <w:szCs w:val="32"/>
          <w:lang w:eastAsia="zh-CN"/>
        </w:rPr>
        <w:t>是养老比例增加</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3.社会保障和就业支出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决算数与年初预算数不存在差异。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color w:val="auto"/>
          <w:sz w:val="32"/>
          <w:szCs w:val="32"/>
          <w:highlight w:val="none"/>
          <w:lang w:val="en-US" w:eastAsia="zh-CN"/>
        </w:rPr>
        <w:t>（类）行政事业单位医疗（款）事业单位医疗（项）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9.97万元，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9.97万元，</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决算数与年初预算数不存在差异。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lang w:eastAsia="zh-CN"/>
        </w:rPr>
        <w:t>卫生健康支出</w:t>
      </w:r>
      <w:r>
        <w:rPr>
          <w:rFonts w:hint="eastAsia" w:ascii="仿宋_GB2312" w:hAnsi="仿宋_GB2312" w:eastAsia="仿宋_GB2312" w:cs="仿宋_GB2312"/>
          <w:b/>
          <w:bCs/>
          <w:color w:val="auto"/>
          <w:sz w:val="32"/>
          <w:szCs w:val="32"/>
          <w:highlight w:val="none"/>
          <w:lang w:val="en-US" w:eastAsia="zh-CN"/>
        </w:rPr>
        <w:t>（类）行政事业单位医疗（款）</w:t>
      </w:r>
      <w:r>
        <w:rPr>
          <w:rFonts w:hint="eastAsia" w:ascii="仿宋_GB2312" w:hAnsi="仿宋_GB2312" w:eastAsia="仿宋_GB2312" w:cs="仿宋_GB2312"/>
          <w:b/>
          <w:bCs/>
          <w:sz w:val="32"/>
          <w:szCs w:val="32"/>
          <w:highlight w:val="none"/>
          <w:lang w:eastAsia="zh-CN"/>
        </w:rPr>
        <w:t>公务员医疗补助</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7.24万元，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7.24万元，</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6.城乡社区支出（类）城乡社区管理事务（款）行政运行（项）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28.88万元，</w:t>
      </w:r>
      <w:r>
        <w:rPr>
          <w:rFonts w:hint="eastAsia" w:ascii="仿宋_GB2312" w:hAnsi="仿宋_GB2312" w:eastAsia="仿宋_GB2312" w:cs="仿宋_GB2312"/>
          <w:sz w:val="32"/>
          <w:szCs w:val="32"/>
          <w:highlight w:val="none"/>
        </w:rPr>
        <w:t>支出决算为</w:t>
      </w:r>
      <w:r>
        <w:rPr>
          <w:rFonts w:hint="eastAsia" w:ascii="仿宋_GB2312" w:hAnsi="仿宋_GB2312" w:eastAsia="仿宋_GB2312" w:cs="仿宋_GB2312"/>
          <w:sz w:val="32"/>
          <w:szCs w:val="32"/>
          <w:highlight w:val="none"/>
          <w:lang w:val="en-US" w:eastAsia="zh-CN"/>
        </w:rPr>
        <w:t>28.88万元，</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7.城乡社区支出（类）城乡社区管理事务（款）其他城乡社区管理事务支出（项）。</w:t>
      </w:r>
      <w:r>
        <w:rPr>
          <w:rFonts w:hint="eastAsia" w:ascii="仿宋_GB2312" w:hAnsi="仿宋_GB2312" w:eastAsia="仿宋_GB2312" w:cs="仿宋_GB2312"/>
          <w:color w:val="auto"/>
          <w:sz w:val="32"/>
          <w:szCs w:val="32"/>
          <w:highlight w:val="none"/>
          <w:lang w:val="en-US" w:eastAsia="zh-CN"/>
        </w:rPr>
        <w:t>年初预算为260.82万元，支出决算为301.72万元，完成年初预算的115.6%。</w:t>
      </w:r>
      <w:r>
        <w:rPr>
          <w:rFonts w:hint="eastAsia" w:ascii="仿宋_GB2312" w:hAnsi="仿宋_GB2312" w:eastAsia="仿宋_GB2312" w:cs="仿宋_GB2312"/>
          <w:sz w:val="32"/>
          <w:szCs w:val="32"/>
        </w:rPr>
        <w:t>决算数与年初预算数存在差异</w:t>
      </w:r>
      <w:r>
        <w:rPr>
          <w:rFonts w:hint="eastAsia" w:ascii="仿宋_GB2312" w:hAnsi="仿宋_GB2312" w:eastAsia="仿宋_GB2312" w:cs="仿宋_GB2312"/>
          <w:sz w:val="32"/>
          <w:szCs w:val="32"/>
          <w:lang w:eastAsia="zh-CN"/>
        </w:rPr>
        <w:t>是人员工资增加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375.56</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354.04</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公务员医疗补助、职工基本医疗保险缴费、</w:t>
      </w:r>
      <w:r>
        <w:rPr>
          <w:rFonts w:hint="eastAsia" w:ascii="仿宋_GB2312" w:hAnsi="仿宋_GB2312" w:eastAsia="仿宋_GB2312" w:cs="仿宋_GB2312"/>
          <w:sz w:val="32"/>
          <w:szCs w:val="32"/>
          <w:highlight w:val="none"/>
        </w:rPr>
        <w:t>其他社会保障缴费、其他工资福利支出、</w:t>
      </w:r>
      <w:r>
        <w:rPr>
          <w:rFonts w:hint="eastAsia" w:ascii="仿宋_GB2312" w:hAnsi="仿宋_GB2312" w:eastAsia="仿宋_GB2312" w:cs="仿宋_GB2312"/>
          <w:sz w:val="32"/>
          <w:szCs w:val="32"/>
          <w:highlight w:val="none"/>
          <w:lang w:eastAsia="zh-CN"/>
        </w:rPr>
        <w:t>退</w:t>
      </w:r>
      <w:r>
        <w:rPr>
          <w:rFonts w:hint="eastAsia" w:ascii="仿宋_GB2312" w:hAnsi="仿宋_GB2312" w:eastAsia="仿宋_GB2312" w:cs="仿宋_GB2312"/>
          <w:sz w:val="32"/>
          <w:szCs w:val="32"/>
          <w:highlight w:val="none"/>
        </w:rPr>
        <w:t>休费、住房公积金；公用经费</w:t>
      </w:r>
      <w:r>
        <w:rPr>
          <w:rFonts w:hint="eastAsia" w:ascii="仿宋_GB2312" w:hAnsi="仿宋_GB2312" w:eastAsia="仿宋_GB2312" w:cs="仿宋_GB2312"/>
          <w:sz w:val="32"/>
          <w:szCs w:val="32"/>
          <w:highlight w:val="none"/>
          <w:lang w:val="en-US" w:eastAsia="zh-CN"/>
        </w:rPr>
        <w:t>21.52</w:t>
      </w:r>
      <w:r>
        <w:rPr>
          <w:rFonts w:hint="eastAsia" w:ascii="仿宋_GB2312" w:hAnsi="仿宋_GB2312" w:eastAsia="仿宋_GB2312" w:cs="仿宋_GB2312"/>
          <w:sz w:val="32"/>
          <w:szCs w:val="32"/>
          <w:highlight w:val="none"/>
        </w:rPr>
        <w:t>万元，主要包括：办公费、印刷费、培训费、</w:t>
      </w:r>
      <w:r>
        <w:rPr>
          <w:rFonts w:hint="eastAsia" w:ascii="仿宋_GB2312" w:hAnsi="仿宋_GB2312" w:eastAsia="仿宋_GB2312" w:cs="仿宋_GB2312"/>
          <w:sz w:val="32"/>
          <w:szCs w:val="32"/>
          <w:highlight w:val="none"/>
          <w:lang w:eastAsia="zh-CN"/>
        </w:rPr>
        <w:t>差旅费、维修（护）费、</w:t>
      </w:r>
      <w:r>
        <w:rPr>
          <w:rFonts w:hint="eastAsia" w:ascii="仿宋_GB2312" w:hAnsi="仿宋_GB2312" w:eastAsia="仿宋_GB2312" w:cs="仿宋_GB2312"/>
          <w:sz w:val="32"/>
          <w:szCs w:val="32"/>
          <w:highlight w:val="none"/>
        </w:rPr>
        <w:t>公务接待费、劳务费、工会经费、福利费、公务用车运行维护费。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72.79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节约开支</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1.92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96.97</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8.33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3.03</w:t>
      </w:r>
      <w:r>
        <w:rPr>
          <w:rFonts w:hint="eastAsia" w:ascii="仿宋_GB2312" w:hAnsi="仿宋_GB2312" w:eastAsia="仿宋_GB2312" w:cs="仿宋_GB2312"/>
          <w:sz w:val="32"/>
          <w:szCs w:val="32"/>
          <w:highlight w:val="none"/>
        </w:rPr>
        <w:t>%。具体情况如下：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val="en-US" w:eastAsia="zh-CN"/>
        </w:rPr>
        <w:t>不存在差异。因公出国（境）团组数0个，累计0人次。</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96</w:t>
      </w:r>
      <w:r>
        <w:rPr>
          <w:rFonts w:hint="eastAsia" w:ascii="仿宋_GB2312" w:hAnsi="仿宋_GB2312" w:eastAsia="仿宋_GB2312" w:cs="仿宋_GB2312"/>
          <w:sz w:val="32"/>
          <w:szCs w:val="32"/>
          <w:highlight w:val="none"/>
        </w:rPr>
        <w:t>%。决算数与预算数存在差异的主要原因</w:t>
      </w:r>
      <w:r>
        <w:rPr>
          <w:rFonts w:hint="eastAsia" w:ascii="仿宋_GB2312" w:hAnsi="仿宋_GB2312" w:eastAsia="仿宋_GB2312" w:cs="仿宋_GB2312"/>
          <w:sz w:val="32"/>
          <w:szCs w:val="32"/>
          <w:highlight w:val="none"/>
          <w:lang w:eastAsia="zh-CN"/>
        </w:rPr>
        <w:t>节约开支。</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1.92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辆运行维护、加油及车辆保险</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bookmarkStart w:id="0" w:name="_GoBack"/>
      <w:bookmarkEnd w:id="0"/>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8.33</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节约开支</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0.06</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val="en-US" w:eastAsia="zh-CN"/>
        </w:rPr>
        <w:t>情况说明：我部门2021年度没有政府性基金收入，也没有使用政府性基金安排的支出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许昌市土地收购储备中心按照《中共许昌市委 许昌市人民政府关于全面实施预算绩效管理的实施意见》（许发〔2021〕13号）文件要求，对许昌市土地收购储备中心整体支出和项目支出开展全过程预算绩效管理。2021年许昌市土地收购储备中心纳入预算绩效管理的支出总额为375.56万元，其中：基本支出375.56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土地收购储备中心整体绩效目标和项目支出绩效目标进行了自评。许昌市土地收购储备中心整体绩效自评</w:t>
      </w:r>
      <w:r>
        <w:rPr>
          <w:rFonts w:hint="eastAsia" w:ascii="仿宋_GB2312" w:hAnsi="宋体" w:eastAsia="仿宋_GB2312" w:cs="Courier New"/>
          <w:sz w:val="32"/>
          <w:szCs w:val="32"/>
        </w:rPr>
        <w:t>自评良好</w:t>
      </w:r>
      <w:r>
        <w:rPr>
          <w:rFonts w:hint="eastAsia" w:ascii="仿宋_GB2312" w:hAnsi="仿宋_GB2312" w:eastAsia="仿宋_GB2312" w:cs="仿宋_GB2312"/>
          <w:color w:val="auto"/>
          <w:sz w:val="32"/>
          <w:szCs w:val="32"/>
          <w:highlight w:val="none"/>
          <w:lang w:val="en-US" w:eastAsia="zh-CN"/>
        </w:rPr>
        <w:t>。二是项目绩效自评情况。许昌市土地收购储备中心共有0个项目批复了绩效目标，项目金额0万元。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43D4F"/>
    <w:multiLevelType w:val="singleLevel"/>
    <w:tmpl w:val="97643D4F"/>
    <w:lvl w:ilvl="0" w:tentative="0">
      <w:start w:val="1"/>
      <w:numFmt w:val="chineseCounting"/>
      <w:suff w:val="space"/>
      <w:lvlText w:val="第%1部分"/>
      <w:lvlJc w:val="left"/>
      <w:rPr>
        <w:rFonts w:hint="eastAsia"/>
      </w:rPr>
    </w:lvl>
  </w:abstractNum>
  <w:abstractNum w:abstractNumId="1">
    <w:nsid w:val="157BB61A"/>
    <w:multiLevelType w:val="singleLevel"/>
    <w:tmpl w:val="157BB61A"/>
    <w:lvl w:ilvl="0" w:tentative="0">
      <w:start w:val="1"/>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2OTBkZTE3OTEwYjExNjIzYmQ5YTM2MzNjNjFlZmI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67A56"/>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FC2A3B"/>
    <w:rsid w:val="0799329C"/>
    <w:rsid w:val="08397436"/>
    <w:rsid w:val="086F16A7"/>
    <w:rsid w:val="0952022C"/>
    <w:rsid w:val="0A0F7225"/>
    <w:rsid w:val="0A2B7D82"/>
    <w:rsid w:val="0A3A5B27"/>
    <w:rsid w:val="0AB1542C"/>
    <w:rsid w:val="0ADC40E9"/>
    <w:rsid w:val="0AE607F4"/>
    <w:rsid w:val="0B386127"/>
    <w:rsid w:val="0B451598"/>
    <w:rsid w:val="0BEC73F4"/>
    <w:rsid w:val="0C392698"/>
    <w:rsid w:val="0D73314B"/>
    <w:rsid w:val="0F1C63CF"/>
    <w:rsid w:val="10BD36F6"/>
    <w:rsid w:val="10DB560C"/>
    <w:rsid w:val="11BF0649"/>
    <w:rsid w:val="123E3E08"/>
    <w:rsid w:val="133212F4"/>
    <w:rsid w:val="13D22E22"/>
    <w:rsid w:val="15237771"/>
    <w:rsid w:val="161C2DFF"/>
    <w:rsid w:val="16373578"/>
    <w:rsid w:val="16D3336B"/>
    <w:rsid w:val="17200028"/>
    <w:rsid w:val="177E95DC"/>
    <w:rsid w:val="17806C36"/>
    <w:rsid w:val="17A74F62"/>
    <w:rsid w:val="18A47774"/>
    <w:rsid w:val="1A8D28EB"/>
    <w:rsid w:val="1A9F2D78"/>
    <w:rsid w:val="1B2E6FD8"/>
    <w:rsid w:val="1B877D21"/>
    <w:rsid w:val="1BE95B33"/>
    <w:rsid w:val="1C4319A9"/>
    <w:rsid w:val="1CDD3710"/>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7F83E87"/>
    <w:rsid w:val="29365CF8"/>
    <w:rsid w:val="299469B3"/>
    <w:rsid w:val="2A805789"/>
    <w:rsid w:val="2ADC0D75"/>
    <w:rsid w:val="2B4A0E52"/>
    <w:rsid w:val="2C975890"/>
    <w:rsid w:val="2DEF21BB"/>
    <w:rsid w:val="2E4A2F05"/>
    <w:rsid w:val="2E9313D4"/>
    <w:rsid w:val="2ECC1061"/>
    <w:rsid w:val="2FA476AD"/>
    <w:rsid w:val="303F7540"/>
    <w:rsid w:val="31DD00BF"/>
    <w:rsid w:val="3293174C"/>
    <w:rsid w:val="32BA12BD"/>
    <w:rsid w:val="32BB38D4"/>
    <w:rsid w:val="32C9376D"/>
    <w:rsid w:val="33780472"/>
    <w:rsid w:val="33AF0905"/>
    <w:rsid w:val="355932F4"/>
    <w:rsid w:val="35611882"/>
    <w:rsid w:val="36165E7A"/>
    <w:rsid w:val="36746FC3"/>
    <w:rsid w:val="368763AE"/>
    <w:rsid w:val="37CBCB96"/>
    <w:rsid w:val="395D59E7"/>
    <w:rsid w:val="39A93932"/>
    <w:rsid w:val="39CF7650"/>
    <w:rsid w:val="39D8552F"/>
    <w:rsid w:val="3A915562"/>
    <w:rsid w:val="3B8D4765"/>
    <w:rsid w:val="3C000DBA"/>
    <w:rsid w:val="3DC045D3"/>
    <w:rsid w:val="3E504FFB"/>
    <w:rsid w:val="3E615CD0"/>
    <w:rsid w:val="3E9C47F6"/>
    <w:rsid w:val="3F8B0112"/>
    <w:rsid w:val="3FAB3095"/>
    <w:rsid w:val="3FE45947"/>
    <w:rsid w:val="41242965"/>
    <w:rsid w:val="412669CE"/>
    <w:rsid w:val="41D34149"/>
    <w:rsid w:val="435671EA"/>
    <w:rsid w:val="440809E9"/>
    <w:rsid w:val="442407A6"/>
    <w:rsid w:val="44805EA1"/>
    <w:rsid w:val="45710696"/>
    <w:rsid w:val="46142B1B"/>
    <w:rsid w:val="47E60DD0"/>
    <w:rsid w:val="48735039"/>
    <w:rsid w:val="49261002"/>
    <w:rsid w:val="492C684B"/>
    <w:rsid w:val="49500594"/>
    <w:rsid w:val="49E7604E"/>
    <w:rsid w:val="4AB200F2"/>
    <w:rsid w:val="4BF67CDD"/>
    <w:rsid w:val="4D173441"/>
    <w:rsid w:val="4D603DD6"/>
    <w:rsid w:val="4EBF010F"/>
    <w:rsid w:val="4F471EB0"/>
    <w:rsid w:val="4F779510"/>
    <w:rsid w:val="4FEB2773"/>
    <w:rsid w:val="51331326"/>
    <w:rsid w:val="51740A7F"/>
    <w:rsid w:val="51A5541E"/>
    <w:rsid w:val="51C96242"/>
    <w:rsid w:val="53906AE1"/>
    <w:rsid w:val="54F46F60"/>
    <w:rsid w:val="55A37BEA"/>
    <w:rsid w:val="56362CD2"/>
    <w:rsid w:val="5784687B"/>
    <w:rsid w:val="57846959"/>
    <w:rsid w:val="578E6A87"/>
    <w:rsid w:val="57924547"/>
    <w:rsid w:val="598A2B52"/>
    <w:rsid w:val="5AC2203A"/>
    <w:rsid w:val="5CBB3334"/>
    <w:rsid w:val="5D115FAF"/>
    <w:rsid w:val="5DA551E3"/>
    <w:rsid w:val="60294F42"/>
    <w:rsid w:val="62811722"/>
    <w:rsid w:val="62E75A72"/>
    <w:rsid w:val="64571880"/>
    <w:rsid w:val="64871D09"/>
    <w:rsid w:val="649125B6"/>
    <w:rsid w:val="652F4C1A"/>
    <w:rsid w:val="666D37F1"/>
    <w:rsid w:val="67087D8F"/>
    <w:rsid w:val="671F687E"/>
    <w:rsid w:val="67F415F8"/>
    <w:rsid w:val="682640D1"/>
    <w:rsid w:val="684B73E5"/>
    <w:rsid w:val="687C26CF"/>
    <w:rsid w:val="6A047A2A"/>
    <w:rsid w:val="6EFB7548"/>
    <w:rsid w:val="6F3831C3"/>
    <w:rsid w:val="6F8B71C1"/>
    <w:rsid w:val="6F9E88EB"/>
    <w:rsid w:val="70753482"/>
    <w:rsid w:val="707B522A"/>
    <w:rsid w:val="73194D05"/>
    <w:rsid w:val="73A83B0E"/>
    <w:rsid w:val="741040EE"/>
    <w:rsid w:val="744D3EF9"/>
    <w:rsid w:val="74794411"/>
    <w:rsid w:val="756C3822"/>
    <w:rsid w:val="75867C40"/>
    <w:rsid w:val="75B10B26"/>
    <w:rsid w:val="75EE5498"/>
    <w:rsid w:val="76432199"/>
    <w:rsid w:val="76F44829"/>
    <w:rsid w:val="777F0DB7"/>
    <w:rsid w:val="77A267C0"/>
    <w:rsid w:val="77FBF65A"/>
    <w:rsid w:val="78882278"/>
    <w:rsid w:val="78B118A6"/>
    <w:rsid w:val="79135044"/>
    <w:rsid w:val="79FC527F"/>
    <w:rsid w:val="7A346BB7"/>
    <w:rsid w:val="7A7D0F99"/>
    <w:rsid w:val="7BA3095C"/>
    <w:rsid w:val="7BFFF52D"/>
    <w:rsid w:val="7E4A0E7C"/>
    <w:rsid w:val="7EFD449D"/>
    <w:rsid w:val="7FBEF81F"/>
    <w:rsid w:val="7FDD6931"/>
    <w:rsid w:val="994FFB53"/>
    <w:rsid w:val="B3FCB82A"/>
    <w:rsid w:val="B7FEF30B"/>
    <w:rsid w:val="D3AF6E69"/>
    <w:rsid w:val="DEBA7E93"/>
    <w:rsid w:val="F39D8F45"/>
    <w:rsid w:val="FDFB9AEC"/>
    <w:rsid w:val="FEFE1693"/>
    <w:rsid w:val="FFBBA79A"/>
    <w:rsid w:val="FFC79AED"/>
    <w:rsid w:val="FFF97C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7649</Words>
  <Characters>9252</Characters>
  <Lines>60</Lines>
  <Paragraphs>16</Paragraphs>
  <TotalTime>9</TotalTime>
  <ScaleCrop>false</ScaleCrop>
  <LinksUpToDate>false</LinksUpToDate>
  <CharactersWithSpaces>9477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lenovo</cp:lastModifiedBy>
  <cp:lastPrinted>2023-02-22T07:45:00Z</cp:lastPrinted>
  <dcterms:modified xsi:type="dcterms:W3CDTF">2023-09-12T10:53:07Z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083D3FFCA4944A2EB6E94B5E4EB57FB9_13</vt:lpwstr>
  </property>
</Properties>
</file>