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许昌市土地二级市场交易中心单位</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许昌市土地二级市场交易中心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numPr>
          <w:ilvl w:val="0"/>
          <w:numId w:val="2"/>
        </w:numPr>
        <w:jc w:val="center"/>
        <w:outlineLvl w:val="0"/>
        <w:rPr>
          <w:rFonts w:hint="eastAsia" w:ascii="黑体" w:hAnsi="黑体" w:eastAsia="黑体" w:cs="黑体"/>
          <w:color w:val="auto"/>
          <w:sz w:val="48"/>
          <w:szCs w:val="48"/>
          <w:highlight w:val="none"/>
          <w:lang w:eastAsia="zh-CN"/>
        </w:rPr>
      </w:pPr>
    </w:p>
    <w:p>
      <w:pPr>
        <w:widowControl/>
        <w:numPr>
          <w:ilvl w:val="0"/>
          <w:numId w:val="0"/>
        </w:numPr>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lang w:eastAsia="zh-CN"/>
        </w:rPr>
        <w:t>许昌市土地二级市场交易中心</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widowControl/>
        <w:ind w:firstLine="640" w:firstLineChars="200"/>
        <w:jc w:val="left"/>
        <w:outlineLvl w:val="1"/>
        <w:rPr>
          <w:rFonts w:hint="eastAsia" w:ascii="仿宋_GB2312" w:hAnsi="仿宋_GB2312" w:eastAsia="仿宋_GB2312" w:cs="仿宋_GB2312"/>
          <w:color w:val="auto"/>
          <w:sz w:val="32"/>
          <w:szCs w:val="32"/>
          <w:shd w:val="clear" w:color="auto" w:fill="FFFFFF"/>
          <w:lang w:val="zh-CN"/>
        </w:rPr>
      </w:pPr>
      <w:r>
        <w:rPr>
          <w:rFonts w:hint="eastAsia" w:ascii="仿宋_GB2312" w:hAnsi="仿宋_GB2312" w:eastAsia="仿宋_GB2312" w:cs="仿宋_GB2312"/>
          <w:color w:val="auto"/>
          <w:kern w:val="0"/>
          <w:sz w:val="32"/>
          <w:szCs w:val="32"/>
        </w:rPr>
        <w:t>许昌市土地二级市场交易中心</w:t>
      </w:r>
      <w:r>
        <w:rPr>
          <w:rFonts w:hint="eastAsia" w:ascii="仿宋_GB2312" w:hAnsi="仿宋_GB2312" w:eastAsia="仿宋_GB2312" w:cs="仿宋_GB2312"/>
          <w:color w:val="auto"/>
          <w:sz w:val="32"/>
          <w:szCs w:val="32"/>
          <w:shd w:val="clear" w:color="auto" w:fill="FFFFFF"/>
        </w:rPr>
        <w:t>为市区土地二级市场提供管理服务。</w:t>
      </w:r>
      <w:r>
        <w:rPr>
          <w:rFonts w:hint="eastAsia" w:ascii="仿宋_GB2312" w:hAnsi="仿宋_GB2312" w:eastAsia="仿宋_GB2312" w:cs="仿宋_GB2312"/>
          <w:color w:val="auto"/>
          <w:sz w:val="32"/>
          <w:szCs w:val="32"/>
          <w:shd w:val="clear" w:color="auto" w:fill="FFFFFF"/>
          <w:lang w:val="zh-CN"/>
        </w:rPr>
        <w:t xml:space="preserve">市区土地二级市场转让、出租、抵押交易审核与备案 </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zh-CN"/>
        </w:rPr>
        <w:t>交易行为监测与服务</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zh-CN"/>
        </w:rPr>
        <w:t>土地交易信息发布</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zh-CN"/>
        </w:rPr>
        <w:t>中介组织指导与监督交易服务平台建设。</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rPr>
        <w:t>许昌市土地二级市场交易中心</w:t>
      </w:r>
      <w:r>
        <w:rPr>
          <w:rFonts w:hint="eastAsia" w:ascii="仿宋_GB2312" w:hAnsi="仿宋_GB2312" w:eastAsia="仿宋_GB2312" w:cs="仿宋_GB2312"/>
          <w:color w:val="auto"/>
          <w:kern w:val="0"/>
          <w:sz w:val="32"/>
          <w:szCs w:val="32"/>
          <w:highlight w:val="none"/>
          <w:lang w:val="en-US" w:eastAsia="zh-CN"/>
        </w:rPr>
        <w:t>内设机构</w:t>
      </w:r>
      <w:r>
        <w:rPr>
          <w:rFonts w:hint="default" w:ascii="仿宋_GB2312" w:hAnsi="仿宋_GB2312" w:eastAsia="仿宋_GB2312" w:cs="仿宋_GB2312"/>
          <w:color w:val="auto"/>
          <w:kern w:val="0"/>
          <w:sz w:val="32"/>
          <w:szCs w:val="32"/>
          <w:highlight w:val="none"/>
          <w:lang w:val="en" w:eastAsia="zh-CN"/>
        </w:rPr>
        <w:t>1</w:t>
      </w:r>
      <w:r>
        <w:rPr>
          <w:rFonts w:hint="eastAsia" w:ascii="仿宋_GB2312" w:hAnsi="仿宋_GB2312" w:eastAsia="仿宋_GB2312" w:cs="仿宋_GB2312"/>
          <w:color w:val="auto"/>
          <w:kern w:val="0"/>
          <w:sz w:val="32"/>
          <w:szCs w:val="32"/>
          <w:highlight w:val="none"/>
          <w:lang w:val="en-US" w:eastAsia="zh-CN"/>
        </w:rPr>
        <w:t>个，包括：办公室。</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从决算单位构成看，许昌市土地二级市场交易中心</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纳入本单位2021年度部门决算编制范围的单位共1个。具体是：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rPr>
        <w:t>许昌市土地二级市场交易中心</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6"/>
        <w:tblpPr w:leftFromText="180" w:rightFromText="180" w:vertAnchor="text" w:horzAnchor="page" w:tblpX="1576" w:tblpY="0"/>
        <w:tblOverlap w:val="never"/>
        <w:tblW w:w="13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3"/>
        <w:gridCol w:w="785"/>
        <w:gridCol w:w="1777"/>
        <w:gridCol w:w="3705"/>
        <w:gridCol w:w="1005"/>
        <w:gridCol w:w="2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92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473" w:type="dxa"/>
            <w:tcBorders>
              <w:top w:val="nil"/>
              <w:left w:val="nil"/>
              <w:bottom w:val="nil"/>
              <w:right w:val="nil"/>
            </w:tcBorders>
            <w:noWrap/>
            <w:vAlign w:val="bottom"/>
          </w:tcPr>
          <w:p>
            <w:pPr>
              <w:rPr>
                <w:rFonts w:hint="eastAsia" w:ascii="Arial" w:hAnsi="Arial" w:cs="Arial"/>
                <w:i w:val="0"/>
                <w:iCs w:val="0"/>
                <w:color w:val="auto"/>
                <w:sz w:val="20"/>
                <w:szCs w:val="20"/>
                <w:u w:val="none"/>
              </w:rPr>
            </w:pPr>
          </w:p>
        </w:tc>
        <w:tc>
          <w:tcPr>
            <w:tcW w:w="78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777"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370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00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217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473"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单位</w:t>
            </w:r>
            <w:r>
              <w:rPr>
                <w:rFonts w:hint="eastAsia" w:ascii="宋体" w:hAnsi="宋体" w:eastAsia="宋体" w:cs="宋体"/>
                <w:i w:val="0"/>
                <w:iCs w:val="0"/>
                <w:color w:val="auto"/>
                <w:kern w:val="0"/>
                <w:sz w:val="20"/>
                <w:szCs w:val="20"/>
                <w:u w:val="none"/>
                <w:lang w:val="en-US" w:eastAsia="zh-CN" w:bidi="ar"/>
              </w:rPr>
              <w:t>：许昌市土地二级市场交易中心</w:t>
            </w:r>
          </w:p>
        </w:tc>
        <w:tc>
          <w:tcPr>
            <w:tcW w:w="78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777"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370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00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217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3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收入</w:t>
            </w:r>
          </w:p>
        </w:tc>
        <w:tc>
          <w:tcPr>
            <w:tcW w:w="6885"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177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78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c>
          <w:tcPr>
            <w:tcW w:w="177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00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一、一般公共预算财政拨款收入</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110.35</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一、一般公共服务支出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二、政府性基金预算财政拨款收入</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二、外交支出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三、国有资本经营预算财政拨款收入</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三、国防支出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四、上级补助收入</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四、公共安全支出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五、事业收入</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五、教育支出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六、经营收入</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六、科学技术支出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七、附属单位上缴收入</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八、其他收入</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九、卫生健康支出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十、节能环保支出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十一、城乡社区支出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十二、农林水支出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十三、交通运输支出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十四、资源勘探工业信息等支出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十五、商业服务业等支出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十六、金融支出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十七、援助其他地区支出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十八、自然资源海洋气象等支出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十九、住房保障支出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二十、粮油物资储备支出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二十一、国有资本经营预算支出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二十二、灾害防治及应急管理支出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二十三、其他支出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二十四、债务还本支出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二十五、债务付息支出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二十六、抗疫特别国债安排的支出</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110.35</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使用非财政拨款结余</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结余分配</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年初结转和结余</w:t>
            </w: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15.85</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年末结转和结余</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21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70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21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8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7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126.20</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21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20"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w:t>
            </w:r>
            <w:r>
              <w:rPr>
                <w:rFonts w:hint="eastAsia" w:ascii="宋体" w:hAnsi="宋体" w:cs="宋体"/>
                <w:i w:val="0"/>
                <w:iCs w:val="0"/>
                <w:color w:val="auto"/>
                <w:kern w:val="0"/>
                <w:sz w:val="22"/>
                <w:szCs w:val="22"/>
                <w:u w:val="none"/>
                <w:lang w:val="en-US" w:eastAsia="zh-CN" w:bidi="ar"/>
              </w:rPr>
              <w:t>单位</w:t>
            </w:r>
            <w:r>
              <w:rPr>
                <w:rFonts w:hint="eastAsia" w:ascii="宋体" w:hAnsi="宋体" w:eastAsia="宋体" w:cs="宋体"/>
                <w:i w:val="0"/>
                <w:iCs w:val="0"/>
                <w:color w:val="auto"/>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pPr w:leftFromText="180" w:rightFromText="180" w:vertAnchor="text" w:horzAnchor="page" w:tblpX="1561" w:tblpY="177"/>
        <w:tblOverlap w:val="never"/>
        <w:tblW w:w="13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16"/>
        <w:gridCol w:w="222"/>
        <w:gridCol w:w="222"/>
        <w:gridCol w:w="3956"/>
        <w:gridCol w:w="1069"/>
        <w:gridCol w:w="1089"/>
        <w:gridCol w:w="545"/>
        <w:gridCol w:w="538"/>
        <w:gridCol w:w="518"/>
        <w:gridCol w:w="578"/>
        <w:gridCol w:w="1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935"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16" w:type="dxa"/>
            <w:tcBorders>
              <w:top w:val="nil"/>
              <w:left w:val="nil"/>
              <w:bottom w:val="nil"/>
              <w:right w:val="nil"/>
            </w:tcBorders>
            <w:noWrap/>
            <w:vAlign w:val="bottom"/>
          </w:tcPr>
          <w:p>
            <w:pPr>
              <w:rPr>
                <w:rFonts w:hint="eastAsia" w:ascii="Arial" w:hAnsi="Arial" w:cs="Arial"/>
                <w:i w:val="0"/>
                <w:iCs w:val="0"/>
                <w:color w:val="auto"/>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069"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089"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54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538"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518"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578"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78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单位</w:t>
            </w:r>
            <w:r>
              <w:rPr>
                <w:rFonts w:hint="eastAsia" w:ascii="宋体" w:hAnsi="宋体" w:eastAsia="宋体" w:cs="宋体"/>
                <w:i w:val="0"/>
                <w:iCs w:val="0"/>
                <w:color w:val="auto"/>
                <w:kern w:val="0"/>
                <w:sz w:val="20"/>
                <w:szCs w:val="20"/>
                <w:u w:val="none"/>
                <w:lang w:val="en-US" w:eastAsia="zh-CN" w:bidi="ar"/>
              </w:rPr>
              <w:t>：许昌市土地二级市场交易中心</w:t>
            </w: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069"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089"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54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538"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518"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578"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78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106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本年收入合计</w:t>
            </w:r>
          </w:p>
        </w:tc>
        <w:tc>
          <w:tcPr>
            <w:tcW w:w="108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财政拨款收入</w:t>
            </w:r>
          </w:p>
        </w:tc>
        <w:tc>
          <w:tcPr>
            <w:tcW w:w="5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上级补助收入</w:t>
            </w:r>
          </w:p>
        </w:tc>
        <w:tc>
          <w:tcPr>
            <w:tcW w:w="53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事业收入</w:t>
            </w:r>
          </w:p>
        </w:tc>
        <w:tc>
          <w:tcPr>
            <w:tcW w:w="51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经营收入</w:t>
            </w:r>
          </w:p>
        </w:tc>
        <w:tc>
          <w:tcPr>
            <w:tcW w:w="5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附属单位上缴收入</w:t>
            </w:r>
          </w:p>
        </w:tc>
        <w:tc>
          <w:tcPr>
            <w:tcW w:w="178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0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0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5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5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5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7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c>
          <w:tcPr>
            <w:tcW w:w="10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0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5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5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5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7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c>
          <w:tcPr>
            <w:tcW w:w="10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08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53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5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5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7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06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8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5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53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5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57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7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110.35</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110.35</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卫生健康支出</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2.84</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2.84</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行政事业单位医疗</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2.84</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2.84</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事业单位医疗</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2.84</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2.84</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城乡社区支出</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101.65</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101.65</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城乡社区管理事务</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101.65</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101.65</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其他城乡社区管理事务支出</w:t>
            </w:r>
          </w:p>
        </w:tc>
        <w:tc>
          <w:tcPr>
            <w:tcW w:w="106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101.65</w:t>
            </w:r>
          </w:p>
        </w:tc>
        <w:tc>
          <w:tcPr>
            <w:tcW w:w="10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101.65</w:t>
            </w:r>
          </w:p>
        </w:tc>
        <w:tc>
          <w:tcPr>
            <w:tcW w:w="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5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7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35"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w:t>
            </w:r>
            <w:r>
              <w:rPr>
                <w:rFonts w:hint="eastAsia" w:ascii="宋体" w:hAnsi="宋体" w:cs="宋体"/>
                <w:i w:val="0"/>
                <w:iCs w:val="0"/>
                <w:color w:val="auto"/>
                <w:kern w:val="0"/>
                <w:sz w:val="22"/>
                <w:szCs w:val="22"/>
                <w:u w:val="none"/>
                <w:lang w:val="en-US" w:eastAsia="zh-CN" w:bidi="ar"/>
              </w:rPr>
              <w:t>单位</w:t>
            </w:r>
            <w:r>
              <w:rPr>
                <w:rFonts w:hint="eastAsia" w:ascii="宋体" w:hAnsi="宋体" w:eastAsia="宋体" w:cs="宋体"/>
                <w:i w:val="0"/>
                <w:iCs w:val="0"/>
                <w:color w:val="auto"/>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tbl>
      <w:tblPr>
        <w:tblStyle w:val="6"/>
        <w:tblW w:w="140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222"/>
        <w:gridCol w:w="222"/>
        <w:gridCol w:w="3956"/>
        <w:gridCol w:w="1043"/>
        <w:gridCol w:w="1073"/>
        <w:gridCol w:w="845"/>
        <w:gridCol w:w="935"/>
        <w:gridCol w:w="81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022"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16" w:type="dxa"/>
            <w:tcBorders>
              <w:top w:val="nil"/>
              <w:left w:val="nil"/>
              <w:bottom w:val="nil"/>
              <w:right w:val="nil"/>
            </w:tcBorders>
            <w:noWrap/>
            <w:vAlign w:val="bottom"/>
          </w:tcPr>
          <w:p>
            <w:pPr>
              <w:rPr>
                <w:rFonts w:hint="eastAsia" w:ascii="Arial" w:hAnsi="Arial" w:cs="Arial"/>
                <w:i w:val="0"/>
                <w:iCs w:val="0"/>
                <w:color w:val="auto"/>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043"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073"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84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93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81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50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单位</w:t>
            </w:r>
            <w:r>
              <w:rPr>
                <w:rFonts w:hint="eastAsia" w:ascii="宋体" w:hAnsi="宋体" w:eastAsia="宋体" w:cs="宋体"/>
                <w:i w:val="0"/>
                <w:iCs w:val="0"/>
                <w:color w:val="auto"/>
                <w:kern w:val="0"/>
                <w:sz w:val="20"/>
                <w:szCs w:val="20"/>
                <w:u w:val="none"/>
                <w:lang w:val="en-US" w:eastAsia="zh-CN" w:bidi="ar"/>
              </w:rPr>
              <w:t>：许昌市土地二级市场交易中心</w:t>
            </w: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043"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073"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84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93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231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104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本年支出合计</w:t>
            </w:r>
          </w:p>
        </w:tc>
        <w:tc>
          <w:tcPr>
            <w:tcW w:w="107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8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c>
          <w:tcPr>
            <w:tcW w:w="9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上缴上级支出</w:t>
            </w:r>
          </w:p>
        </w:tc>
        <w:tc>
          <w:tcPr>
            <w:tcW w:w="8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经营支出</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0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0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9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8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c>
          <w:tcPr>
            <w:tcW w:w="10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0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9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8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c>
          <w:tcPr>
            <w:tcW w:w="10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0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8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9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8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04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7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9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8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126.20</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122.81</w:t>
            </w:r>
          </w:p>
        </w:tc>
        <w:tc>
          <w:tcPr>
            <w:tcW w:w="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3.38</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卫生健康支出</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2.86</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2.86</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行政事业单位医疗</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2.86</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2.86</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事业单位医疗</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2.86</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2.86</w:t>
            </w: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城乡社区支出</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117.46</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114.08</w:t>
            </w:r>
          </w:p>
        </w:tc>
        <w:tc>
          <w:tcPr>
            <w:tcW w:w="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3.38</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城乡社区管理事务</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117.46</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114.08</w:t>
            </w:r>
          </w:p>
        </w:tc>
        <w:tc>
          <w:tcPr>
            <w:tcW w:w="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3.38</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其他城乡社区管理事务支出</w:t>
            </w:r>
          </w:p>
        </w:tc>
        <w:tc>
          <w:tcPr>
            <w:tcW w:w="10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117.46</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114.08</w:t>
            </w:r>
          </w:p>
        </w:tc>
        <w:tc>
          <w:tcPr>
            <w:tcW w:w="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3.38</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39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104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8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22"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w:t>
            </w:r>
            <w:r>
              <w:rPr>
                <w:rFonts w:hint="eastAsia" w:ascii="宋体" w:hAnsi="宋体" w:cs="宋体"/>
                <w:i w:val="0"/>
                <w:iCs w:val="0"/>
                <w:color w:val="auto"/>
                <w:kern w:val="0"/>
                <w:sz w:val="22"/>
                <w:szCs w:val="22"/>
                <w:u w:val="none"/>
                <w:lang w:val="en-US" w:eastAsia="zh-CN" w:bidi="ar"/>
              </w:rPr>
              <w:t>单位</w:t>
            </w:r>
            <w:r>
              <w:rPr>
                <w:rFonts w:hint="eastAsia" w:ascii="宋体" w:hAnsi="宋体" w:eastAsia="宋体" w:cs="宋体"/>
                <w:i w:val="0"/>
                <w:iCs w:val="0"/>
                <w:color w:val="auto"/>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705"/>
        <w:gridCol w:w="930"/>
        <w:gridCol w:w="3516"/>
        <w:gridCol w:w="751"/>
        <w:gridCol w:w="821"/>
        <w:gridCol w:w="1155"/>
        <w:gridCol w:w="1168"/>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007"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16" w:type="dxa"/>
            <w:tcBorders>
              <w:top w:val="nil"/>
              <w:left w:val="nil"/>
              <w:bottom w:val="nil"/>
              <w:right w:val="nil"/>
            </w:tcBorders>
            <w:noWrap/>
            <w:vAlign w:val="bottom"/>
          </w:tcPr>
          <w:p>
            <w:pPr>
              <w:rPr>
                <w:rFonts w:hint="eastAsia" w:ascii="Arial" w:hAnsi="Arial" w:cs="Arial"/>
                <w:i w:val="0"/>
                <w:iCs w:val="0"/>
                <w:color w:val="auto"/>
                <w:sz w:val="20"/>
                <w:szCs w:val="20"/>
                <w:u w:val="none"/>
              </w:rPr>
            </w:pPr>
          </w:p>
        </w:tc>
        <w:tc>
          <w:tcPr>
            <w:tcW w:w="70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93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3516"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751"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821"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15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168"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54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单位</w:t>
            </w:r>
            <w:r>
              <w:rPr>
                <w:rFonts w:hint="eastAsia" w:ascii="宋体" w:hAnsi="宋体" w:eastAsia="宋体" w:cs="宋体"/>
                <w:i w:val="0"/>
                <w:iCs w:val="0"/>
                <w:color w:val="auto"/>
                <w:kern w:val="0"/>
                <w:sz w:val="20"/>
                <w:szCs w:val="20"/>
                <w:u w:val="none"/>
                <w:lang w:val="en-US" w:eastAsia="zh-CN" w:bidi="ar"/>
              </w:rPr>
              <w:t>：许昌市土地二级市场交易中心</w:t>
            </w:r>
          </w:p>
        </w:tc>
        <w:tc>
          <w:tcPr>
            <w:tcW w:w="70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93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3516"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751"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821"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15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168"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54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5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收     入</w:t>
            </w:r>
          </w:p>
        </w:tc>
        <w:tc>
          <w:tcPr>
            <w:tcW w:w="8956"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4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7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9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金额</w:t>
            </w:r>
          </w:p>
        </w:tc>
        <w:tc>
          <w:tcPr>
            <w:tcW w:w="35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75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行次</w:t>
            </w:r>
          </w:p>
        </w:tc>
        <w:tc>
          <w:tcPr>
            <w:tcW w:w="821"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一般公共预算财政拨款</w:t>
            </w:r>
          </w:p>
        </w:tc>
        <w:tc>
          <w:tcPr>
            <w:tcW w:w="116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政府性基金预算财政拨款</w:t>
            </w:r>
          </w:p>
        </w:tc>
        <w:tc>
          <w:tcPr>
            <w:tcW w:w="15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1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7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9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35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7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821"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16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5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70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75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6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5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一、一般公共预算财政拨款</w:t>
            </w: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110.35</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一、一般公共服务支出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二、政府性基金预算财政拨款</w:t>
            </w: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二、外交支出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三、国有资本经营财政拨款</w:t>
            </w: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三、国防支出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四、公共安全支出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五、教育支出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六、科学技术支出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九、卫生健康支出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2.86</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2.86</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十、节能环保支出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十一、城乡社区支出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117.46</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117.46</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十二、农林水支出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十三、交通运输支出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十四、资源勘探工业信息等支出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十五、商业服务业等支出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十六、金融支出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十七、援助其他地区支出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十八、自然资源海洋气象等支出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十九、住房保障支出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二十、粮油物资储备支出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二十一、国有资本经营预算支出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二十二、灾害防治及应急管理支出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二十三、其他支出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二十四、债务还本支出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二十五、债务付息支出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u w:val="none"/>
              </w:rPr>
            </w:pP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二十六、抗疫特别国债安排的支出</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110.35</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126.20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126.20</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年初财政拨款结转和结余</w:t>
            </w: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15.85</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年末财政拨款结转和结余</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一般公共预算财政拨款</w:t>
            </w: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15.85</w:t>
            </w: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政府性基金预算财政拨款</w:t>
            </w: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国有资本经营预算财政拨款</w:t>
            </w:r>
          </w:p>
        </w:tc>
        <w:tc>
          <w:tcPr>
            <w:tcW w:w="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82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0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126.20</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5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82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126.20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126.20</w:t>
            </w: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5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07"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w:t>
            </w:r>
            <w:r>
              <w:rPr>
                <w:rFonts w:hint="eastAsia" w:ascii="宋体" w:hAnsi="宋体" w:cs="宋体"/>
                <w:i w:val="0"/>
                <w:iCs w:val="0"/>
                <w:color w:val="auto"/>
                <w:kern w:val="0"/>
                <w:sz w:val="22"/>
                <w:szCs w:val="22"/>
                <w:u w:val="none"/>
                <w:lang w:val="en-US" w:eastAsia="zh-CN" w:bidi="ar"/>
              </w:rPr>
              <w:t>单位</w:t>
            </w:r>
            <w:r>
              <w:rPr>
                <w:rFonts w:hint="eastAsia" w:ascii="宋体" w:hAnsi="宋体" w:eastAsia="宋体" w:cs="宋体"/>
                <w:i w:val="0"/>
                <w:iCs w:val="0"/>
                <w:color w:val="auto"/>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222"/>
        <w:gridCol w:w="222"/>
        <w:gridCol w:w="4282"/>
        <w:gridCol w:w="1845"/>
        <w:gridCol w:w="193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022"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16" w:type="dxa"/>
            <w:tcBorders>
              <w:top w:val="nil"/>
              <w:left w:val="nil"/>
              <w:bottom w:val="nil"/>
              <w:right w:val="nil"/>
            </w:tcBorders>
            <w:noWrap/>
            <w:vAlign w:val="bottom"/>
          </w:tcPr>
          <w:p>
            <w:pPr>
              <w:rPr>
                <w:rFonts w:hint="eastAsia" w:ascii="Arial" w:hAnsi="Arial" w:cs="Arial"/>
                <w:i w:val="0"/>
                <w:iCs w:val="0"/>
                <w:color w:val="auto"/>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4282"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84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93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210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单位</w:t>
            </w:r>
            <w:r>
              <w:rPr>
                <w:rFonts w:hint="eastAsia" w:ascii="宋体" w:hAnsi="宋体" w:eastAsia="宋体" w:cs="宋体"/>
                <w:i w:val="0"/>
                <w:iCs w:val="0"/>
                <w:color w:val="auto"/>
                <w:kern w:val="0"/>
                <w:sz w:val="20"/>
                <w:szCs w:val="20"/>
                <w:u w:val="none"/>
                <w:lang w:val="en-US" w:eastAsia="zh-CN" w:bidi="ar"/>
              </w:rPr>
              <w:t>：许昌市土地二级市场交易中心</w:t>
            </w: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4282"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84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93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210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4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588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功能分类科目编码</w:t>
            </w:r>
          </w:p>
        </w:tc>
        <w:tc>
          <w:tcPr>
            <w:tcW w:w="4282"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8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19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21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428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c>
          <w:tcPr>
            <w:tcW w:w="18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9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21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428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c>
          <w:tcPr>
            <w:tcW w:w="18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9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21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4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142"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126.20</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122.81</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社会保障和就业支出</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行政事业单位养老支出</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2080505</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机关事业单位基本养老保险缴费支出</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5.87</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卫生健康支出</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2.86</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2.86</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行政事业单位医疗</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2.86</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2.86</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2101102</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事业单位医疗</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2.86</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2.86</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城乡社区支出</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117.46</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114.08</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城乡社区管理事务</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117.46</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114.08</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2120199</w:t>
            </w:r>
          </w:p>
        </w:tc>
        <w:tc>
          <w:tcPr>
            <w:tcW w:w="428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其他城乡社区管理事务支出</w:t>
            </w:r>
          </w:p>
        </w:tc>
        <w:tc>
          <w:tcPr>
            <w:tcW w:w="18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117.46</w:t>
            </w:r>
          </w:p>
        </w:tc>
        <w:tc>
          <w:tcPr>
            <w:tcW w:w="1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114.08</w:t>
            </w:r>
          </w:p>
        </w:tc>
        <w:tc>
          <w:tcPr>
            <w:tcW w:w="2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428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1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428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1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428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18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22"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w:t>
            </w:r>
            <w:r>
              <w:rPr>
                <w:rFonts w:hint="eastAsia" w:ascii="宋体" w:hAnsi="宋体" w:cs="宋体"/>
                <w:i w:val="0"/>
                <w:iCs w:val="0"/>
                <w:color w:val="auto"/>
                <w:kern w:val="0"/>
                <w:sz w:val="22"/>
                <w:szCs w:val="22"/>
                <w:u w:val="none"/>
                <w:lang w:val="en-US" w:eastAsia="zh-CN" w:bidi="ar"/>
              </w:rPr>
              <w:t>单位</w:t>
            </w:r>
            <w:r>
              <w:rPr>
                <w:rFonts w:hint="eastAsia" w:ascii="宋体" w:hAnsi="宋体" w:eastAsia="宋体" w:cs="宋体"/>
                <w:i w:val="0"/>
                <w:iCs w:val="0"/>
                <w:color w:val="auto"/>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2"/>
        <w:gridCol w:w="2685"/>
        <w:gridCol w:w="990"/>
        <w:gridCol w:w="1140"/>
        <w:gridCol w:w="2280"/>
        <w:gridCol w:w="960"/>
        <w:gridCol w:w="1200"/>
        <w:gridCol w:w="2760"/>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一般公共预算财政拨款基本支出决算</w:t>
            </w:r>
            <w:r>
              <w:rPr>
                <w:rFonts w:hint="eastAsia" w:ascii="宋体" w:hAnsi="宋体" w:cs="宋体"/>
                <w:i w:val="0"/>
                <w:iCs w:val="0"/>
                <w:color w:val="auto"/>
                <w:kern w:val="0"/>
                <w:sz w:val="30"/>
                <w:szCs w:val="30"/>
                <w:u w:val="none"/>
                <w:lang w:val="en-US" w:eastAsia="zh-CN" w:bidi="ar"/>
              </w:rPr>
              <w:t>明细</w:t>
            </w:r>
            <w:r>
              <w:rPr>
                <w:rFonts w:hint="eastAsia" w:ascii="宋体" w:hAnsi="宋体" w:eastAsia="宋体" w:cs="宋体"/>
                <w:i w:val="0"/>
                <w:iCs w:val="0"/>
                <w:color w:val="auto"/>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82" w:type="dxa"/>
            <w:tcBorders>
              <w:top w:val="nil"/>
              <w:left w:val="nil"/>
              <w:bottom w:val="nil"/>
              <w:right w:val="nil"/>
            </w:tcBorders>
            <w:noWrap/>
            <w:vAlign w:val="bottom"/>
          </w:tcPr>
          <w:p>
            <w:pPr>
              <w:rPr>
                <w:rFonts w:hint="eastAsia" w:ascii="Arial" w:hAnsi="Arial" w:cs="Arial"/>
                <w:i w:val="0"/>
                <w:iCs w:val="0"/>
                <w:color w:val="auto"/>
                <w:sz w:val="20"/>
                <w:szCs w:val="20"/>
                <w:u w:val="none"/>
              </w:rPr>
            </w:pPr>
          </w:p>
        </w:tc>
        <w:tc>
          <w:tcPr>
            <w:tcW w:w="268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99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14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228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96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20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364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5" w:hRule="atLeast"/>
        </w:trPr>
        <w:tc>
          <w:tcPr>
            <w:tcW w:w="4857" w:type="dxa"/>
            <w:gridSpan w:val="3"/>
            <w:tcBorders>
              <w:top w:val="nil"/>
              <w:left w:val="nil"/>
              <w:bottom w:val="nil"/>
              <w:right w:val="nil"/>
            </w:tcBorders>
            <w:noWrap/>
            <w:vAlign w:val="bottom"/>
          </w:tcPr>
          <w:p>
            <w:pPr>
              <w:rPr>
                <w:rFonts w:hint="default" w:ascii="Arial" w:hAnsi="Arial" w:cs="Arial"/>
                <w:i w:val="0"/>
                <w:iCs w:val="0"/>
                <w:color w:val="auto"/>
                <w:sz w:val="20"/>
                <w:szCs w:val="20"/>
                <w:u w:val="none"/>
              </w:rPr>
            </w:pPr>
            <w:r>
              <w:rPr>
                <w:rFonts w:hint="eastAsia" w:ascii="宋体" w:hAnsi="宋体" w:cs="宋体"/>
                <w:i w:val="0"/>
                <w:iCs w:val="0"/>
                <w:color w:val="auto"/>
                <w:kern w:val="0"/>
                <w:sz w:val="20"/>
                <w:szCs w:val="20"/>
                <w:u w:val="none"/>
                <w:lang w:val="en-US" w:eastAsia="zh-CN" w:bidi="ar"/>
              </w:rPr>
              <w:t>单位</w:t>
            </w:r>
            <w:r>
              <w:rPr>
                <w:rFonts w:hint="eastAsia" w:ascii="宋体" w:hAnsi="宋体" w:eastAsia="宋体" w:cs="宋体"/>
                <w:i w:val="0"/>
                <w:iCs w:val="0"/>
                <w:color w:val="auto"/>
                <w:kern w:val="0"/>
                <w:sz w:val="20"/>
                <w:szCs w:val="20"/>
                <w:u w:val="none"/>
                <w:lang w:val="en-US" w:eastAsia="zh-CN" w:bidi="ar"/>
              </w:rPr>
              <w:t>：许昌市土地二级市场交易中心</w:t>
            </w:r>
          </w:p>
        </w:tc>
        <w:tc>
          <w:tcPr>
            <w:tcW w:w="114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228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96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20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364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5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人员经费</w:t>
            </w:r>
          </w:p>
        </w:tc>
        <w:tc>
          <w:tcPr>
            <w:tcW w:w="9224"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科目编码</w:t>
            </w:r>
          </w:p>
        </w:tc>
        <w:tc>
          <w:tcPr>
            <w:tcW w:w="26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9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科目编码</w:t>
            </w:r>
          </w:p>
        </w:tc>
        <w:tc>
          <w:tcPr>
            <w:tcW w:w="22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9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科目编码</w:t>
            </w:r>
          </w:p>
        </w:tc>
        <w:tc>
          <w:tcPr>
            <w:tcW w:w="27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88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26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9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22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9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27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8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工资福利支出</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114.39</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商品和服务支出</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8.43</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债务利息及费用支出</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21.20</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2.41</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30701</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29.83</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0.40</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30702</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30.76</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资本性支出</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31001</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14.96</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0.01</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31002</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7.40</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0.14</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31003</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0.79</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31005</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3.37</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31006</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31007</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0.42</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0.13</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31008</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6.45</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31009</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0.30</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31010</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31011</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对个人和家庭的补助</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31012</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0.26</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31013</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31019</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31021</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31022</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31099</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其他支出</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0.20</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39906</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赠与</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0.49</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39907</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0.70</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39908</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公务用车运行维护费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0.85</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39999</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0.02</w:t>
            </w:r>
          </w:p>
        </w:tc>
        <w:tc>
          <w:tcPr>
            <w:tcW w:w="12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27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其他对个人和家庭的补助</w:t>
            </w: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0.20</w:t>
            </w:r>
          </w:p>
        </w:tc>
        <w:tc>
          <w:tcPr>
            <w:tcW w:w="12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27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268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2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其他商品和服务支出</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0.03</w:t>
            </w:r>
          </w:p>
        </w:tc>
        <w:tc>
          <w:tcPr>
            <w:tcW w:w="12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27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8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7"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人员经费合计</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114.39</w:t>
            </w:r>
          </w:p>
        </w:tc>
        <w:tc>
          <w:tcPr>
            <w:tcW w:w="8340"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公用经费合计</w:t>
            </w:r>
          </w:p>
        </w:tc>
        <w:tc>
          <w:tcPr>
            <w:tcW w:w="8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w:t>
            </w:r>
            <w:r>
              <w:rPr>
                <w:rFonts w:hint="eastAsia" w:ascii="宋体" w:hAnsi="宋体" w:cs="宋体"/>
                <w:i w:val="0"/>
                <w:iCs w:val="0"/>
                <w:color w:val="auto"/>
                <w:kern w:val="0"/>
                <w:sz w:val="22"/>
                <w:szCs w:val="22"/>
                <w:u w:val="none"/>
                <w:lang w:val="en-US" w:eastAsia="zh-CN" w:bidi="ar"/>
              </w:rPr>
              <w:t>单位</w:t>
            </w:r>
            <w:r>
              <w:rPr>
                <w:rFonts w:hint="eastAsia" w:ascii="宋体" w:hAnsi="宋体" w:eastAsia="宋体" w:cs="宋体"/>
                <w:i w:val="0"/>
                <w:iCs w:val="0"/>
                <w:color w:val="auto"/>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2"/>
        <w:gridCol w:w="1890"/>
        <w:gridCol w:w="1260"/>
        <w:gridCol w:w="1170"/>
        <w:gridCol w:w="1320"/>
        <w:gridCol w:w="1065"/>
        <w:gridCol w:w="915"/>
        <w:gridCol w:w="1182"/>
        <w:gridCol w:w="880"/>
        <w:gridCol w:w="1163"/>
        <w:gridCol w:w="1110"/>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62"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i w:val="0"/>
                <w:iCs w:val="0"/>
                <w:color w:val="auto"/>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02" w:type="dxa"/>
            <w:tcBorders>
              <w:top w:val="nil"/>
              <w:left w:val="nil"/>
              <w:bottom w:val="nil"/>
              <w:right w:val="nil"/>
            </w:tcBorders>
            <w:noWrap/>
            <w:vAlign w:val="bottom"/>
          </w:tcPr>
          <w:p>
            <w:pPr>
              <w:rPr>
                <w:rFonts w:hint="eastAsia" w:ascii="Arial" w:hAnsi="Arial" w:cs="Arial"/>
                <w:i w:val="0"/>
                <w:iCs w:val="0"/>
                <w:color w:val="auto"/>
                <w:sz w:val="20"/>
                <w:szCs w:val="20"/>
                <w:u w:val="none"/>
              </w:rPr>
            </w:pPr>
          </w:p>
        </w:tc>
        <w:tc>
          <w:tcPr>
            <w:tcW w:w="189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26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17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32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06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91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182"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88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163"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11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00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5" w:hRule="atLeast"/>
        </w:trPr>
        <w:tc>
          <w:tcPr>
            <w:tcW w:w="5322" w:type="dxa"/>
            <w:gridSpan w:val="4"/>
            <w:tcBorders>
              <w:top w:val="nil"/>
              <w:left w:val="nil"/>
              <w:bottom w:val="nil"/>
              <w:right w:val="nil"/>
            </w:tcBorders>
            <w:noWrap/>
            <w:vAlign w:val="bottom"/>
          </w:tcPr>
          <w:p>
            <w:pPr>
              <w:rPr>
                <w:rFonts w:hint="default" w:ascii="Arial" w:hAnsi="Arial" w:cs="Arial"/>
                <w:i w:val="0"/>
                <w:iCs w:val="0"/>
                <w:color w:val="auto"/>
                <w:sz w:val="20"/>
                <w:szCs w:val="20"/>
                <w:u w:val="none"/>
              </w:rPr>
            </w:pPr>
            <w:r>
              <w:rPr>
                <w:rFonts w:hint="eastAsia" w:ascii="宋体" w:hAnsi="宋体" w:cs="宋体"/>
                <w:i w:val="0"/>
                <w:iCs w:val="0"/>
                <w:color w:val="auto"/>
                <w:kern w:val="0"/>
                <w:sz w:val="20"/>
                <w:szCs w:val="20"/>
                <w:u w:val="none"/>
                <w:lang w:val="en-US" w:eastAsia="zh-CN" w:bidi="ar"/>
              </w:rPr>
              <w:t>单位</w:t>
            </w:r>
            <w:r>
              <w:rPr>
                <w:rFonts w:hint="eastAsia" w:ascii="宋体" w:hAnsi="宋体" w:eastAsia="宋体" w:cs="宋体"/>
                <w:i w:val="0"/>
                <w:iCs w:val="0"/>
                <w:color w:val="auto"/>
                <w:kern w:val="0"/>
                <w:sz w:val="20"/>
                <w:szCs w:val="20"/>
                <w:u w:val="none"/>
                <w:lang w:val="en-US" w:eastAsia="zh-CN" w:bidi="ar"/>
              </w:rPr>
              <w:t>：许昌市土地二级市场交易中心</w:t>
            </w:r>
          </w:p>
        </w:tc>
        <w:tc>
          <w:tcPr>
            <w:tcW w:w="132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06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915"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182"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880"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1163" w:type="dxa"/>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211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0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预算数</w:t>
            </w:r>
          </w:p>
        </w:tc>
        <w:tc>
          <w:tcPr>
            <w:tcW w:w="625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8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因公出国（境）费</w:t>
            </w:r>
          </w:p>
        </w:tc>
        <w:tc>
          <w:tcPr>
            <w:tcW w:w="375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公务用车购置及运行费</w:t>
            </w:r>
          </w:p>
        </w:tc>
        <w:tc>
          <w:tcPr>
            <w:tcW w:w="10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公务接待费</w:t>
            </w:r>
          </w:p>
        </w:tc>
        <w:tc>
          <w:tcPr>
            <w:tcW w:w="9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118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因公出国（境）费</w:t>
            </w:r>
          </w:p>
        </w:tc>
        <w:tc>
          <w:tcPr>
            <w:tcW w:w="3153"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公务用车购置及运行费</w:t>
            </w:r>
          </w:p>
        </w:tc>
        <w:tc>
          <w:tcPr>
            <w:tcW w:w="10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8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公务用车购置费</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公务用车运行费</w:t>
            </w:r>
          </w:p>
        </w:tc>
        <w:tc>
          <w:tcPr>
            <w:tcW w:w="10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9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1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公务用车购置费</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公务用车运行费</w:t>
            </w:r>
          </w:p>
        </w:tc>
        <w:tc>
          <w:tcPr>
            <w:tcW w:w="10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8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3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0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9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1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8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16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1.48</w:t>
            </w:r>
          </w:p>
        </w:tc>
        <w:tc>
          <w:tcPr>
            <w:tcW w:w="18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3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0.48</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0.85</w:t>
            </w:r>
          </w:p>
        </w:tc>
        <w:tc>
          <w:tcPr>
            <w:tcW w:w="11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8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0.85</w:t>
            </w:r>
          </w:p>
        </w:tc>
        <w:tc>
          <w:tcPr>
            <w:tcW w:w="11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0.85</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62"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w:t>
            </w:r>
            <w:r>
              <w:rPr>
                <w:rFonts w:hint="eastAsia" w:ascii="宋体" w:hAnsi="宋体" w:cs="宋体"/>
                <w:i w:val="0"/>
                <w:iCs w:val="0"/>
                <w:color w:val="auto"/>
                <w:kern w:val="0"/>
                <w:sz w:val="22"/>
                <w:szCs w:val="22"/>
                <w:u w:val="none"/>
                <w:lang w:val="en-US" w:eastAsia="zh-CN" w:bidi="ar"/>
              </w:rPr>
              <w:t>单位</w:t>
            </w:r>
            <w:r>
              <w:rPr>
                <w:rFonts w:hint="eastAsia" w:ascii="宋体" w:hAnsi="宋体" w:eastAsia="宋体" w:cs="宋体"/>
                <w:i w:val="0"/>
                <w:iCs w:val="0"/>
                <w:color w:val="auto"/>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16"/>
        <w:gridCol w:w="222"/>
        <w:gridCol w:w="222"/>
        <w:gridCol w:w="1096"/>
        <w:gridCol w:w="1393"/>
        <w:gridCol w:w="1414"/>
        <w:gridCol w:w="1190"/>
        <w:gridCol w:w="1271"/>
        <w:gridCol w:w="1360"/>
        <w:gridCol w:w="2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38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224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单位</w:t>
            </w:r>
            <w:r>
              <w:rPr>
                <w:rFonts w:hint="eastAsia" w:ascii="宋体" w:hAnsi="宋体" w:eastAsia="宋体" w:cs="宋体"/>
                <w:i w:val="0"/>
                <w:iCs w:val="0"/>
                <w:color w:val="auto"/>
                <w:kern w:val="0"/>
                <w:sz w:val="20"/>
                <w:szCs w:val="20"/>
                <w:u w:val="none"/>
                <w:lang w:val="en-US" w:eastAsia="zh-CN" w:bidi="ar"/>
              </w:rPr>
              <w:t>：许昌市土地二级市场交易中心</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u w:val="none"/>
              </w:rPr>
            </w:pPr>
          </w:p>
        </w:tc>
        <w:tc>
          <w:tcPr>
            <w:tcW w:w="224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139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年初结转和结余</w:t>
            </w:r>
          </w:p>
        </w:tc>
        <w:tc>
          <w:tcPr>
            <w:tcW w:w="141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本年收入</w:t>
            </w:r>
          </w:p>
        </w:tc>
        <w:tc>
          <w:tcPr>
            <w:tcW w:w="3821"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本年支出</w:t>
            </w:r>
          </w:p>
        </w:tc>
        <w:tc>
          <w:tcPr>
            <w:tcW w:w="224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科目名称</w:t>
            </w:r>
          </w:p>
        </w:tc>
        <w:tc>
          <w:tcPr>
            <w:tcW w:w="13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4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1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小计</w:t>
            </w:r>
          </w:p>
        </w:tc>
        <w:tc>
          <w:tcPr>
            <w:tcW w:w="127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基本支出</w:t>
            </w:r>
          </w:p>
        </w:tc>
        <w:tc>
          <w:tcPr>
            <w:tcW w:w="13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项目支出</w:t>
            </w:r>
          </w:p>
        </w:tc>
        <w:tc>
          <w:tcPr>
            <w:tcW w:w="22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c>
          <w:tcPr>
            <w:tcW w:w="13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4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1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2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3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22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u w:val="none"/>
              </w:rPr>
            </w:pPr>
          </w:p>
        </w:tc>
        <w:tc>
          <w:tcPr>
            <w:tcW w:w="139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4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1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27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13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c>
          <w:tcPr>
            <w:tcW w:w="22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2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u w:val="none"/>
              </w:rPr>
            </w:pPr>
          </w:p>
        </w:tc>
        <w:tc>
          <w:tcPr>
            <w:tcW w:w="2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2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c>
          <w:tcPr>
            <w:tcW w:w="22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注：本表反映</w:t>
            </w:r>
            <w:r>
              <w:rPr>
                <w:rFonts w:hint="eastAsia" w:ascii="宋体" w:hAnsi="宋体" w:cs="宋体"/>
                <w:i w:val="0"/>
                <w:iCs w:val="0"/>
                <w:color w:val="auto"/>
                <w:kern w:val="0"/>
                <w:sz w:val="22"/>
                <w:szCs w:val="22"/>
                <w:u w:val="none"/>
                <w:lang w:val="en-US" w:eastAsia="zh-CN" w:bidi="ar"/>
              </w:rPr>
              <w:t>单位</w:t>
            </w:r>
            <w:r>
              <w:rPr>
                <w:rFonts w:hint="eastAsia" w:ascii="宋体" w:hAnsi="宋体" w:eastAsia="宋体" w:cs="宋体"/>
                <w:i w:val="0"/>
                <w:iCs w:val="0"/>
                <w:color w:val="auto"/>
                <w:kern w:val="0"/>
                <w:sz w:val="22"/>
                <w:szCs w:val="22"/>
                <w:u w:val="none"/>
                <w:lang w:val="en-US" w:eastAsia="zh-CN" w:bidi="ar"/>
              </w:rPr>
              <w:t>本年度政府性基金预算财政拨款收入、支出及结转和结余情况。本表金额转换为万元时，因四舍五入可能存在尾差。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没有政府性基金收入，也没有使用政府性基金安排的支出，故本表无数据。</w:t>
      </w:r>
    </w:p>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126.20</w:t>
      </w:r>
      <w:r>
        <w:rPr>
          <w:rFonts w:hint="eastAsia" w:ascii="仿宋_GB2312" w:hAnsi="仿宋_GB2312" w:eastAsia="仿宋_GB2312" w:cs="仿宋_GB2312"/>
          <w:color w:val="auto"/>
          <w:sz w:val="32"/>
          <w:szCs w:val="32"/>
          <w:highlight w:val="none"/>
        </w:rPr>
        <w:t>万元。与上年度相比，收、支总计各增加</w:t>
      </w:r>
      <w:r>
        <w:rPr>
          <w:rFonts w:hint="eastAsia" w:ascii="仿宋_GB2312" w:hAnsi="仿宋_GB2312" w:eastAsia="仿宋_GB2312" w:cs="仿宋_GB2312"/>
          <w:color w:val="auto"/>
          <w:sz w:val="32"/>
          <w:szCs w:val="32"/>
          <w:highlight w:val="none"/>
          <w:lang w:val="en-US" w:eastAsia="zh-CN"/>
        </w:rPr>
        <w:t>27.15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27.41</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2021年我单位新增2名在职人员，</w:t>
      </w:r>
      <w:r>
        <w:rPr>
          <w:rFonts w:hint="eastAsia" w:ascii="仿宋_GB2312" w:hAnsi="仿宋_GB2312" w:eastAsia="仿宋_GB2312"/>
          <w:color w:val="auto"/>
          <w:sz w:val="32"/>
        </w:rPr>
        <w:t>人员经费及公用经费都有所增加</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default" w:ascii="仿宋_GB2312" w:hAnsi="仿宋_GB2312" w:eastAsia="仿宋_GB2312" w:cs="仿宋_GB2312"/>
          <w:color w:val="auto"/>
          <w:sz w:val="32"/>
          <w:szCs w:val="32"/>
          <w:highlight w:val="none"/>
          <w:lang w:val="en"/>
        </w:rPr>
        <w:t>110.35</w:t>
      </w:r>
      <w:r>
        <w:rPr>
          <w:rFonts w:hint="eastAsia" w:ascii="仿宋_GB2312" w:hAnsi="仿宋_GB2312" w:eastAsia="仿宋_GB2312" w:cs="仿宋_GB2312"/>
          <w:color w:val="auto"/>
          <w:sz w:val="32"/>
          <w:szCs w:val="32"/>
          <w:highlight w:val="none"/>
        </w:rPr>
        <w:t>万元，其中：财政拨款收入</w:t>
      </w:r>
      <w:r>
        <w:rPr>
          <w:rFonts w:hint="default" w:ascii="仿宋_GB2312" w:hAnsi="仿宋_GB2312" w:eastAsia="仿宋_GB2312" w:cs="仿宋_GB2312"/>
          <w:color w:val="auto"/>
          <w:sz w:val="32"/>
          <w:szCs w:val="32"/>
          <w:highlight w:val="none"/>
          <w:lang w:val="en"/>
        </w:rPr>
        <w:t>110.35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%；经营收入</w:t>
      </w:r>
      <w:r>
        <w:rPr>
          <w:rFonts w:hint="default" w:ascii="仿宋_GB2312" w:hAnsi="仿宋_GB2312" w:eastAsia="仿宋_GB2312" w:cs="仿宋_GB2312"/>
          <w:color w:val="auto"/>
          <w:sz w:val="32"/>
          <w:szCs w:val="32"/>
          <w:highlight w:val="none"/>
          <w:lang w:val="e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126.20</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122.81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97.32</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3.38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2.68</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%；对附属单位补助支出</w:t>
      </w:r>
      <w:r>
        <w:rPr>
          <w:rFonts w:hint="default" w:ascii="仿宋_GB2312" w:hAnsi="仿宋_GB2312" w:eastAsia="仿宋_GB2312" w:cs="仿宋_GB2312"/>
          <w:color w:val="auto"/>
          <w:sz w:val="32"/>
          <w:szCs w:val="32"/>
          <w:highlight w:val="none"/>
          <w:lang w:val="e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126.20</w:t>
      </w:r>
      <w:r>
        <w:rPr>
          <w:rFonts w:hint="eastAsia" w:ascii="仿宋_GB2312" w:hAnsi="仿宋_GB2312" w:eastAsia="仿宋_GB2312" w:cs="仿宋_GB2312"/>
          <w:color w:val="auto"/>
          <w:sz w:val="32"/>
          <w:szCs w:val="32"/>
          <w:highlight w:val="none"/>
        </w:rPr>
        <w:t>万元。与上年度相比，财政拨款收、支总计各增加</w:t>
      </w:r>
      <w:r>
        <w:rPr>
          <w:rFonts w:hint="eastAsia" w:ascii="仿宋_GB2312" w:hAnsi="仿宋_GB2312" w:eastAsia="仿宋_GB2312" w:cs="仿宋_GB2312"/>
          <w:color w:val="auto"/>
          <w:sz w:val="32"/>
          <w:szCs w:val="32"/>
          <w:highlight w:val="none"/>
          <w:lang w:val="en-US" w:eastAsia="zh-CN"/>
        </w:rPr>
        <w:t>27.15</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27.41</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2021年我单位新增2名在职人员，</w:t>
      </w:r>
      <w:r>
        <w:rPr>
          <w:rFonts w:hint="eastAsia" w:ascii="仿宋_GB2312" w:hAnsi="仿宋_GB2312" w:eastAsia="仿宋_GB2312"/>
          <w:color w:val="auto"/>
          <w:sz w:val="32"/>
        </w:rPr>
        <w:t>人员经费及公用经费都有所增加</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126.20</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46.87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59.08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olor w:val="auto"/>
          <w:sz w:val="32"/>
        </w:rPr>
        <w:t>02</w:t>
      </w:r>
      <w:r>
        <w:rPr>
          <w:rFonts w:hint="eastAsia" w:ascii="仿宋_GB2312" w:hAnsi="仿宋_GB2312" w:eastAsia="仿宋_GB2312"/>
          <w:color w:val="auto"/>
          <w:sz w:val="32"/>
          <w:lang w:val="en-US" w:eastAsia="zh-CN"/>
        </w:rPr>
        <w:t>1</w:t>
      </w:r>
      <w:r>
        <w:rPr>
          <w:rFonts w:hint="eastAsia" w:ascii="仿宋_GB2312" w:hAnsi="仿宋_GB2312" w:eastAsia="仿宋_GB2312"/>
          <w:color w:val="auto"/>
          <w:sz w:val="32"/>
        </w:rPr>
        <w:t>年我单位新增2名在职人员，人员经费及公用经费</w:t>
      </w:r>
      <w:r>
        <w:rPr>
          <w:rFonts w:hint="eastAsia" w:ascii="仿宋_GB2312" w:hAnsi="仿宋_GB2312" w:eastAsia="仿宋_GB2312"/>
          <w:color w:val="auto"/>
          <w:sz w:val="32"/>
          <w:lang w:eastAsia="zh-CN"/>
        </w:rPr>
        <w:t>支出</w:t>
      </w:r>
      <w:r>
        <w:rPr>
          <w:rFonts w:hint="eastAsia" w:ascii="仿宋_GB2312" w:hAnsi="仿宋_GB2312" w:eastAsia="仿宋_GB2312"/>
          <w:color w:val="auto"/>
          <w:sz w:val="32"/>
        </w:rPr>
        <w:t>都有所增加</w:t>
      </w:r>
      <w:r>
        <w:rPr>
          <w:rFonts w:hint="eastAsia" w:ascii="仿宋_GB2312" w:hAnsi="仿宋_GB2312" w:eastAsia="仿宋_GB2312"/>
          <w:color w:val="auto"/>
          <w:sz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126.20</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sz w:val="32"/>
          <w:szCs w:val="32"/>
          <w:highlight w:val="none"/>
          <w:lang w:val="en-US" w:eastAsia="zh-CN"/>
        </w:rPr>
        <w:t>社会保障和就业（类）支出5.87万元，占4.65%；卫生健康（类）支出2.86万元，占2.28%；城乡社区（类）支出117.46万元，占93.07%</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126.20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126.20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社会保障和就业支出（类）行政事业单位养老支出（款）机关事业单位基本养老保险缴费支出（项）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5.87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5.87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rPr>
        <w:t>卫生健康支出（类）行政事业单位医疗（款）事业单位医疗（项）。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2.86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2.86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城乡社区支出（类）城乡社区管理事务（款）其他</w:t>
      </w:r>
      <w:r>
        <w:rPr>
          <w:rFonts w:hint="eastAsia" w:ascii="仿宋_GB2312" w:hAnsi="仿宋_GB2312" w:eastAsia="仿宋_GB2312" w:cs="仿宋_GB2312"/>
          <w:b/>
          <w:bCs/>
          <w:color w:val="auto"/>
          <w:sz w:val="32"/>
          <w:szCs w:val="32"/>
          <w:lang w:eastAsia="zh-CN"/>
        </w:rPr>
        <w:t>城乡</w:t>
      </w:r>
      <w:r>
        <w:rPr>
          <w:rFonts w:hint="eastAsia" w:ascii="仿宋_GB2312" w:hAnsi="仿宋_GB2312" w:eastAsia="仿宋_GB2312" w:cs="仿宋_GB2312"/>
          <w:b/>
          <w:bCs/>
          <w:color w:val="auto"/>
          <w:sz w:val="32"/>
          <w:szCs w:val="32"/>
        </w:rPr>
        <w:t>社区管理事务支出（项）。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117.46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117.46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122.81</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114.39</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、绩效工资、机关事业单位基本养老保险缴费、职工基本医疗保险缴费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其他社会保障缴费、住房公积金；公用经费</w:t>
      </w:r>
      <w:r>
        <w:rPr>
          <w:rFonts w:hint="eastAsia" w:ascii="仿宋_GB2312" w:hAnsi="仿宋_GB2312" w:eastAsia="仿宋_GB2312" w:cs="仿宋_GB2312"/>
          <w:color w:val="auto"/>
          <w:sz w:val="32"/>
          <w:szCs w:val="32"/>
          <w:highlight w:val="none"/>
          <w:lang w:val="en-US" w:eastAsia="zh-CN"/>
        </w:rPr>
        <w:t>8.43</w:t>
      </w:r>
      <w:r>
        <w:rPr>
          <w:rFonts w:hint="eastAsia" w:ascii="仿宋_GB2312" w:hAnsi="仿宋_GB2312" w:eastAsia="仿宋_GB2312" w:cs="仿宋_GB2312"/>
          <w:color w:val="auto"/>
          <w:sz w:val="32"/>
          <w:szCs w:val="32"/>
          <w:highlight w:val="none"/>
        </w:rPr>
        <w:t>万元，主要包括：办公费、印刷费、水费、电费、邮电费、差旅费、维修（护）费、培训费、劳务费、委托业务费、工会经费、福利费、公务用车运行维护费、</w:t>
      </w:r>
      <w:r>
        <w:rPr>
          <w:rFonts w:hint="eastAsia" w:ascii="仿宋_GB2312" w:hAnsi="仿宋_GB2312" w:eastAsia="仿宋_GB2312" w:cs="仿宋_GB2312"/>
          <w:color w:val="auto"/>
          <w:sz w:val="32"/>
          <w:szCs w:val="32"/>
          <w:highlight w:val="none"/>
          <w:lang w:eastAsia="zh-CN"/>
        </w:rPr>
        <w:t>其他交通费用、</w:t>
      </w:r>
      <w:r>
        <w:rPr>
          <w:rFonts w:hint="eastAsia" w:ascii="仿宋_GB2312" w:hAnsi="仿宋_GB2312" w:eastAsia="仿宋_GB2312" w:cs="仿宋_GB2312"/>
          <w:color w:val="auto"/>
          <w:sz w:val="32"/>
          <w:szCs w:val="32"/>
          <w:highlight w:val="none"/>
        </w:rPr>
        <w:t>税金及附加费用、其他商品和服务支出。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1.48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0.85</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57.43</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b w:val="0"/>
          <w:bCs w:val="0"/>
          <w:color w:val="auto"/>
          <w:sz w:val="32"/>
          <w:szCs w:val="32"/>
          <w:lang w:val="en-US" w:eastAsia="zh-CN"/>
        </w:rPr>
        <w:t>落实政府过紧日子要求，压减“三公”经费支出</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0.85</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85</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，完成预算的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。具体情况如下：</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万元。决算数与预算数不存在差异。因公出国（境）团组数0个，因公出国（境）人次数0人。</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0.85</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85</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b w:val="0"/>
          <w:bCs w:val="0"/>
          <w:color w:val="auto"/>
          <w:sz w:val="32"/>
          <w:szCs w:val="32"/>
          <w:lang w:val="en-US" w:eastAsia="zh-CN"/>
        </w:rPr>
        <w:t>落实政府过紧日子要求，压减“三公”经费支出</w:t>
      </w:r>
      <w:r>
        <w:rPr>
          <w:rFonts w:hint="eastAsia" w:ascii="仿宋_GB2312" w:hAnsi="仿宋_GB2312" w:eastAsia="仿宋_GB2312" w:cs="仿宋_GB2312"/>
          <w:color w:val="auto"/>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0.85</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公务用车维修、燃油和保险</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1辆</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0.48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2021年我单位无公务接待</w:t>
      </w:r>
      <w:r>
        <w:rPr>
          <w:rFonts w:hint="eastAsia" w:ascii="仿宋_GB2312" w:hAnsi="仿宋_GB2312" w:eastAsia="仿宋_GB2312" w:cs="仿宋_GB2312"/>
          <w:color w:val="auto"/>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情况说明：我部门2021年度没有政府性基金收入，也没有使用政府性基金安排的支出</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sz w:val="32"/>
          <w:szCs w:val="32"/>
          <w:highlight w:val="none"/>
        </w:rPr>
        <w:t>我单位不是行政机关，也不是参照公务员管理事业单位，没有机关运行经费支出。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许昌市土地二级市场交易中心按照《中共许昌市委 许昌市人民政府关于全面实施预算绩效管理的实施意见》（许发〔2021〕13号）文件要求，对许昌市土地二级市场交易中心整体支出和项目支出开展全过程预算绩效管理。2021年许昌市土地二级市场交易中心纳入预算绩效管理的支出总额为126.20万元，其中：基本支出122.81万元；支出项目1个，支出金额3.38万元。开展项目绩效自评项目1个，自评金额6.20万元；纳入重点绩效评价0个，评价金额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w:t>
      </w:r>
      <w:bookmarkStart w:id="0" w:name="_GoBack"/>
      <w:bookmarkEnd w:id="0"/>
      <w:r>
        <w:rPr>
          <w:rFonts w:hint="eastAsia" w:ascii="楷体_GB2312" w:hAnsi="楷体_GB2312" w:eastAsia="楷体_GB2312" w:cs="楷体_GB2312"/>
          <w:b/>
          <w:bCs/>
          <w:color w:val="auto"/>
          <w:sz w:val="32"/>
          <w:szCs w:val="32"/>
          <w:highlight w:val="none"/>
          <w:lang w:val="en-US" w:eastAsia="zh-CN"/>
        </w:rPr>
        <w:t>整体和项目绩效自评结果。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许昌市土地二级市场交易中心对许昌市土地二级市场交易中心整体绩效目标和项目支出绩效目标进行了自评。一是单位整体绩效自评情况良好。二是项目绩效自评情况良好。许昌市土地二级市场交易中心共有1个项目批复了绩效目标，项目金额3.38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89.8分。其中：0个项目评价等级为“优”、1个项目评价等级为“良”、0个项目评价等级为“中”、0个项目评价等级为“差”。</w:t>
      </w:r>
      <w:r>
        <w:rPr>
          <w:rFonts w:hint="eastAsia" w:ascii="仿宋_GB2312" w:hAnsi="仿宋_GB2312" w:eastAsia="仿宋_GB2312" w:cs="仿宋_GB2312"/>
          <w:color w:val="0000FF"/>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Arial Black"/>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A2829"/>
    <w:multiLevelType w:val="singleLevel"/>
    <w:tmpl w:val="4F8A2829"/>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5NzE1ZTNjODk0NDRhZDIwMzcxNzIyZTU2OWM2MzI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4F449FB"/>
    <w:rsid w:val="053D4C0D"/>
    <w:rsid w:val="0557532E"/>
    <w:rsid w:val="06A41D50"/>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1F6F0693"/>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7B11E3"/>
    <w:rsid w:val="2C975890"/>
    <w:rsid w:val="2DEF21BB"/>
    <w:rsid w:val="2E4A2F05"/>
    <w:rsid w:val="2E526020"/>
    <w:rsid w:val="2EC211D5"/>
    <w:rsid w:val="2ECC1061"/>
    <w:rsid w:val="2FA476AD"/>
    <w:rsid w:val="303F7540"/>
    <w:rsid w:val="31DD00BF"/>
    <w:rsid w:val="3293174C"/>
    <w:rsid w:val="32BB38D4"/>
    <w:rsid w:val="32C9376D"/>
    <w:rsid w:val="33431ADD"/>
    <w:rsid w:val="33663E69"/>
    <w:rsid w:val="33780472"/>
    <w:rsid w:val="33AF0905"/>
    <w:rsid w:val="355932F4"/>
    <w:rsid w:val="35611882"/>
    <w:rsid w:val="36746FC3"/>
    <w:rsid w:val="368763AE"/>
    <w:rsid w:val="395D59E7"/>
    <w:rsid w:val="396B332E"/>
    <w:rsid w:val="39A93932"/>
    <w:rsid w:val="3A915562"/>
    <w:rsid w:val="3AB468C4"/>
    <w:rsid w:val="3B8D4765"/>
    <w:rsid w:val="3C000DBA"/>
    <w:rsid w:val="3CE1643B"/>
    <w:rsid w:val="3DBF7FBD"/>
    <w:rsid w:val="3DC045D3"/>
    <w:rsid w:val="3E504FFB"/>
    <w:rsid w:val="3E615CD0"/>
    <w:rsid w:val="3E9C47F6"/>
    <w:rsid w:val="3F8B0112"/>
    <w:rsid w:val="3FAB3095"/>
    <w:rsid w:val="3FE45947"/>
    <w:rsid w:val="4121040F"/>
    <w:rsid w:val="41242965"/>
    <w:rsid w:val="435671EA"/>
    <w:rsid w:val="440809E9"/>
    <w:rsid w:val="442407A6"/>
    <w:rsid w:val="44805EA1"/>
    <w:rsid w:val="450B0B6D"/>
    <w:rsid w:val="45710696"/>
    <w:rsid w:val="46142B1B"/>
    <w:rsid w:val="47E03F69"/>
    <w:rsid w:val="47E60DD0"/>
    <w:rsid w:val="48735039"/>
    <w:rsid w:val="48EA5523"/>
    <w:rsid w:val="492C684B"/>
    <w:rsid w:val="49500594"/>
    <w:rsid w:val="49E7604E"/>
    <w:rsid w:val="4BF67CDD"/>
    <w:rsid w:val="4D173441"/>
    <w:rsid w:val="4D3C2FA6"/>
    <w:rsid w:val="4D603DD6"/>
    <w:rsid w:val="4EBF010F"/>
    <w:rsid w:val="4F471EB0"/>
    <w:rsid w:val="51331326"/>
    <w:rsid w:val="51740A7F"/>
    <w:rsid w:val="51A5541E"/>
    <w:rsid w:val="51C96242"/>
    <w:rsid w:val="52482366"/>
    <w:rsid w:val="53906AE1"/>
    <w:rsid w:val="545A4413"/>
    <w:rsid w:val="54F46F60"/>
    <w:rsid w:val="55A37BEA"/>
    <w:rsid w:val="55CD7321"/>
    <w:rsid w:val="56362CD2"/>
    <w:rsid w:val="5784687B"/>
    <w:rsid w:val="57846959"/>
    <w:rsid w:val="578E6A87"/>
    <w:rsid w:val="5AC2203A"/>
    <w:rsid w:val="5B7D1277"/>
    <w:rsid w:val="5BDC3ACE"/>
    <w:rsid w:val="5CBB3334"/>
    <w:rsid w:val="5D115FAF"/>
    <w:rsid w:val="62811722"/>
    <w:rsid w:val="62E75A72"/>
    <w:rsid w:val="64571880"/>
    <w:rsid w:val="646E6509"/>
    <w:rsid w:val="649125B6"/>
    <w:rsid w:val="652F4C1A"/>
    <w:rsid w:val="65CB2A33"/>
    <w:rsid w:val="666D37F1"/>
    <w:rsid w:val="67087D8F"/>
    <w:rsid w:val="671F687E"/>
    <w:rsid w:val="67F415F8"/>
    <w:rsid w:val="682640D1"/>
    <w:rsid w:val="684B73E5"/>
    <w:rsid w:val="698A0990"/>
    <w:rsid w:val="69F621A9"/>
    <w:rsid w:val="6A047A2A"/>
    <w:rsid w:val="6CE2561C"/>
    <w:rsid w:val="6D7140FD"/>
    <w:rsid w:val="6EFB7548"/>
    <w:rsid w:val="6F3831C3"/>
    <w:rsid w:val="6F653D6E"/>
    <w:rsid w:val="6F8B71C1"/>
    <w:rsid w:val="6FC95848"/>
    <w:rsid w:val="70753482"/>
    <w:rsid w:val="707B522A"/>
    <w:rsid w:val="73194D05"/>
    <w:rsid w:val="73A83B0E"/>
    <w:rsid w:val="74107AEF"/>
    <w:rsid w:val="744D3EF9"/>
    <w:rsid w:val="74794411"/>
    <w:rsid w:val="75867C40"/>
    <w:rsid w:val="75B10B26"/>
    <w:rsid w:val="76432199"/>
    <w:rsid w:val="76657BD3"/>
    <w:rsid w:val="76F44829"/>
    <w:rsid w:val="77A267C0"/>
    <w:rsid w:val="78882278"/>
    <w:rsid w:val="78B118A6"/>
    <w:rsid w:val="79135044"/>
    <w:rsid w:val="7A0D5CE2"/>
    <w:rsid w:val="7A7D0F99"/>
    <w:rsid w:val="7A8F45EC"/>
    <w:rsid w:val="7B9E24B8"/>
    <w:rsid w:val="7D6E0280"/>
    <w:rsid w:val="7E4A0E7C"/>
    <w:rsid w:val="7EE03762"/>
    <w:rsid w:val="7EFD449D"/>
    <w:rsid w:val="7F976A4D"/>
    <w:rsid w:val="ABDB6A6D"/>
    <w:rsid w:val="BE33437A"/>
    <w:rsid w:val="BF7FA4A9"/>
    <w:rsid w:val="BFFF12D9"/>
    <w:rsid w:val="CAAF5FB2"/>
    <w:rsid w:val="DFAD7B0F"/>
    <w:rsid w:val="DFD7AA7A"/>
    <w:rsid w:val="DFDF1207"/>
    <w:rsid w:val="FB9DC905"/>
    <w:rsid w:val="FBBF1D4B"/>
    <w:rsid w:val="FDE52DD6"/>
    <w:rsid w:val="FE719295"/>
    <w:rsid w:val="FF7F6B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7386</Words>
  <Characters>8731</Characters>
  <Lines>60</Lines>
  <Paragraphs>16</Paragraphs>
  <TotalTime>30</TotalTime>
  <ScaleCrop>false</ScaleCrop>
  <LinksUpToDate>false</LinksUpToDate>
  <CharactersWithSpaces>8922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WPS_1644372377</cp:lastModifiedBy>
  <cp:lastPrinted>2023-02-22T16:21:00Z</cp:lastPrinted>
  <dcterms:modified xsi:type="dcterms:W3CDTF">2023-05-09T07:40:32Z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FE3E5B7B04F34D3998B01782B75B6D45</vt:lpwstr>
  </property>
</Properties>
</file>