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许昌市国有土地管理一所单位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许昌市国有土地管理一所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 </w:t>
      </w:r>
    </w:p>
    <w:p>
      <w:pPr>
        <w:widowControl/>
        <w:numPr>
          <w:ilvl w:val="0"/>
          <w:numId w:val="0"/>
        </w:numPr>
        <w:jc w:val="center"/>
        <w:outlineLvl w:val="0"/>
        <w:rPr>
          <w:rFonts w:hint="eastAsia" w:ascii="黑体" w:hAnsi="宋体" w:eastAsia="黑体" w:cs="宋体"/>
          <w:kern w:val="0"/>
          <w:sz w:val="28"/>
          <w:szCs w:val="28"/>
          <w:highlight w:val="none"/>
        </w:rPr>
      </w:pPr>
      <w:r>
        <w:rPr>
          <w:rFonts w:hint="eastAsia" w:ascii="黑体" w:hAnsi="黑体" w:eastAsia="黑体" w:cs="黑体"/>
          <w:color w:val="auto"/>
          <w:sz w:val="48"/>
          <w:szCs w:val="48"/>
          <w:highlight w:val="none"/>
          <w:lang w:val="en-US" w:eastAsia="zh-CN"/>
        </w:rPr>
        <w:t>许昌市国有土地管理一所</w:t>
      </w:r>
      <w:r>
        <w:rPr>
          <w:rFonts w:hint="eastAsia" w:ascii="黑体" w:hAnsi="黑体" w:eastAsia="黑体" w:cs="黑体"/>
          <w:sz w:val="48"/>
          <w:szCs w:val="48"/>
          <w:highlight w:val="none"/>
        </w:rPr>
        <w:t>概况</w:t>
      </w:r>
    </w:p>
    <w:p>
      <w:pPr>
        <w:widowControl/>
        <w:ind w:firstLine="640" w:firstLineChars="200"/>
        <w:jc w:val="center"/>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仿宋"/>
          <w:kern w:val="1"/>
          <w:sz w:val="32"/>
          <w:szCs w:val="32"/>
        </w:rPr>
      </w:pPr>
      <w:r>
        <w:rPr>
          <w:rFonts w:hint="eastAsia" w:ascii="仿宋_GB2312" w:hAnsi="楷体_GB2312" w:eastAsia="仿宋_GB2312" w:cs="楷体_GB2312"/>
          <w:bCs/>
          <w:sz w:val="32"/>
          <w:szCs w:val="32"/>
        </w:rPr>
        <w:t>（一）</w:t>
      </w:r>
      <w:r>
        <w:rPr>
          <w:rFonts w:hint="eastAsia" w:ascii="仿宋_GB2312" w:hAnsi="仿宋" w:eastAsia="仿宋_GB2312" w:cs="仿宋"/>
          <w:kern w:val="1"/>
          <w:sz w:val="32"/>
          <w:szCs w:val="32"/>
        </w:rPr>
        <w:t>宣传贯彻土地管理法律、法规；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eastAsia="仿宋_GB2312"/>
          <w:sz w:val="32"/>
          <w:szCs w:val="32"/>
        </w:rPr>
        <w:t>国有土地使用费收取；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仿宋"/>
          <w:kern w:val="1"/>
          <w:sz w:val="32"/>
          <w:szCs w:val="32"/>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val="en-US" w:eastAsia="zh-CN"/>
        </w:rPr>
        <w:t>三</w:t>
      </w:r>
      <w:r>
        <w:rPr>
          <w:rFonts w:hint="eastAsia" w:ascii="仿宋_GB2312" w:hAnsi="楷体_GB2312" w:eastAsia="仿宋_GB2312" w:cs="楷体_GB2312"/>
          <w:bCs/>
          <w:sz w:val="32"/>
          <w:szCs w:val="32"/>
        </w:rPr>
        <w:t>）</w:t>
      </w:r>
      <w:r>
        <w:rPr>
          <w:rFonts w:hint="eastAsia" w:ascii="仿宋_GB2312" w:hAnsi="仿宋" w:eastAsia="仿宋_GB2312" w:cs="仿宋"/>
          <w:kern w:val="1"/>
          <w:sz w:val="32"/>
          <w:szCs w:val="32"/>
        </w:rPr>
        <w:t>负责辖区内的国有土地使用权的变更登记和二</w:t>
      </w:r>
      <w:r>
        <w:rPr>
          <w:rFonts w:hint="eastAsia" w:ascii="仿宋_GB2312" w:hAnsi="仿宋" w:eastAsia="仿宋_GB2312" w:cs="仿宋"/>
          <w:kern w:val="1"/>
          <w:sz w:val="32"/>
          <w:szCs w:val="32"/>
          <w:lang w:eastAsia="zh-CN"/>
        </w:rPr>
        <w:t>、</w:t>
      </w:r>
      <w:r>
        <w:rPr>
          <w:rFonts w:hint="eastAsia" w:ascii="仿宋_GB2312" w:hAnsi="仿宋" w:eastAsia="仿宋_GB2312" w:cs="仿宋"/>
          <w:kern w:val="1"/>
          <w:sz w:val="32"/>
          <w:szCs w:val="32"/>
        </w:rPr>
        <w:t>三级土地市场的管理；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val="0"/>
          <w:color w:val="000000"/>
          <w:kern w:val="1"/>
          <w:sz w:val="32"/>
          <w:szCs w:val="32"/>
        </w:rPr>
      </w:pPr>
      <w:r>
        <w:rPr>
          <w:rFonts w:hint="eastAsia" w:ascii="仿宋_GB2312" w:hAnsi="仿宋_GB2312" w:eastAsia="仿宋_GB2312" w:cs="仿宋_GB2312"/>
          <w:b w:val="0"/>
          <w:bCs w:val="0"/>
          <w:color w:val="000000"/>
          <w:kern w:val="1"/>
          <w:sz w:val="32"/>
          <w:szCs w:val="32"/>
          <w:lang w:eastAsia="zh-CN"/>
        </w:rPr>
        <w:t>（</w:t>
      </w:r>
      <w:r>
        <w:rPr>
          <w:rFonts w:hint="eastAsia" w:ascii="仿宋_GB2312" w:hAnsi="仿宋_GB2312" w:eastAsia="仿宋_GB2312" w:cs="仿宋_GB2312"/>
          <w:b w:val="0"/>
          <w:bCs w:val="0"/>
          <w:color w:val="000000"/>
          <w:kern w:val="1"/>
          <w:sz w:val="32"/>
          <w:szCs w:val="32"/>
          <w:lang w:val="en-US" w:eastAsia="zh-CN"/>
        </w:rPr>
        <w:t>四</w:t>
      </w:r>
      <w:r>
        <w:rPr>
          <w:rFonts w:hint="eastAsia" w:ascii="仿宋_GB2312" w:hAnsi="仿宋_GB2312" w:eastAsia="仿宋_GB2312" w:cs="仿宋_GB2312"/>
          <w:b w:val="0"/>
          <w:bCs w:val="0"/>
          <w:color w:val="000000"/>
          <w:kern w:val="1"/>
          <w:sz w:val="32"/>
          <w:szCs w:val="32"/>
          <w:lang w:eastAsia="zh-CN"/>
        </w:rPr>
        <w:t>）</w:t>
      </w:r>
      <w:r>
        <w:rPr>
          <w:rFonts w:hint="eastAsia" w:ascii="仿宋_GB2312" w:hAnsi="仿宋_GB2312" w:eastAsia="仿宋_GB2312" w:cs="仿宋_GB2312"/>
          <w:b w:val="0"/>
          <w:bCs w:val="0"/>
          <w:color w:val="000000"/>
          <w:kern w:val="1"/>
          <w:sz w:val="32"/>
          <w:szCs w:val="32"/>
        </w:rPr>
        <w:t>协助对国有土地的权属调查，确权发证</w:t>
      </w:r>
      <w:r>
        <w:rPr>
          <w:rFonts w:hint="eastAsia" w:ascii="仿宋" w:hAnsi="仿宋" w:eastAsia="仿宋" w:cs="仿宋"/>
          <w:b w:val="0"/>
          <w:bCs w:val="0"/>
          <w:color w:val="000000"/>
          <w:kern w:val="1"/>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1"/>
          <w:sz w:val="32"/>
          <w:szCs w:val="32"/>
          <w:lang w:eastAsia="zh-CN"/>
        </w:rPr>
        <w:t>（</w:t>
      </w:r>
      <w:r>
        <w:rPr>
          <w:rFonts w:hint="eastAsia" w:ascii="仿宋_GB2312" w:hAnsi="仿宋_GB2312" w:eastAsia="仿宋_GB2312" w:cs="仿宋_GB2312"/>
          <w:b w:val="0"/>
          <w:bCs w:val="0"/>
          <w:color w:val="000000"/>
          <w:kern w:val="1"/>
          <w:sz w:val="32"/>
          <w:szCs w:val="32"/>
          <w:lang w:val="en-US" w:eastAsia="zh-CN"/>
        </w:rPr>
        <w:t>五</w:t>
      </w:r>
      <w:r>
        <w:rPr>
          <w:rFonts w:hint="eastAsia" w:ascii="仿宋_GB2312" w:hAnsi="仿宋_GB2312" w:eastAsia="仿宋_GB2312" w:cs="仿宋_GB2312"/>
          <w:b w:val="0"/>
          <w:bCs w:val="0"/>
          <w:color w:val="000000"/>
          <w:kern w:val="1"/>
          <w:sz w:val="32"/>
          <w:szCs w:val="32"/>
          <w:lang w:eastAsia="zh-CN"/>
        </w:rPr>
        <w:t>）</w:t>
      </w:r>
      <w:r>
        <w:rPr>
          <w:rFonts w:hint="eastAsia" w:ascii="仿宋_GB2312" w:hAnsi="仿宋_GB2312" w:eastAsia="仿宋_GB2312" w:cs="仿宋_GB2312"/>
          <w:b w:val="0"/>
          <w:bCs w:val="0"/>
          <w:color w:val="000000"/>
          <w:kern w:val="1"/>
          <w:sz w:val="32"/>
          <w:szCs w:val="32"/>
        </w:rPr>
        <w:t>协调处理土地纠纷。</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许昌市国有土地管理一所内设机构</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从决算单位构成看，许昌市国有土地管理一所单位决算包括：本级决算（1个）。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纳入本单位2021年度单位决算编制范围的单位共1个，其中包括：</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许昌市国有土地管理一所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pPr w:leftFromText="180" w:rightFromText="180" w:vertAnchor="text" w:horzAnchor="page" w:tblpX="1561" w:tblpY="69"/>
        <w:tblOverlap w:val="never"/>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0"/>
        <w:gridCol w:w="904"/>
        <w:gridCol w:w="1132"/>
        <w:gridCol w:w="4847"/>
        <w:gridCol w:w="904"/>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5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3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50"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9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3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84"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112.76</w:t>
            </w: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112.76</w:t>
            </w: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0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c>
          <w:tcPr>
            <w:tcW w:w="4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561" w:tblpY="18"/>
        <w:tblOverlap w:val="never"/>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6"/>
        <w:gridCol w:w="222"/>
        <w:gridCol w:w="222"/>
        <w:gridCol w:w="3956"/>
        <w:gridCol w:w="1066"/>
        <w:gridCol w:w="1083"/>
        <w:gridCol w:w="652"/>
        <w:gridCol w:w="628"/>
        <w:gridCol w:w="631"/>
        <w:gridCol w:w="663"/>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6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6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8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6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112.76</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112.76</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98.61</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98.61</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98.61</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98.61</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98.61</w:t>
            </w:r>
          </w:p>
        </w:tc>
        <w:tc>
          <w:tcPr>
            <w:tcW w:w="10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98.61</w:t>
            </w:r>
          </w:p>
        </w:tc>
        <w:tc>
          <w:tcPr>
            <w:tcW w:w="6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2"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6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6"/>
        <w:gridCol w:w="222"/>
        <w:gridCol w:w="222"/>
        <w:gridCol w:w="3956"/>
        <w:gridCol w:w="1148"/>
        <w:gridCol w:w="1148"/>
        <w:gridCol w:w="1019"/>
        <w:gridCol w:w="689"/>
        <w:gridCol w:w="685"/>
        <w:gridCol w:w="1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122.63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38"/>
        <w:gridCol w:w="556"/>
        <w:gridCol w:w="1158"/>
        <w:gridCol w:w="4045"/>
        <w:gridCol w:w="558"/>
        <w:gridCol w:w="956"/>
        <w:gridCol w:w="1201"/>
        <w:gridCol w:w="941"/>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6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8"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5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5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1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3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3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112.76</w:t>
            </w: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122.63</w:t>
            </w: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122.63</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112.76</w:t>
            </w: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40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6"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c>
          <w:tcPr>
            <w:tcW w:w="40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6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3956"/>
        <w:gridCol w:w="2182"/>
        <w:gridCol w:w="2185"/>
        <w:gridCol w:w="2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9"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8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8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5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136.79</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126.24</w:t>
            </w:r>
          </w:p>
        </w:tc>
        <w:tc>
          <w:tcPr>
            <w:tcW w:w="2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1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122.63</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112.08</w:t>
            </w:r>
          </w:p>
        </w:tc>
        <w:tc>
          <w:tcPr>
            <w:tcW w:w="2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122.63</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112.08</w:t>
            </w:r>
          </w:p>
        </w:tc>
        <w:tc>
          <w:tcPr>
            <w:tcW w:w="2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1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122.63</w:t>
            </w:r>
          </w:p>
        </w:tc>
        <w:tc>
          <w:tcPr>
            <w:tcW w:w="2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112.08</w:t>
            </w:r>
          </w:p>
        </w:tc>
        <w:tc>
          <w:tcPr>
            <w:tcW w:w="2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9"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Arial" w:hAnsi="Arial" w:cs="Arial"/>
                <w:color w:val="000000"/>
                <w:kern w:val="0"/>
                <w:sz w:val="20"/>
                <w:szCs w:val="20"/>
                <w:highlight w:val="none"/>
                <w:lang w:val="en-US" w:eastAsia="zh-CN" w:bidi="ar"/>
              </w:rPr>
              <w:t>单位</w:t>
            </w:r>
            <w:r>
              <w:rPr>
                <w:rFonts w:ascii="Arial" w:hAnsi="Arial" w:cs="Arial"/>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111.71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8.44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30.14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27.32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11.41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17.30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3.24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6.09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117.80</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8.44</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hint="eastAsia" w:ascii="宋体" w:hAnsi="宋体" w:cs="宋体"/>
                <w:color w:val="000000"/>
                <w:sz w:val="32"/>
                <w:szCs w:val="32"/>
                <w:highlight w:val="none"/>
              </w:rPr>
            </w:pP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w:t>
            </w:r>
            <w:r>
              <w:rPr>
                <w:rFonts w:hint="eastAsia" w:ascii="宋体" w:hAnsi="宋体" w:cs="宋体"/>
                <w:color w:val="000000"/>
                <w:sz w:val="32"/>
                <w:szCs w:val="32"/>
                <w:highlight w:val="none"/>
                <w:lang w:val="en-US" w:eastAsia="zh-CN"/>
              </w:rPr>
              <w:t>单位</w:t>
            </w:r>
            <w:r>
              <w:rPr>
                <w:rFonts w:hint="eastAsia" w:ascii="宋体" w:hAnsi="宋体" w:cs="宋体"/>
                <w:color w:val="000000"/>
                <w:sz w:val="32"/>
                <w:szCs w:val="32"/>
                <w:highlight w:val="none"/>
              </w:rPr>
              <w:t>没有政府性基金收入，也没有使用政府性基金安排的支出，故本表无数据。</w:t>
            </w:r>
          </w:p>
          <w:p>
            <w:pPr>
              <w:widowControl/>
              <w:jc w:val="both"/>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bookmarkStart w:id="0" w:name="_GoBack"/>
      <w:bookmarkEnd w:id="0"/>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136.79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57.13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color w:val="auto"/>
          <w:sz w:val="32"/>
          <w:szCs w:val="32"/>
          <w:highlight w:val="none"/>
          <w:lang w:val="en-US" w:eastAsia="zh-CN"/>
        </w:rPr>
        <w:t>29.46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主要原因是人员调动，人员经费预算减少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112.76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112.76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上级补助收入0万元，占0%；事业收入0万元，占0%；经营收入0万元，占0%；附属单位上缴收入0万元，占0%；其他收入0万元，占0%。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136.79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126.24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92.29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10.55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7.71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上缴上级支出0万元，占0%；经营支出0万元，占0%；对附属单位补助支出0万元，占0%。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136.79</w:t>
      </w:r>
      <w:r>
        <w:rPr>
          <w:rFonts w:hint="eastAsia" w:ascii="仿宋_GB2312" w:hAnsi="仿宋_GB2312" w:eastAsia="仿宋_GB2312" w:cs="仿宋_GB2312"/>
          <w:sz w:val="32"/>
          <w:szCs w:val="32"/>
          <w:highlight w:val="none"/>
        </w:rPr>
        <w:t>万元。与上年度相比，财政拨款收、支总计各减</w:t>
      </w:r>
      <w:r>
        <w:rPr>
          <w:rFonts w:hint="eastAsia" w:ascii="仿宋_GB2312" w:hAnsi="仿宋_GB2312" w:eastAsia="仿宋_GB2312" w:cs="仿宋_GB2312"/>
          <w:sz w:val="32"/>
          <w:szCs w:val="32"/>
          <w:highlight w:val="none"/>
          <w:lang w:val="en-US" w:eastAsia="zh-CN"/>
        </w:rPr>
        <w:t>少</w:t>
      </w:r>
      <w:r>
        <w:rPr>
          <w:rFonts w:hint="eastAsia" w:ascii="仿宋_GB2312" w:hAnsi="仿宋_GB2312" w:eastAsia="仿宋_GB2312" w:cs="仿宋_GB2312"/>
          <w:color w:val="auto"/>
          <w:sz w:val="32"/>
          <w:szCs w:val="32"/>
          <w:highlight w:val="none"/>
          <w:lang w:val="en-US" w:eastAsia="zh-CN"/>
        </w:rPr>
        <w:t>57.13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color w:val="auto"/>
          <w:sz w:val="32"/>
          <w:szCs w:val="32"/>
          <w:highlight w:val="none"/>
          <w:lang w:val="en-US" w:eastAsia="zh-CN"/>
        </w:rPr>
        <w:t>29.46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主要原因是人员调动，人员经费预算减少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136.79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0.56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0.41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主要原因是人员调动，经费减少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136.79</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一般公共服务（类）支出0.48万元，占0.35%；社会保障和就业（类）支出9.7</w:t>
      </w:r>
      <w:r>
        <w:rPr>
          <w:rFonts w:hint="default" w:ascii="仿宋_GB2312" w:hAnsi="仿宋_GB2312" w:eastAsia="仿宋_GB2312" w:cs="仿宋_GB2312"/>
          <w:color w:val="auto"/>
          <w:sz w:val="32"/>
          <w:szCs w:val="32"/>
          <w:highlight w:val="none"/>
          <w:lang w:val="en" w:eastAsia="zh-CN"/>
        </w:rPr>
        <w:t>7</w:t>
      </w:r>
      <w:r>
        <w:rPr>
          <w:rFonts w:hint="eastAsia" w:ascii="仿宋_GB2312" w:hAnsi="仿宋_GB2312" w:eastAsia="仿宋_GB2312" w:cs="仿宋_GB2312"/>
          <w:color w:val="auto"/>
          <w:sz w:val="32"/>
          <w:szCs w:val="32"/>
          <w:highlight w:val="none"/>
          <w:lang w:val="en-US" w:eastAsia="zh-CN"/>
        </w:rPr>
        <w:t>万元，占7.14%；卫生健康（类）支出3.91万元，占2.86%；城乡社区（类）支出122.6</w:t>
      </w: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万元，占89.65%。</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109.06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136.79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125.43</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i w:val="0"/>
          <w:color w:val="000000"/>
          <w:sz w:val="32"/>
          <w:szCs w:val="32"/>
          <w:u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5.59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78.18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78.13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64.86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65.05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城乡社区支出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其他城乡社区管理事务支出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90.06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122.63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136.16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126.24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117.80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其他社会保障缴费、其他工资福利支出、退休费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住房公积金；公用经费</w:t>
      </w:r>
      <w:r>
        <w:rPr>
          <w:rFonts w:hint="eastAsia" w:ascii="仿宋_GB2312" w:hAnsi="仿宋_GB2312" w:eastAsia="仿宋_GB2312" w:cs="仿宋_GB2312"/>
          <w:sz w:val="32"/>
          <w:szCs w:val="32"/>
          <w:highlight w:val="none"/>
          <w:lang w:val="en-US" w:eastAsia="zh-CN"/>
        </w:rPr>
        <w:t>8.44</w:t>
      </w:r>
      <w:r>
        <w:rPr>
          <w:rFonts w:hint="eastAsia" w:ascii="仿宋_GB2312" w:hAnsi="仿宋_GB2312" w:eastAsia="仿宋_GB2312" w:cs="仿宋_GB2312"/>
          <w:sz w:val="32"/>
          <w:szCs w:val="32"/>
          <w:highlight w:val="none"/>
        </w:rPr>
        <w:t>万元，主要包括：办公费、印刷费、工会经费、福利费、公务用车运行维护费、其他商品和服务支出。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73.50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加强公务用车管理，降低车辆的运行及维修费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73.50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0人次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73.50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加强公务用车管理，降低车辆的运行及维修费</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公务用车日常加油维修费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许昌市国有土地管理一所按照《中共许昌市委 许昌市人民政府关于全面实施预算绩效管理的实施意见》（许发〔2021〕13号）文件要求，对许昌市国有土地管理一所整体支出和项目支出开展全过程预算绩效管理。2021年我单位纳入预算绩效管理的支出总额为136.79万元，其中：基本支出126.24万元；支出项目1个，支出金额10.55万元。开展项目绩效自评项目1个，自评金额10.55万元；纳入重点绩效评价0个，评价金额0万元。</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我单位积极组织开展绩效管理工作，</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sz w:val="32"/>
          <w:szCs w:val="32"/>
        </w:rPr>
        <w:t>辖区内国有土地使用权变更登记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color w:val="000000"/>
          <w:w w:val="100"/>
          <w:sz w:val="32"/>
          <w:szCs w:val="32"/>
          <w:lang w:val="en-US" w:eastAsia="zh-CN"/>
        </w:rPr>
        <w:t>配合利用科对辖区非住宅低效、闲置用地进行梳理上报。</w:t>
      </w:r>
      <w:r>
        <w:rPr>
          <w:rFonts w:hint="eastAsia" w:ascii="仿宋_GB2312" w:hAnsi="仿宋_GB2312" w:eastAsia="仿宋_GB2312" w:cs="仿宋_GB2312"/>
          <w:sz w:val="32"/>
          <w:szCs w:val="32"/>
        </w:rPr>
        <w:t>落实好上级各项方针政策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了年度总体目标。我单位科学设定管理指标，充分调动了大家的积极性和主动性；建立健全工作机制，将绩效工作目标进行分解和细化，明确具体工作内容、工作时限、预期目标等;建立健全运行监控机制，通过民意评价效能，促进单位进一步加强内部管理，优化政务服务，提高公众满意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完成辖区内的国有土地使用权的变更登记和土地市场的管理，土地纠纷协调处理，完成了年度总体目标。二是项目绩效自评情况。我单位共有1个项目批复了绩效目标，项目金额10.55万元。其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许昌市国有土地管理一所1个，项目金额10.55万元。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CBBC9"/>
    <w:multiLevelType w:val="singleLevel"/>
    <w:tmpl w:val="4B4CBBC9"/>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YzQ1OTZkZWIxZGZmODZhOWRjOGZiYjE5NTcxOW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40A08"/>
    <w:rsid w:val="02CA138D"/>
    <w:rsid w:val="033646FC"/>
    <w:rsid w:val="03C75F80"/>
    <w:rsid w:val="0478364D"/>
    <w:rsid w:val="053D4C0D"/>
    <w:rsid w:val="0557532E"/>
    <w:rsid w:val="06C047C3"/>
    <w:rsid w:val="0799329C"/>
    <w:rsid w:val="08397436"/>
    <w:rsid w:val="086F16A7"/>
    <w:rsid w:val="0A0F7225"/>
    <w:rsid w:val="0A2B7D82"/>
    <w:rsid w:val="0ADC40E9"/>
    <w:rsid w:val="0AE607F4"/>
    <w:rsid w:val="0B386127"/>
    <w:rsid w:val="0B451598"/>
    <w:rsid w:val="0BEC73F4"/>
    <w:rsid w:val="0C392698"/>
    <w:rsid w:val="0E7345DB"/>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D037201"/>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51ECE"/>
    <w:rsid w:val="2ADC0D75"/>
    <w:rsid w:val="2B4A0E52"/>
    <w:rsid w:val="2B5F0153"/>
    <w:rsid w:val="2C975890"/>
    <w:rsid w:val="2DEF21BB"/>
    <w:rsid w:val="2E4A2F05"/>
    <w:rsid w:val="2ECC1061"/>
    <w:rsid w:val="2FA476AD"/>
    <w:rsid w:val="303F7540"/>
    <w:rsid w:val="306C4189"/>
    <w:rsid w:val="31762267"/>
    <w:rsid w:val="31DD00BF"/>
    <w:rsid w:val="3293174C"/>
    <w:rsid w:val="32BB38D4"/>
    <w:rsid w:val="32C9376D"/>
    <w:rsid w:val="33780472"/>
    <w:rsid w:val="33AF0905"/>
    <w:rsid w:val="355932F4"/>
    <w:rsid w:val="35611882"/>
    <w:rsid w:val="36746FC3"/>
    <w:rsid w:val="368763AE"/>
    <w:rsid w:val="37060D35"/>
    <w:rsid w:val="372413FB"/>
    <w:rsid w:val="395D59E7"/>
    <w:rsid w:val="39A93932"/>
    <w:rsid w:val="39ED46EA"/>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D807BDC"/>
    <w:rsid w:val="4EBF010F"/>
    <w:rsid w:val="4F471EB0"/>
    <w:rsid w:val="51331326"/>
    <w:rsid w:val="51740A7F"/>
    <w:rsid w:val="51A5541E"/>
    <w:rsid w:val="51C96242"/>
    <w:rsid w:val="53906AE1"/>
    <w:rsid w:val="54F46F60"/>
    <w:rsid w:val="55421D79"/>
    <w:rsid w:val="55A37BEA"/>
    <w:rsid w:val="56362CD2"/>
    <w:rsid w:val="56FF88BD"/>
    <w:rsid w:val="5784687B"/>
    <w:rsid w:val="57846959"/>
    <w:rsid w:val="578E6A87"/>
    <w:rsid w:val="5A769CFA"/>
    <w:rsid w:val="5AC2203A"/>
    <w:rsid w:val="5B164CF7"/>
    <w:rsid w:val="5CBB3334"/>
    <w:rsid w:val="5D115FAF"/>
    <w:rsid w:val="60B903C7"/>
    <w:rsid w:val="62811722"/>
    <w:rsid w:val="62E75A72"/>
    <w:rsid w:val="64571880"/>
    <w:rsid w:val="649125B6"/>
    <w:rsid w:val="652F4C1A"/>
    <w:rsid w:val="666D37F1"/>
    <w:rsid w:val="66A7227B"/>
    <w:rsid w:val="67087D8F"/>
    <w:rsid w:val="671F687E"/>
    <w:rsid w:val="67F415F8"/>
    <w:rsid w:val="682640D1"/>
    <w:rsid w:val="684B73E5"/>
    <w:rsid w:val="693D4ED3"/>
    <w:rsid w:val="6A047A2A"/>
    <w:rsid w:val="6AFF0926"/>
    <w:rsid w:val="6DFA53A2"/>
    <w:rsid w:val="6EFB7548"/>
    <w:rsid w:val="6F3831C3"/>
    <w:rsid w:val="6F8B71C1"/>
    <w:rsid w:val="70753482"/>
    <w:rsid w:val="707B522A"/>
    <w:rsid w:val="713160CF"/>
    <w:rsid w:val="71705F65"/>
    <w:rsid w:val="73194D05"/>
    <w:rsid w:val="73A83B0E"/>
    <w:rsid w:val="741E2162"/>
    <w:rsid w:val="744D3EF9"/>
    <w:rsid w:val="74794411"/>
    <w:rsid w:val="75867C40"/>
    <w:rsid w:val="75B10B26"/>
    <w:rsid w:val="76432199"/>
    <w:rsid w:val="76F44829"/>
    <w:rsid w:val="779E50DA"/>
    <w:rsid w:val="77A267C0"/>
    <w:rsid w:val="78882278"/>
    <w:rsid w:val="78B118A6"/>
    <w:rsid w:val="79135044"/>
    <w:rsid w:val="7A7D0F99"/>
    <w:rsid w:val="7E4A0E7C"/>
    <w:rsid w:val="7EFD449D"/>
    <w:rsid w:val="8C9E094F"/>
    <w:rsid w:val="9378B829"/>
    <w:rsid w:val="BF77FF15"/>
    <w:rsid w:val="D3BF45BA"/>
    <w:rsid w:val="DFD5EDF6"/>
    <w:rsid w:val="E6F7CDE6"/>
    <w:rsid w:val="EBFFB068"/>
    <w:rsid w:val="F3FFD843"/>
    <w:rsid w:val="F9FFE38D"/>
    <w:rsid w:val="FA3657B6"/>
    <w:rsid w:val="FFEDD2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7965</Words>
  <Characters>9537</Characters>
  <Lines>60</Lines>
  <Paragraphs>16</Paragraphs>
  <TotalTime>13</TotalTime>
  <ScaleCrop>false</ScaleCrop>
  <LinksUpToDate>false</LinksUpToDate>
  <CharactersWithSpaces>9771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小</cp:lastModifiedBy>
  <cp:lastPrinted>2023-02-22T22:58:00Z</cp:lastPrinted>
  <dcterms:modified xsi:type="dcterms:W3CDTF">2023-05-09T03:41:25Z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0185FE2E4A514C8293DA3B8C07E4A240</vt:lpwstr>
  </property>
</Properties>
</file>