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r>
        <w:rPr>
          <w:rFonts w:hint="eastAsia" w:ascii="黑体" w:hAnsi="黑体" w:eastAsia="黑体" w:cs="黑体"/>
          <w:sz w:val="52"/>
          <w:szCs w:val="52"/>
          <w:highlight w:val="none"/>
          <w:lang w:val="en-US" w:eastAsia="zh-CN"/>
        </w:rPr>
        <w:t>许昌市</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国土资源执法监察支队单位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许昌市国土资源执法监察支队</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许昌市国土资源执法监察支队</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贯彻执行有关国土资源法律法规，依法查处全市范围内重大国土资源违法违规案件；</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组织开展国土资源执法动态巡查工作。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许昌市国土资源执法监察支队内设机构</w:t>
      </w:r>
      <w:r>
        <w:rPr>
          <w:rFonts w:hint="eastAsia" w:ascii="仿宋_GB2312" w:hAnsi="仿宋_GB2312" w:eastAsia="仿宋_GB2312" w:cs="仿宋_GB2312"/>
          <w:b w:val="0"/>
          <w:bCs w:val="0"/>
          <w:color w:val="auto"/>
          <w:kern w:val="0"/>
          <w:sz w:val="32"/>
          <w:szCs w:val="32"/>
          <w:highlight w:val="none"/>
          <w:lang w:val="en-US" w:eastAsia="zh-CN"/>
        </w:rPr>
        <w:t>1个，包括：办公室。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从决算单位构成看，许昌市国土资源执法监察支队单位决算包括：本级决算（1个）。</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eastAsia="仿宋_GB2312"/>
          <w:sz w:val="32"/>
          <w:szCs w:val="32"/>
          <w:lang w:val="en-US" w:eastAsia="zh-CN"/>
        </w:rPr>
        <w:t>本单位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决算编制范围的单位</w:t>
      </w:r>
      <w:r>
        <w:rPr>
          <w:rFonts w:hint="eastAsia" w:ascii="仿宋_GB2312" w:hAnsi="仿宋_GB2312" w:eastAsia="仿宋_GB2312" w:cs="仿宋_GB2312"/>
          <w:sz w:val="32"/>
          <w:szCs w:val="32"/>
          <w:lang w:val="en-US" w:eastAsia="zh-CN"/>
        </w:rPr>
        <w:t>共1个。具体是</w:t>
      </w:r>
      <w:r>
        <w:rPr>
          <w:rFonts w:hint="eastAsia" w:ascii="仿宋_GB2312" w:hAnsi="仿宋_GB2312" w:eastAsia="仿宋_GB2312" w:cs="仿宋_GB2312"/>
          <w:sz w:val="32"/>
          <w:szCs w:val="32"/>
        </w:rPr>
        <w:t>：</w:t>
      </w:r>
    </w:p>
    <w:p>
      <w:pPr>
        <w:numPr>
          <w:ilvl w:val="0"/>
          <w:numId w:val="0"/>
        </w:numPr>
        <w:spacing w:line="360" w:lineRule="auto"/>
        <w:ind w:leftChars="200" w:firstLine="320" w:firstLineChars="100"/>
        <w:jc w:val="left"/>
        <w:rPr>
          <w:rFonts w:hint="eastAsia" w:ascii="黑体" w:hAnsi="宋体" w:eastAsia="仿宋_GB2312" w:cs="宋体"/>
          <w:kern w:val="0"/>
          <w:sz w:val="32"/>
          <w:szCs w:val="32"/>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eastAsia="仿宋_GB2312"/>
          <w:sz w:val="32"/>
          <w:szCs w:val="32"/>
        </w:rPr>
        <w:t>许昌市国土资源执法监察支</w:t>
      </w:r>
      <w:r>
        <w:rPr>
          <w:rFonts w:hint="eastAsia" w:ascii="仿宋_GB2312" w:eastAsia="仿宋_GB2312"/>
          <w:sz w:val="32"/>
          <w:szCs w:val="32"/>
          <w:lang w:val="en-US" w:eastAsia="zh-CN"/>
        </w:rPr>
        <w:t>队</w:t>
      </w: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宋体" w:eastAsia="黑体" w:cs="宋体"/>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tbl>
      <w:tblPr>
        <w:tblStyle w:val="5"/>
        <w:tblpPr w:leftFromText="180" w:rightFromText="180" w:vertAnchor="text" w:horzAnchor="page" w:tblpX="1501" w:tblpY="42"/>
        <w:tblOverlap w:val="never"/>
        <w:tblW w:w="142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08"/>
        <w:gridCol w:w="914"/>
        <w:gridCol w:w="1144"/>
        <w:gridCol w:w="4901"/>
        <w:gridCol w:w="914"/>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22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20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6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216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206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6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61"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0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4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1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49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2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41"/>
        <w:gridCol w:w="1458"/>
        <w:gridCol w:w="1495"/>
        <w:gridCol w:w="1150"/>
        <w:gridCol w:w="931"/>
        <w:gridCol w:w="916"/>
        <w:gridCol w:w="1040"/>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4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
        <w:gridCol w:w="276"/>
        <w:gridCol w:w="553"/>
        <w:gridCol w:w="6012"/>
        <w:gridCol w:w="1516"/>
        <w:gridCol w:w="1533"/>
        <w:gridCol w:w="1337"/>
        <w:gridCol w:w="1004"/>
        <w:gridCol w:w="952"/>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42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49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8"/>
        <w:gridCol w:w="585"/>
        <w:gridCol w:w="1107"/>
        <w:gridCol w:w="4164"/>
        <w:gridCol w:w="585"/>
        <w:gridCol w:w="1002"/>
        <w:gridCol w:w="1106"/>
        <w:gridCol w:w="108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3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31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8"/>
        <w:gridCol w:w="258"/>
        <w:gridCol w:w="642"/>
        <w:gridCol w:w="7901"/>
        <w:gridCol w:w="1778"/>
        <w:gridCol w:w="1776"/>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78"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7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6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679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9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9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67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20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22.3</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128.04</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22.3</w:t>
            </w: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29"/>
        <w:gridCol w:w="1067"/>
        <w:gridCol w:w="1215"/>
        <w:gridCol w:w="1156"/>
        <w:gridCol w:w="1215"/>
        <w:gridCol w:w="1112"/>
        <w:gridCol w:w="1229"/>
        <w:gridCol w:w="1332"/>
        <w:gridCol w:w="1068"/>
        <w:gridCol w:w="1259"/>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428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3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5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8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2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
        <w:gridCol w:w="368"/>
        <w:gridCol w:w="368"/>
        <w:gridCol w:w="1817"/>
        <w:gridCol w:w="1989"/>
        <w:gridCol w:w="1780"/>
        <w:gridCol w:w="1813"/>
        <w:gridCol w:w="1856"/>
        <w:gridCol w:w="1923"/>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1423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：许昌市国土资源执法监察支队</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3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2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center"/>
        <w:rPr>
          <w:rFonts w:hint="default"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收入支出决算总体情况说明</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169.18</w:t>
      </w:r>
      <w:r>
        <w:rPr>
          <w:rFonts w:hint="eastAsia" w:ascii="仿宋_GB2312" w:hAnsi="仿宋_GB2312" w:eastAsia="仿宋_GB2312" w:cs="仿宋_GB2312"/>
          <w:sz w:val="32"/>
          <w:szCs w:val="32"/>
          <w:highlight w:val="none"/>
        </w:rPr>
        <w:t>万元。与上年度相比，收、支总计</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66.38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28.18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①</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减少农耕房整治工作、违法案件勘测费等专项经费，相应的项目经费支出减少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153.09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153.09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2021年度支出合计169.18万元，其中：基本支出150.37万元，占88.88%；项目支出18.81万元，占11.12%；上缴上级支出0万元，占0%；经营支出0万元，占0%；对附属单位补助支出0万元，占0%。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169.18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66.38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28.18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①</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减少农耕房整治工作、违法案件勘测费等专项经费，相应的项目经费支出减少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169.18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54.22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①</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减少农耕房整治工作、违法案件勘测费等专项经费，相应的项目经费支出减少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2021年度一般公共预算财政拨款支出169.18万元，主要用于以下方面：一般公共服务</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支出23.86万元，占14.10%；社会保障和就业</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支出16.85万元，占9.96%；卫生健康</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支出6.94万元，占4.10%；城乡社区</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支出121.53万元，占71.84%。</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151.63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111.57</w:t>
      </w:r>
      <w:r>
        <w:rPr>
          <w:rFonts w:hint="eastAsia" w:ascii="仿宋_GB2312" w:hAnsi="仿宋_GB2312" w:eastAsia="仿宋_GB2312" w:cs="仿宋_GB2312"/>
          <w:sz w:val="32"/>
          <w:szCs w:val="32"/>
          <w:highlight w:val="none"/>
        </w:rPr>
        <w:t>%。其中：</w:t>
      </w:r>
    </w:p>
    <w:p>
      <w:pPr>
        <w:widowControl/>
        <w:numPr>
          <w:ilvl w:val="0"/>
          <w:numId w:val="3"/>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人大事务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69.98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highlight w:val="none"/>
        </w:rPr>
        <w:t>。</w:t>
      </w:r>
    </w:p>
    <w:p>
      <w:pPr>
        <w:widowControl/>
        <w:numPr>
          <w:ilvl w:val="0"/>
          <w:numId w:val="3"/>
        </w:numPr>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人大事务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97.33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highlight w:val="none"/>
        </w:rPr>
        <w:t>。</w:t>
      </w:r>
    </w:p>
    <w:p>
      <w:pPr>
        <w:widowControl/>
        <w:numPr>
          <w:ilvl w:val="0"/>
          <w:numId w:val="3"/>
        </w:numPr>
        <w:spacing w:line="590" w:lineRule="exact"/>
        <w:ind w:left="0" w:leftChars="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 xml:space="preserve">年初预算为0.54万元，支出决算为0.54万元，完成年初预算的100%。决算数与年初预算数不存在差异。 </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320" w:firstLineChars="1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年初预算为6.73万元，支出决算为9.55万元，完成年初预算的141.90%。决算数与年初预算数存在差异的主要原因是：补发2020年退休人员正式待遇差额资金，相应的离退休费支出增加。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年初预算为6.42万元，支出决算为7.30万元，完成年初预算的113.71%。决算数与年初预算数存在差异的主要原因是:人员工资晋档晋级，工资增加，相应的基本养老保险费支出增加。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年初预算为3.47万元，支出决算为3.60万元，完成年初预算的103.75%。决算数与年初预算数存在差异的主要原因是:公务人员晋档晋级，人员工资增加，相应的医疗保险费用支出增加。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年初预算为3.30万元，支出决算为3.35万元，完成年初预算的101.52%。决算数与年初预算数存在差异的主要原因是:公务人员晋档晋级，人员工资增加，相应的公务员医疗补助费用支出增加。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年初预算为103.71万元，支出决算为117.32万元，完成年初预算的113.12%。决算数与年初预算数存在差异的主要原因是：</w:t>
      </w:r>
      <w:r>
        <w:rPr>
          <w:rFonts w:hint="eastAsia" w:ascii="仿宋_GB2312" w:eastAsia="仿宋_GB2312"/>
          <w:sz w:val="32"/>
          <w:szCs w:val="32"/>
        </w:rPr>
        <w:t>人员经费增加</w:t>
      </w:r>
      <w:r>
        <w:rPr>
          <w:rFonts w:hint="eastAsia" w:ascii="仿宋_GB2312" w:eastAsia="仿宋_GB2312"/>
          <w:sz w:val="32"/>
          <w:szCs w:val="32"/>
          <w:lang w:eastAsia="zh-CN"/>
        </w:rPr>
        <w:t>，</w:t>
      </w:r>
      <w:r>
        <w:rPr>
          <w:rFonts w:hint="eastAsia" w:ascii="仿宋_GB2312" w:eastAsia="仿宋_GB2312"/>
          <w:sz w:val="32"/>
          <w:szCs w:val="32"/>
          <w:lang w:val="en-US" w:eastAsia="zh-CN"/>
        </w:rPr>
        <w:t>相应的经费支出增加</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9．城乡社区支出（类）城乡社区管理事务（款）一般行政管理事务（项）。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年初预算为0万元，支出决算为4.21万元。决算数与年初预算数存在差异的主要原因是：2021年追加废弃矿山集中整治工作专项经费预算，</w:t>
      </w:r>
      <w:r>
        <w:rPr>
          <w:rFonts w:hint="eastAsia" w:ascii="仿宋_GB2312" w:eastAsia="仿宋_GB2312"/>
          <w:sz w:val="32"/>
          <w:szCs w:val="32"/>
          <w:lang w:val="en-US" w:eastAsia="zh-CN"/>
        </w:rPr>
        <w:t>相应的项目经费支出增加。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spacing w:beforeLines="0" w:afterLines="0" w:line="590" w:lineRule="exact"/>
        <w:ind w:firstLine="640"/>
        <w:rPr>
          <w:rFonts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2021年度一般公共预算财政拨款基本支出150.37万元。其中：人员经费128.04万元，主要包括：基本工资、津贴补贴、</w:t>
      </w:r>
      <w:r>
        <w:rPr>
          <w:rFonts w:hint="eastAsia" w:ascii="仿宋_GB2312" w:hAnsi="仿宋_GB2312" w:eastAsia="仿宋_GB2312"/>
          <w:sz w:val="32"/>
          <w:szCs w:val="24"/>
          <w:lang w:val="en-US" w:eastAsia="zh-CN"/>
        </w:rPr>
        <w:t>奖金、</w:t>
      </w:r>
      <w:r>
        <w:rPr>
          <w:rFonts w:hint="eastAsia" w:ascii="仿宋_GB2312" w:hAnsi="仿宋_GB2312" w:eastAsia="仿宋_GB2312"/>
          <w:sz w:val="32"/>
          <w:szCs w:val="24"/>
          <w:lang w:val="en-US"/>
        </w:rPr>
        <w:t>机关事业单位基本养老保险缴费、 职工基本医疗保险缴费</w:t>
      </w:r>
      <w:r>
        <w:rPr>
          <w:rFonts w:hint="eastAsia" w:ascii="仿宋_GB2312" w:hAnsi="仿宋_GB2312" w:eastAsia="仿宋_GB2312"/>
          <w:sz w:val="32"/>
          <w:szCs w:val="24"/>
          <w:lang w:val="en-US" w:eastAsia="zh-CN"/>
        </w:rPr>
        <w:t>、公务员医疗补助缴费、</w:t>
      </w:r>
      <w:r>
        <w:rPr>
          <w:rFonts w:hint="eastAsia" w:ascii="仿宋_GB2312" w:hAnsi="仿宋_GB2312" w:eastAsia="仿宋_GB2312"/>
          <w:sz w:val="32"/>
          <w:szCs w:val="24"/>
          <w:lang w:val="en-US"/>
        </w:rPr>
        <w:t>其他社会保障缴费、其他工资福利支出、退休费、住房公积金；公用经费22.3</w:t>
      </w:r>
      <w:r>
        <w:rPr>
          <w:rFonts w:hint="eastAsia" w:ascii="仿宋_GB2312" w:hAnsi="仿宋_GB2312" w:eastAsia="仿宋_GB2312"/>
          <w:sz w:val="32"/>
          <w:szCs w:val="24"/>
          <w:lang w:val="en-US" w:eastAsia="zh-CN"/>
        </w:rPr>
        <w:t>3</w:t>
      </w:r>
      <w:r>
        <w:rPr>
          <w:rFonts w:hint="eastAsia" w:ascii="仿宋_GB2312" w:hAnsi="仿宋_GB2312" w:eastAsia="仿宋_GB2312"/>
          <w:sz w:val="32"/>
          <w:szCs w:val="24"/>
          <w:lang w:val="en-US"/>
        </w:rPr>
        <w:t>万元，主要包括：办公费、印刷费、邮电费、取暖费、差旅费、维修（护）费</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培训费、委托业务费、工会经费、福利费、公务用车运行维护费、其他交通费用。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24"/>
          <w:lang w:val="en-US"/>
        </w:rPr>
        <w:t>2021年度“三公”经费财政拨款支出预算为5.59万元，支出决算为5.54万元，完成预算的99.11%。2021年度“三公”经费支出决算数与预算数存在差异的主要原因是</w:t>
      </w:r>
      <w:r>
        <w:rPr>
          <w:rFonts w:hint="eastAsia" w:ascii="仿宋_GB2312" w:hAnsi="仿宋_GB2312" w:eastAsia="仿宋_GB2312" w:cs="仿宋_GB2312"/>
          <w:sz w:val="32"/>
          <w:szCs w:val="24"/>
          <w:lang w:val="en-US" w:eastAsia="zh-CN"/>
        </w:rPr>
        <w:t>：落实过紧日子政策，</w:t>
      </w:r>
      <w:r>
        <w:rPr>
          <w:rFonts w:hint="eastAsia" w:ascii="仿宋_GB2312" w:hAnsi="仿宋_GB2312" w:eastAsia="仿宋_GB2312" w:cs="仿宋_GB2312"/>
          <w:sz w:val="32"/>
          <w:szCs w:val="32"/>
        </w:rPr>
        <w:t>厉行节约</w:t>
      </w:r>
      <w:r>
        <w:rPr>
          <w:rFonts w:hint="eastAsia" w:ascii="仿宋_GB2312" w:hAnsi="仿宋_GB2312" w:eastAsia="仿宋_GB2312" w:cs="仿宋_GB2312"/>
          <w:sz w:val="32"/>
          <w:szCs w:val="32"/>
          <w:lang w:eastAsia="zh-CN"/>
        </w:rPr>
        <w:t>，压缩经费支出。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24"/>
          <w:lang w:val="en-US"/>
        </w:rPr>
        <w:t>2021年度“三公”经费财政拨款支出决算中，因公出国（境）费支出决算0万元；公务用车购置及运行费支出决算5.54万元，完成预算的100%，占100%；公务接待费支出决算0万元</w:t>
      </w:r>
      <w:r>
        <w:rPr>
          <w:rFonts w:hint="eastAsia" w:ascii="仿宋_GB2312" w:hAnsi="仿宋_GB2312" w:eastAsia="仿宋_GB2312" w:cs="仿宋_GB2312"/>
          <w:sz w:val="32"/>
          <w:szCs w:val="24"/>
          <w:lang w:val="en-US" w:eastAsia="zh-CN"/>
        </w:rPr>
        <w:t>。</w:t>
      </w:r>
      <w:r>
        <w:rPr>
          <w:rFonts w:hint="eastAsia" w:ascii="仿宋_GB2312" w:hAnsi="仿宋_GB2312" w:eastAsia="仿宋_GB2312" w:cs="仿宋_GB2312"/>
          <w:sz w:val="32"/>
          <w:szCs w:val="24"/>
          <w:lang w:val="en-US"/>
        </w:rPr>
        <w:t>具体情况如下：</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预算为0万元，支出决算为0万元</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w:t>
      </w:r>
      <w:r>
        <w:rPr>
          <w:rFonts w:hint="eastAsia" w:ascii="仿宋_GB2312" w:hAnsi="仿宋_GB2312" w:eastAsia="仿宋_GB2312"/>
          <w:sz w:val="32"/>
          <w:szCs w:val="24"/>
          <w:lang w:val="en-US" w:eastAsia="zh-CN"/>
        </w:rPr>
        <w:t>不</w:t>
      </w:r>
      <w:r>
        <w:rPr>
          <w:rFonts w:hint="eastAsia" w:ascii="仿宋_GB2312" w:hAnsi="仿宋_GB2312" w:eastAsia="仿宋_GB2312"/>
          <w:sz w:val="32"/>
          <w:szCs w:val="24"/>
          <w:lang w:val="en-US"/>
        </w:rPr>
        <w:t>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5.54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主要用于支付公务用车燃油费、维修维护费和车辆保险费等。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sz w:val="32"/>
          <w:szCs w:val="32"/>
          <w:highlight w:val="none"/>
          <w:lang w:val="en-US" w:eastAsia="zh-CN"/>
        </w:rPr>
        <w:t>，未安排公务接待</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22.61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eastAsia="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000000"/>
          <w:kern w:val="0"/>
          <w:sz w:val="32"/>
          <w:szCs w:val="32"/>
          <w:lang w:val="en-US" w:eastAsia="zh-CN" w:bidi="ar"/>
        </w:rPr>
        <w:t xml:space="preserve">根据财政预算绩效管理要求，我单位对预算项目支出全面开展绩效申报、绩效监控和绩效自评。通过科学规范性制定管理制度，有效地加强了预算绩效管理，围绕“预算编制有目标、预算执行有监控、预算完成有评价”突出绩效管理，提高资金使用效率，全年工作有序开展、运行。根据年初设定的绩效目标，自评结果良好，达到年初预期目标。 </w:t>
      </w:r>
      <w:r>
        <w:rPr>
          <w:rFonts w:hint="eastAsia" w:ascii="仿宋_GB2312" w:hAnsi="仿宋_GB2312" w:eastAsia="仿宋_GB2312" w:cs="仿宋_GB2312"/>
          <w:color w:val="auto"/>
          <w:sz w:val="32"/>
          <w:szCs w:val="32"/>
          <w:highlight w:val="none"/>
          <w:lang w:val="en-US" w:eastAsia="zh-CN"/>
        </w:rPr>
        <w:t>2021年我单位纳入预算绩效管理的支出总额为169.18万元，其中：基本支出150.37万元；支出项目2个，支出金额18.81万元。开展项目绩效自评项目2个，自评金额18.81万元；纳入重点绩效评价0个，评价金额0万元。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宋体" w:eastAsia="仿宋_GB2312" w:cs="Courier New"/>
          <w:sz w:val="32"/>
          <w:szCs w:val="32"/>
          <w:highlight w:val="none"/>
          <w:lang w:eastAsia="zh-CN"/>
        </w:rPr>
        <w:t>根据</w:t>
      </w:r>
      <w:r>
        <w:rPr>
          <w:rFonts w:hint="eastAsia" w:ascii="仿宋_GB2312" w:hAnsi="宋体" w:eastAsia="仿宋_GB2312" w:cs="Courier New"/>
          <w:sz w:val="32"/>
          <w:szCs w:val="32"/>
          <w:highlight w:val="none"/>
          <w:lang w:val="en-US" w:eastAsia="zh-CN"/>
        </w:rPr>
        <w:t>2021年年初设定的绩效目标，单位整体绩效自评良好，达到年初预期目标。</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w:t>
      </w:r>
      <w:bookmarkStart w:id="0" w:name="_GoBack"/>
      <w:bookmarkEnd w:id="0"/>
      <w:r>
        <w:rPr>
          <w:rFonts w:hint="eastAsia" w:ascii="仿宋_GB2312" w:hAnsi="仿宋_GB2312" w:eastAsia="仿宋_GB2312" w:cs="仿宋_GB2312"/>
          <w:color w:val="auto"/>
          <w:sz w:val="32"/>
          <w:szCs w:val="32"/>
          <w:highlight w:val="none"/>
          <w:lang w:val="en-US" w:eastAsia="zh-CN"/>
        </w:rPr>
        <w:t>项目金额18.81万元。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98.35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32"/>
          <w:szCs w:val="32"/>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A9A32"/>
    <w:multiLevelType w:val="singleLevel"/>
    <w:tmpl w:val="12AA9A32"/>
    <w:lvl w:ilvl="0" w:tentative="0">
      <w:start w:val="1"/>
      <w:numFmt w:val="chineseCounting"/>
      <w:suff w:val="nothing"/>
      <w:lvlText w:val="%1、"/>
      <w:lvlJc w:val="left"/>
      <w:rPr>
        <w:rFonts w:hint="eastAsia"/>
      </w:rPr>
    </w:lvl>
  </w:abstractNum>
  <w:abstractNum w:abstractNumId="1">
    <w:nsid w:val="485856DA"/>
    <w:multiLevelType w:val="singleLevel"/>
    <w:tmpl w:val="485856DA"/>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ZWFmNzYzNzdkMGExMDg5ZDZhOTNhMTBjOWVkYTg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0770D"/>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D71DE"/>
    <w:rsid w:val="02A3489A"/>
    <w:rsid w:val="02CA138D"/>
    <w:rsid w:val="033646FC"/>
    <w:rsid w:val="035C4902"/>
    <w:rsid w:val="03B95FF4"/>
    <w:rsid w:val="03C75F80"/>
    <w:rsid w:val="0478364D"/>
    <w:rsid w:val="04EE6171"/>
    <w:rsid w:val="053D4C0D"/>
    <w:rsid w:val="0557532E"/>
    <w:rsid w:val="05B253F0"/>
    <w:rsid w:val="063B17F3"/>
    <w:rsid w:val="06AE5BB8"/>
    <w:rsid w:val="0799329C"/>
    <w:rsid w:val="07E35A38"/>
    <w:rsid w:val="080F08D8"/>
    <w:rsid w:val="08397436"/>
    <w:rsid w:val="086F16A7"/>
    <w:rsid w:val="088E0328"/>
    <w:rsid w:val="0A0F7225"/>
    <w:rsid w:val="0A2B7D82"/>
    <w:rsid w:val="0ADC40E9"/>
    <w:rsid w:val="0AE607F4"/>
    <w:rsid w:val="0B386127"/>
    <w:rsid w:val="0B451598"/>
    <w:rsid w:val="0BC369D0"/>
    <w:rsid w:val="0BEC73F4"/>
    <w:rsid w:val="0C392698"/>
    <w:rsid w:val="0C3D6BC5"/>
    <w:rsid w:val="0D6C64A3"/>
    <w:rsid w:val="0D8238FA"/>
    <w:rsid w:val="0DF02F5A"/>
    <w:rsid w:val="0E26697C"/>
    <w:rsid w:val="0F0957B2"/>
    <w:rsid w:val="0F621C35"/>
    <w:rsid w:val="0F6B6D3C"/>
    <w:rsid w:val="0FF22FB9"/>
    <w:rsid w:val="10596B94"/>
    <w:rsid w:val="10702130"/>
    <w:rsid w:val="10881228"/>
    <w:rsid w:val="109B53FF"/>
    <w:rsid w:val="10BD36F6"/>
    <w:rsid w:val="10F62635"/>
    <w:rsid w:val="11733C86"/>
    <w:rsid w:val="119B4F8B"/>
    <w:rsid w:val="11BF0649"/>
    <w:rsid w:val="11C664AC"/>
    <w:rsid w:val="123E3E08"/>
    <w:rsid w:val="125910CE"/>
    <w:rsid w:val="133212F4"/>
    <w:rsid w:val="13D22E22"/>
    <w:rsid w:val="14456E02"/>
    <w:rsid w:val="14AD1F26"/>
    <w:rsid w:val="161C2DFF"/>
    <w:rsid w:val="16373578"/>
    <w:rsid w:val="16D3336B"/>
    <w:rsid w:val="17200028"/>
    <w:rsid w:val="17806C36"/>
    <w:rsid w:val="17A74F62"/>
    <w:rsid w:val="17E72FBC"/>
    <w:rsid w:val="17EA0A1A"/>
    <w:rsid w:val="181122F7"/>
    <w:rsid w:val="184E2D57"/>
    <w:rsid w:val="1888270D"/>
    <w:rsid w:val="18A47774"/>
    <w:rsid w:val="19061883"/>
    <w:rsid w:val="19197809"/>
    <w:rsid w:val="197734BB"/>
    <w:rsid w:val="19A90B8D"/>
    <w:rsid w:val="1A766595"/>
    <w:rsid w:val="1A8D28EB"/>
    <w:rsid w:val="1A9F2D78"/>
    <w:rsid w:val="1AB33345"/>
    <w:rsid w:val="1B2E6FD8"/>
    <w:rsid w:val="1B5F38EB"/>
    <w:rsid w:val="1B7E1BA5"/>
    <w:rsid w:val="1B7F1479"/>
    <w:rsid w:val="1B877D21"/>
    <w:rsid w:val="1C0F6CA1"/>
    <w:rsid w:val="1C4319A9"/>
    <w:rsid w:val="1C9176B6"/>
    <w:rsid w:val="1C924B4B"/>
    <w:rsid w:val="1CF502B9"/>
    <w:rsid w:val="1E443B4B"/>
    <w:rsid w:val="1E994F4A"/>
    <w:rsid w:val="1E9A4F48"/>
    <w:rsid w:val="1EAF0224"/>
    <w:rsid w:val="1F2230A4"/>
    <w:rsid w:val="1F550E6F"/>
    <w:rsid w:val="20210932"/>
    <w:rsid w:val="202448E0"/>
    <w:rsid w:val="20F614FE"/>
    <w:rsid w:val="21052421"/>
    <w:rsid w:val="21302EEA"/>
    <w:rsid w:val="21902632"/>
    <w:rsid w:val="220B3A67"/>
    <w:rsid w:val="22376FB5"/>
    <w:rsid w:val="22FB5A70"/>
    <w:rsid w:val="23E152D7"/>
    <w:rsid w:val="23E9569E"/>
    <w:rsid w:val="23EE2489"/>
    <w:rsid w:val="24B524CD"/>
    <w:rsid w:val="255D43C8"/>
    <w:rsid w:val="257362C1"/>
    <w:rsid w:val="26714EF8"/>
    <w:rsid w:val="26842D50"/>
    <w:rsid w:val="26876BDD"/>
    <w:rsid w:val="26BE189C"/>
    <w:rsid w:val="26F947D6"/>
    <w:rsid w:val="26FC6074"/>
    <w:rsid w:val="2714632A"/>
    <w:rsid w:val="274A5031"/>
    <w:rsid w:val="27541E73"/>
    <w:rsid w:val="27B0539E"/>
    <w:rsid w:val="29365CF8"/>
    <w:rsid w:val="29473846"/>
    <w:rsid w:val="299469B3"/>
    <w:rsid w:val="2A52567F"/>
    <w:rsid w:val="2A805789"/>
    <w:rsid w:val="2ADC0D75"/>
    <w:rsid w:val="2B4A0E52"/>
    <w:rsid w:val="2C975890"/>
    <w:rsid w:val="2D3622E0"/>
    <w:rsid w:val="2DEF21BB"/>
    <w:rsid w:val="2E4A2F05"/>
    <w:rsid w:val="2ECC1061"/>
    <w:rsid w:val="2EF44200"/>
    <w:rsid w:val="2F324D29"/>
    <w:rsid w:val="2FA476AD"/>
    <w:rsid w:val="303F7540"/>
    <w:rsid w:val="30F878AC"/>
    <w:rsid w:val="31DD00BF"/>
    <w:rsid w:val="3293174C"/>
    <w:rsid w:val="32BB38D4"/>
    <w:rsid w:val="32C9376D"/>
    <w:rsid w:val="33780472"/>
    <w:rsid w:val="33AF0905"/>
    <w:rsid w:val="344F3C87"/>
    <w:rsid w:val="353A66E5"/>
    <w:rsid w:val="355932F4"/>
    <w:rsid w:val="35611882"/>
    <w:rsid w:val="35690D78"/>
    <w:rsid w:val="36746FC3"/>
    <w:rsid w:val="36873BAC"/>
    <w:rsid w:val="368763AE"/>
    <w:rsid w:val="37C624B2"/>
    <w:rsid w:val="37FB7FAC"/>
    <w:rsid w:val="395D59E7"/>
    <w:rsid w:val="397877DC"/>
    <w:rsid w:val="39A93932"/>
    <w:rsid w:val="3A915562"/>
    <w:rsid w:val="3A9E7264"/>
    <w:rsid w:val="3B806C2F"/>
    <w:rsid w:val="3B8D4765"/>
    <w:rsid w:val="3BA64AD4"/>
    <w:rsid w:val="3C000DBA"/>
    <w:rsid w:val="3C683E70"/>
    <w:rsid w:val="3CC72F54"/>
    <w:rsid w:val="3D4A76E1"/>
    <w:rsid w:val="3D894D02"/>
    <w:rsid w:val="3DC045D3"/>
    <w:rsid w:val="3E504FFB"/>
    <w:rsid w:val="3E615CD0"/>
    <w:rsid w:val="3E7A5DA4"/>
    <w:rsid w:val="3E9C47F6"/>
    <w:rsid w:val="3EB12B2A"/>
    <w:rsid w:val="3F67457A"/>
    <w:rsid w:val="3F80388E"/>
    <w:rsid w:val="3F8B0112"/>
    <w:rsid w:val="3FAB3095"/>
    <w:rsid w:val="3FE45947"/>
    <w:rsid w:val="41242965"/>
    <w:rsid w:val="418807D8"/>
    <w:rsid w:val="41CC4B69"/>
    <w:rsid w:val="424961B9"/>
    <w:rsid w:val="43302ED5"/>
    <w:rsid w:val="434314A4"/>
    <w:rsid w:val="435671EA"/>
    <w:rsid w:val="43BE1929"/>
    <w:rsid w:val="440809E9"/>
    <w:rsid w:val="440D7A23"/>
    <w:rsid w:val="442407A6"/>
    <w:rsid w:val="44805EA1"/>
    <w:rsid w:val="44F248E6"/>
    <w:rsid w:val="44FA19ED"/>
    <w:rsid w:val="451149B8"/>
    <w:rsid w:val="4541761C"/>
    <w:rsid w:val="45710696"/>
    <w:rsid w:val="46142B1B"/>
    <w:rsid w:val="463916AB"/>
    <w:rsid w:val="46733805"/>
    <w:rsid w:val="479954ED"/>
    <w:rsid w:val="47E60DD0"/>
    <w:rsid w:val="48735039"/>
    <w:rsid w:val="491D5CAA"/>
    <w:rsid w:val="492C684B"/>
    <w:rsid w:val="49500594"/>
    <w:rsid w:val="49B04D70"/>
    <w:rsid w:val="49E30CA1"/>
    <w:rsid w:val="49E7604E"/>
    <w:rsid w:val="4A871F75"/>
    <w:rsid w:val="4AFF7B18"/>
    <w:rsid w:val="4BA426B2"/>
    <w:rsid w:val="4BF67CDD"/>
    <w:rsid w:val="4C3B4DC5"/>
    <w:rsid w:val="4D173441"/>
    <w:rsid w:val="4D603DD6"/>
    <w:rsid w:val="4DAB4078"/>
    <w:rsid w:val="4EBE65E6"/>
    <w:rsid w:val="4EBF010F"/>
    <w:rsid w:val="4F471EB0"/>
    <w:rsid w:val="4FA2515B"/>
    <w:rsid w:val="508F1B83"/>
    <w:rsid w:val="51331326"/>
    <w:rsid w:val="51740A7F"/>
    <w:rsid w:val="51A5541E"/>
    <w:rsid w:val="51C96242"/>
    <w:rsid w:val="5248479E"/>
    <w:rsid w:val="52707792"/>
    <w:rsid w:val="531E0F9C"/>
    <w:rsid w:val="53906AE1"/>
    <w:rsid w:val="541C1980"/>
    <w:rsid w:val="544D1B39"/>
    <w:rsid w:val="54F46F60"/>
    <w:rsid w:val="55A37BEA"/>
    <w:rsid w:val="56362CD2"/>
    <w:rsid w:val="56C63E25"/>
    <w:rsid w:val="573F5427"/>
    <w:rsid w:val="5784687B"/>
    <w:rsid w:val="57846959"/>
    <w:rsid w:val="578E6A87"/>
    <w:rsid w:val="58896EB8"/>
    <w:rsid w:val="59030A18"/>
    <w:rsid w:val="59480B21"/>
    <w:rsid w:val="59810D4C"/>
    <w:rsid w:val="5AC2203A"/>
    <w:rsid w:val="5B484E08"/>
    <w:rsid w:val="5B635A41"/>
    <w:rsid w:val="5C2C2828"/>
    <w:rsid w:val="5C531CB7"/>
    <w:rsid w:val="5CBB3334"/>
    <w:rsid w:val="5CF62DFF"/>
    <w:rsid w:val="5D115FAF"/>
    <w:rsid w:val="5D83481E"/>
    <w:rsid w:val="5E287173"/>
    <w:rsid w:val="5EE94B54"/>
    <w:rsid w:val="5F1220D3"/>
    <w:rsid w:val="5FBBCE90"/>
    <w:rsid w:val="611C2FBF"/>
    <w:rsid w:val="61313A05"/>
    <w:rsid w:val="61A22D98"/>
    <w:rsid w:val="61BC63FC"/>
    <w:rsid w:val="62811722"/>
    <w:rsid w:val="628726BA"/>
    <w:rsid w:val="62E75A72"/>
    <w:rsid w:val="637349EC"/>
    <w:rsid w:val="63C17E4E"/>
    <w:rsid w:val="63F005DF"/>
    <w:rsid w:val="63F172BF"/>
    <w:rsid w:val="64571880"/>
    <w:rsid w:val="649125B6"/>
    <w:rsid w:val="652F4C1A"/>
    <w:rsid w:val="666D37F1"/>
    <w:rsid w:val="66705C12"/>
    <w:rsid w:val="667B2536"/>
    <w:rsid w:val="669B2BD8"/>
    <w:rsid w:val="66DE2AC5"/>
    <w:rsid w:val="67087D8F"/>
    <w:rsid w:val="671F687E"/>
    <w:rsid w:val="67C43A69"/>
    <w:rsid w:val="67D0240D"/>
    <w:rsid w:val="67F415F8"/>
    <w:rsid w:val="682640D1"/>
    <w:rsid w:val="684B73E5"/>
    <w:rsid w:val="68A613C0"/>
    <w:rsid w:val="68C1269E"/>
    <w:rsid w:val="68EF720B"/>
    <w:rsid w:val="6A047A2A"/>
    <w:rsid w:val="6A050368"/>
    <w:rsid w:val="6AFE54E3"/>
    <w:rsid w:val="6C9C5A58"/>
    <w:rsid w:val="6D3001B6"/>
    <w:rsid w:val="6D7663B8"/>
    <w:rsid w:val="6D8141AA"/>
    <w:rsid w:val="6DC42A14"/>
    <w:rsid w:val="6E881C94"/>
    <w:rsid w:val="6EFB7548"/>
    <w:rsid w:val="6F3831C3"/>
    <w:rsid w:val="6F653D83"/>
    <w:rsid w:val="6F8B71C1"/>
    <w:rsid w:val="6FF45312"/>
    <w:rsid w:val="702C664F"/>
    <w:rsid w:val="70753482"/>
    <w:rsid w:val="707B522A"/>
    <w:rsid w:val="71FB277D"/>
    <w:rsid w:val="729130E1"/>
    <w:rsid w:val="72C25048"/>
    <w:rsid w:val="73194D05"/>
    <w:rsid w:val="73760918"/>
    <w:rsid w:val="73A11102"/>
    <w:rsid w:val="73A83B0E"/>
    <w:rsid w:val="73D47729"/>
    <w:rsid w:val="744D3EF9"/>
    <w:rsid w:val="7463285B"/>
    <w:rsid w:val="74794411"/>
    <w:rsid w:val="7532142C"/>
    <w:rsid w:val="75867C40"/>
    <w:rsid w:val="75B10B26"/>
    <w:rsid w:val="76432199"/>
    <w:rsid w:val="767D5E56"/>
    <w:rsid w:val="76A827A7"/>
    <w:rsid w:val="76F44829"/>
    <w:rsid w:val="76F57F2D"/>
    <w:rsid w:val="771103FF"/>
    <w:rsid w:val="77A267C0"/>
    <w:rsid w:val="78882278"/>
    <w:rsid w:val="78B118A6"/>
    <w:rsid w:val="79135044"/>
    <w:rsid w:val="79752E15"/>
    <w:rsid w:val="7A4E4F5E"/>
    <w:rsid w:val="7A7D0F99"/>
    <w:rsid w:val="7AED71E6"/>
    <w:rsid w:val="7BC736D0"/>
    <w:rsid w:val="7BCB7664"/>
    <w:rsid w:val="7C0B7A60"/>
    <w:rsid w:val="7C466CEA"/>
    <w:rsid w:val="7CB4634A"/>
    <w:rsid w:val="7CCF0A8E"/>
    <w:rsid w:val="7CE256B9"/>
    <w:rsid w:val="7CE64029"/>
    <w:rsid w:val="7CF22140"/>
    <w:rsid w:val="7DB12889"/>
    <w:rsid w:val="7DCECA23"/>
    <w:rsid w:val="7DEF56CB"/>
    <w:rsid w:val="7E24305B"/>
    <w:rsid w:val="7E4A0E7C"/>
    <w:rsid w:val="7E6A79E2"/>
    <w:rsid w:val="7E9F91A1"/>
    <w:rsid w:val="7EED2268"/>
    <w:rsid w:val="7EFD449D"/>
    <w:rsid w:val="7F642801"/>
    <w:rsid w:val="97E79832"/>
    <w:rsid w:val="BF9B8FC3"/>
    <w:rsid w:val="CD668B24"/>
    <w:rsid w:val="ECB9CF20"/>
    <w:rsid w:val="FBBC23EE"/>
    <w:rsid w:val="FF77E47E"/>
    <w:rsid w:val="FFEBE3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8496</Words>
  <Characters>10283</Characters>
  <Lines>60</Lines>
  <Paragraphs>16</Paragraphs>
  <TotalTime>109</TotalTime>
  <ScaleCrop>false</ScaleCrop>
  <LinksUpToDate>false</LinksUpToDate>
  <CharactersWithSpaces>10520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佳佳1314</cp:lastModifiedBy>
  <cp:lastPrinted>2023-02-16T18:13:00Z</cp:lastPrinted>
  <dcterms:modified xsi:type="dcterms:W3CDTF">2023-05-09T02:55:12Z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E26E0748463D43CFBE4BC20986B48F1E</vt:lpwstr>
  </property>
</Properties>
</file>