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许昌市发展和改革委员会（本级）</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许昌市发展和改革委员会</w:t>
      </w:r>
      <w:r>
        <w:rPr>
          <w:rFonts w:hint="eastAsia" w:ascii="黑体" w:hAnsi="黑体" w:eastAsia="黑体" w:cs="黑体"/>
          <w:color w:val="auto"/>
          <w:sz w:val="32"/>
          <w:szCs w:val="32"/>
          <w:highlight w:val="none"/>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许昌市发展和改革委员会</w:t>
      </w:r>
      <w:r>
        <w:rPr>
          <w:rFonts w:hint="eastAsia" w:ascii="黑体" w:hAnsi="黑体" w:eastAsia="黑体" w:cs="黑体"/>
          <w:color w:val="auto"/>
          <w:sz w:val="48"/>
          <w:szCs w:val="48"/>
          <w:highlight w:val="none"/>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（因内容涉密，按规定不予公开）</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（因内容涉密，按规定不予公开）</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lang w:val="en-US" w:eastAsia="zh-CN"/>
        </w:rPr>
        <w:t>许昌市发展和改革委员会</w:t>
      </w:r>
      <w:r>
        <w:rPr>
          <w:rFonts w:hint="eastAsia" w:ascii="仿宋_GB2312" w:hAnsi="仿宋_GB2312" w:eastAsia="仿宋_GB2312" w:cs="仿宋_GB2312"/>
          <w:color w:val="auto"/>
          <w:kern w:val="0"/>
          <w:sz w:val="32"/>
          <w:szCs w:val="32"/>
          <w:highlight w:val="none"/>
          <w:lang w:val="en-US" w:eastAsia="zh-CN"/>
        </w:rPr>
        <w:t>单位决算包括：本级决算。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w:t>
      </w:r>
      <w:r>
        <w:rPr>
          <w:rFonts w:hint="default" w:ascii="仿宋_GB2312" w:hAnsi="仿宋_GB2312" w:eastAsia="仿宋_GB2312" w:cs="仿宋_GB2312"/>
          <w:color w:val="auto"/>
          <w:kern w:val="0"/>
          <w:sz w:val="32"/>
          <w:szCs w:val="32"/>
          <w:highlight w:val="none"/>
          <w:lang w:eastAsia="zh-CN"/>
        </w:rPr>
        <w:t>1</w:t>
      </w:r>
      <w:r>
        <w:rPr>
          <w:rFonts w:hint="eastAsia" w:ascii="仿宋_GB2312" w:hAnsi="仿宋_GB2312" w:eastAsia="仿宋_GB2312" w:cs="仿宋_GB2312"/>
          <w:color w:val="auto"/>
          <w:kern w:val="0"/>
          <w:sz w:val="32"/>
          <w:szCs w:val="32"/>
          <w:highlight w:val="none"/>
          <w:lang w:val="en-US" w:eastAsia="zh-CN"/>
        </w:rPr>
        <w:t>年度决算编制范围的单位共1个，具体是：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lang w:val="en-US" w:eastAsia="zh-CN"/>
        </w:rPr>
        <w:t>许昌市发展和改革委员会</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4"/>
        <w:gridCol w:w="990"/>
        <w:gridCol w:w="1738"/>
        <w:gridCol w:w="3769"/>
        <w:gridCol w:w="1031"/>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1"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4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6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41"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27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46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3,137.23</w:t>
            </w: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3,137.23</w:t>
            </w: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662.72</w:t>
            </w: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9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3,799.95</w:t>
            </w:r>
          </w:p>
        </w:tc>
        <w:tc>
          <w:tcPr>
            <w:tcW w:w="37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1"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
        <w:gridCol w:w="331"/>
        <w:gridCol w:w="331"/>
        <w:gridCol w:w="3956"/>
        <w:gridCol w:w="1536"/>
        <w:gridCol w:w="1536"/>
        <w:gridCol w:w="1304"/>
        <w:gridCol w:w="1096"/>
        <w:gridCol w:w="1096"/>
        <w:gridCol w:w="11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4" w:type="dxa"/>
            <w:tcBorders>
              <w:top w:val="nil"/>
              <w:left w:val="nil"/>
              <w:bottom w:val="nil"/>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20"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3661" w:type="dxa"/>
            <w:gridSpan w:val="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1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3,137.23</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3,137.23</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2,108.63</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2,108.63</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2,100.83</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2,100.83</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1,428.79</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1,428.79</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81.64</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81.64</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529.26</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529.26</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876.42</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876.42</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734.87</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734.87</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679.47</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679.47</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55.41</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55.41</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68.80</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68.80</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68.80</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68.80</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34.57</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34.57</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5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3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594"/>
        <w:gridCol w:w="1468"/>
        <w:gridCol w:w="1381"/>
        <w:gridCol w:w="1381"/>
        <w:gridCol w:w="1081"/>
        <w:gridCol w:w="820"/>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2,766.88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1,032.16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其他城市生活救助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440" w:right="1800" w:bottom="1440" w:left="180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5"/>
        <w:gridCol w:w="521"/>
        <w:gridCol w:w="1106"/>
        <w:gridCol w:w="3549"/>
        <w:gridCol w:w="521"/>
        <w:gridCol w:w="1106"/>
        <w:gridCol w:w="1592"/>
        <w:gridCol w:w="1250"/>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3,794.55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3,794.55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657.32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3,794.55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3,794.55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3,794.55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0"/>
        <w:gridCol w:w="1329"/>
        <w:gridCol w:w="255"/>
        <w:gridCol w:w="5295"/>
        <w:gridCol w:w="1905"/>
        <w:gridCol w:w="1860"/>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1408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33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0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114"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18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0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20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7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29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91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9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291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9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2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2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3,794.55</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2,766.88</w:t>
            </w: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2,679.03</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1,673.00</w:t>
            </w: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2,671.23</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1,665.20</w:t>
            </w: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1,556.73</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1,551.09</w:t>
            </w: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480.33</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96.86</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96.86</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925.52</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783.01</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783.01</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687.65</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687.65</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其他城市生活救助</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84.98</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40.98</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40.98</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21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91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5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08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6"/>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1096"/>
        <w:gridCol w:w="766"/>
        <w:gridCol w:w="2416"/>
        <w:gridCol w:w="876"/>
        <w:gridCol w:w="766"/>
        <w:gridCol w:w="2918"/>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default" w:ascii="宋体" w:hAnsi="宋体" w:cs="宋体"/>
                <w:i w:val="0"/>
                <w:iCs w:val="0"/>
                <w:color w:val="000000"/>
                <w:kern w:val="0"/>
                <w:sz w:val="30"/>
                <w:szCs w:val="30"/>
                <w:u w:val="none"/>
                <w:lang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02" w:type="dxa"/>
            <w:gridSpan w:val="7"/>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38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0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38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7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69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1,620.12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951.72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851.73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446.80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82.04</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1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1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1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2,471.85</w:t>
            </w:r>
          </w:p>
        </w:tc>
        <w:tc>
          <w:tcPr>
            <w:tcW w:w="7742"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07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pStyle w:val="2"/>
        <w:rPr>
          <w:rFonts w:hint="eastAsia" w:ascii="仿宋_GB2312" w:hAnsi="仿宋_GB2312" w:eastAsia="仿宋_GB2312" w:cs="仿宋_GB2312"/>
          <w:sz w:val="32"/>
          <w:szCs w:val="32"/>
          <w:highlight w:val="none"/>
        </w:rPr>
      </w:pPr>
    </w:p>
    <w:p>
      <w:pPr>
        <w:rPr>
          <w:rFonts w:hint="eastAsia"/>
        </w:rPr>
      </w:pPr>
    </w:p>
    <w:p>
      <w:pPr>
        <w:pStyle w:val="2"/>
        <w:rPr>
          <w:rFonts w:hint="eastAsia"/>
        </w:rPr>
      </w:pPr>
    </w:p>
    <w:p>
      <w:pPr>
        <w:rPr>
          <w:rFonts w:hint="eastAsia"/>
        </w:rPr>
      </w:pPr>
    </w:p>
    <w:p>
      <w:pPr>
        <w:pStyle w:val="2"/>
        <w:rPr>
          <w:rFonts w:hint="eastAsia"/>
        </w:rPr>
      </w:pPr>
    </w:p>
    <w:p>
      <w:pPr>
        <w:rPr>
          <w:rFonts w:hint="eastAsia" w:ascii="仿宋_GB2312" w:hAnsi="仿宋_GB2312" w:eastAsia="仿宋_GB2312" w:cs="仿宋_GB2312"/>
          <w:sz w:val="32"/>
          <w:szCs w:val="32"/>
          <w:highlight w:val="none"/>
        </w:rPr>
      </w:pPr>
    </w:p>
    <w:tbl>
      <w:tblPr>
        <w:tblStyle w:val="6"/>
        <w:tblW w:w="14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1875"/>
        <w:gridCol w:w="766"/>
        <w:gridCol w:w="1200"/>
        <w:gridCol w:w="1200"/>
        <w:gridCol w:w="1200"/>
        <w:gridCol w:w="766"/>
        <w:gridCol w:w="1875"/>
        <w:gridCol w:w="766"/>
        <w:gridCol w:w="1196"/>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01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00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0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r>
              <w:rPr>
                <w:rFonts w:hint="eastAsia" w:ascii="宋体" w:hAnsi="宋体" w:cs="宋体"/>
                <w:i w:val="0"/>
                <w:iCs w:val="0"/>
                <w:color w:val="000000"/>
                <w:kern w:val="0"/>
                <w:sz w:val="22"/>
                <w:szCs w:val="22"/>
                <w:u w:val="none"/>
                <w:lang w:val="en-US" w:eastAsia="zh-CN" w:bidi="ar"/>
              </w:rPr>
              <w:t>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401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6"/>
        <w:tblW w:w="0" w:type="auto"/>
        <w:tblInd w:w="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3"/>
        <w:gridCol w:w="1193"/>
        <w:gridCol w:w="383"/>
        <w:gridCol w:w="673"/>
        <w:gridCol w:w="673"/>
        <w:gridCol w:w="878"/>
        <w:gridCol w:w="878"/>
        <w:gridCol w:w="1088"/>
        <w:gridCol w:w="8"/>
        <w:gridCol w:w="1042"/>
        <w:gridCol w:w="1461"/>
        <w:gridCol w:w="1461"/>
        <w:gridCol w:w="2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：许昌市发展和改革委员会（本级）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3"/>
            <w:tcBorders>
              <w:top w:val="nil"/>
              <w:left w:val="nil"/>
              <w:bottom w:val="nil"/>
              <w:right w:val="nil"/>
            </w:tcBorders>
            <w:noWrap/>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注：本表反映单位本年度政府性基金预算财政拨款收入、支出及结转和结余情况。本表金额转换为万元时，因四舍五入可能存在尾差。</w:t>
            </w:r>
          </w:p>
          <w:p>
            <w:pPr>
              <w:pStyle w:val="2"/>
              <w:rPr>
                <w:rFonts w:hint="default"/>
                <w:lang w:val="en-US"/>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3799.95</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305.35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8.74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1.2021年年初结转和结余金额；2.2021年年中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项目经费支出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3137.23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3137.23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3799.03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2766.88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72.83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1032.16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27.17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3794.55</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305.35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8.75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1.2021年年初结转和结余金额；2.2021年年中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项目经费支出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3794.55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99.88</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793.61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26.45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1.2021年抚恤金支出较2020年增加较多；2.市级生活类救灾物资采购项目支出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3794.55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2679.03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70.60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社会保障和就业（类）支出925.52万元，占24.39%，卫生健康（类）支出84.98万元，占2.24%，住房保障（类）支出83.37万元，占2.20%，其他</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支出21.65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0.57</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2651.10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3794.55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b w:val="0"/>
          <w:bCs w:val="0"/>
          <w:color w:val="auto"/>
          <w:sz w:val="32"/>
          <w:szCs w:val="32"/>
          <w:highlight w:val="none"/>
          <w:lang w:val="en-US" w:eastAsia="zh-CN"/>
        </w:rPr>
        <w:t>143.13</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1378.88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1556.73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112.90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年中新增人员追加的人员经费支出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480.33</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项目支出年初无预算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物价管理</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年中省发改委拨付的价格监测经费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116.83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96.86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82.91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年中人员变动支出减少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其他发展与改革事务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537.26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市级生活类救灾物资购置、天然气储气服务等项目经费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7.80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641.06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687.65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107.27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新增退休人员，年中追加的退休人员经费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94.57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95.36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100.84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是年中7月份养老保险基数调整。</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141.55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是抚恤金为年中追加的经费。</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其他生活救助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其他城市生活救助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是支出1月份遗属补助使用的是上年结余经费。</w:t>
      </w:r>
    </w:p>
    <w:p>
      <w:pPr>
        <w:widowControl/>
        <w:spacing w:line="590" w:lineRule="exact"/>
        <w:ind w:firstLine="643" w:firstLineChars="200"/>
        <w:rPr>
          <w:rFonts w:hint="default" w:eastAsia="仿宋_GB2312"/>
          <w:lang w:val="en-US" w:eastAsia="zh-CN"/>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44.69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91.70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33.83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default"/>
          <w:lang w:val="en-US" w:eastAsia="zh-CN"/>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46.85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42.86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91.48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是年中人员变动和7月份基数调整。</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住房保障</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住房改革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住房公积金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93.71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83.37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88.97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其他支出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其他支出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21.65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w:t>
      </w:r>
      <w:r>
        <w:rPr>
          <w:rFonts w:hint="eastAsia" w:ascii="仿宋_GB2312" w:hAnsi="仿宋_GB2312" w:eastAsia="仿宋_GB2312" w:cs="仿宋_GB2312"/>
          <w:sz w:val="32"/>
          <w:szCs w:val="32"/>
          <w:lang w:val="en-US" w:eastAsia="zh-CN"/>
        </w:rPr>
        <w:t>使用上年度结转的</w:t>
      </w:r>
      <w:r>
        <w:rPr>
          <w:rFonts w:hint="eastAsia" w:ascii="仿宋_GB2312" w:hAnsi="仿宋_GB2312" w:eastAsia="仿宋_GB2312" w:cs="仿宋_GB2312"/>
          <w:sz w:val="32"/>
          <w:szCs w:val="32"/>
        </w:rPr>
        <w:t>省发改委奖励的“四比四看”项目经费</w:t>
      </w:r>
      <w:r>
        <w:rPr>
          <w:rFonts w:hint="eastAsia" w:ascii="仿宋_GB2312" w:hAnsi="仿宋_GB2312" w:eastAsia="仿宋_GB2312" w:cs="仿宋_GB2312"/>
          <w:sz w:val="32"/>
          <w:szCs w:val="32"/>
          <w:lang w:val="en-US" w:eastAsia="zh-CN"/>
        </w:rPr>
        <w:t>支付评审费</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2766.88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2471.85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zh-CN"/>
        </w:rPr>
        <w:t>主要包括：基本工资、津贴补贴、</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zh-CN"/>
        </w:rPr>
        <w:t>机关事业单位基本养老保险缴费、</w:t>
      </w:r>
      <w:r>
        <w:rPr>
          <w:rFonts w:hint="eastAsia" w:ascii="仿宋_GB2312" w:hAnsi="仿宋_GB2312" w:eastAsia="仿宋_GB2312" w:cs="仿宋_GB2312"/>
          <w:sz w:val="32"/>
          <w:szCs w:val="32"/>
        </w:rPr>
        <w:t>职工基本医疗保险缴费、公务员医疗补助缴费、</w:t>
      </w:r>
      <w:r>
        <w:rPr>
          <w:rFonts w:hint="eastAsia" w:ascii="仿宋_GB2312" w:hAnsi="仿宋_GB2312" w:eastAsia="仿宋_GB2312" w:cs="仿宋_GB2312"/>
          <w:sz w:val="32"/>
          <w:szCs w:val="32"/>
          <w:lang w:val="zh-CN"/>
        </w:rPr>
        <w:t>其他社会保障缴费、</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lang w:val="zh-CN"/>
        </w:rPr>
        <w:t>其他工资福利支出、离休费、退休费、抚恤金、生活补助、</w:t>
      </w:r>
      <w:r>
        <w:rPr>
          <w:rFonts w:hint="eastAsia" w:ascii="仿宋_GB2312" w:hAnsi="仿宋_GB2312" w:eastAsia="仿宋_GB2312" w:cs="仿宋_GB2312"/>
          <w:sz w:val="32"/>
          <w:szCs w:val="32"/>
          <w:lang w:val="en-US" w:eastAsia="zh-CN"/>
        </w:rPr>
        <w:t>医疗费补助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295.03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zh-CN"/>
        </w:rPr>
        <w:t>主要包括：办公费、印刷费、邮电费、差旅费、会议费、公务接待费、</w:t>
      </w:r>
      <w:r>
        <w:rPr>
          <w:rFonts w:hint="eastAsia" w:ascii="仿宋_GB2312" w:hAnsi="仿宋_GB2312" w:eastAsia="仿宋_GB2312" w:cs="仿宋_GB2312"/>
          <w:sz w:val="32"/>
          <w:szCs w:val="32"/>
          <w:lang w:val="en-US" w:eastAsia="zh-CN"/>
        </w:rPr>
        <w:t>委托业务费</w:t>
      </w:r>
      <w:r>
        <w:rPr>
          <w:rFonts w:hint="eastAsia" w:ascii="仿宋_GB2312" w:hAnsi="仿宋_GB2312" w:eastAsia="仿宋_GB2312" w:cs="仿宋_GB2312"/>
          <w:sz w:val="32"/>
          <w:szCs w:val="32"/>
          <w:lang w:val="zh-CN"/>
        </w:rPr>
        <w:t>、工会经费、福利费、公务用车运行维护费、其他交通费用、税金及附加费用、其他商品和服务支出、办公设备购置。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autoSpaceDE w:val="0"/>
        <w:autoSpaceDN w:val="0"/>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25.92</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val="en-US" w:eastAsia="zh-CN"/>
        </w:rPr>
        <w:t>18.86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72.76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厉行节约，压减三公经费支出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完成预算的0.00%，</w:t>
      </w:r>
      <w:bookmarkStart w:id="0" w:name="_GoBack"/>
      <w:bookmarkEnd w:id="0"/>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14.98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74.90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79.43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3.88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65.54</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20.57</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val="zh-CN"/>
        </w:rPr>
        <w:t>因公出国（境）费</w:t>
      </w:r>
      <w:r>
        <w:rPr>
          <w:rFonts w:hint="eastAsia" w:ascii="仿宋_GB2312" w:hAnsi="仿宋_GB2312" w:eastAsia="仿宋_GB2312" w:cs="仿宋_GB2312"/>
          <w:sz w:val="32"/>
          <w:szCs w:val="32"/>
          <w:lang w:val="zh-CN"/>
        </w:rPr>
        <w:t>预算为0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zh-CN"/>
        </w:rPr>
        <w:t>万元，支出决算为0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zh-CN"/>
        </w:rPr>
        <w:t>万元，预决算无差异。因公出国（境）团组数0个，因公出国（境）人次数0人</w:t>
      </w:r>
      <w:r>
        <w:rPr>
          <w:rFonts w:hint="eastAsia" w:ascii="仿宋_GB2312" w:hAnsi="仿宋_GB2312" w:eastAsia="仿宋_GB2312" w:cs="仿宋_GB2312"/>
          <w:sz w:val="32"/>
          <w:szCs w:val="32"/>
          <w:highlight w:val="none"/>
        </w:rPr>
        <w:t>。</w:t>
      </w:r>
    </w:p>
    <w:p>
      <w:pPr>
        <w:autoSpaceDE w:val="0"/>
        <w:autoSpaceDN w:val="0"/>
        <w:rPr>
          <w:rFonts w:hint="eastAsia" w:ascii="仿宋_GB2312" w:hAnsi="仿宋_GB2312" w:eastAsia="仿宋_GB2312" w:cs="仿宋_GB2312"/>
          <w:sz w:val="32"/>
          <w:szCs w:val="32"/>
          <w:lang w:val="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zh-CN"/>
        </w:rPr>
        <w:t>2</w:t>
      </w:r>
      <w:r>
        <w:rPr>
          <w:rFonts w:hint="eastAsia" w:ascii="仿宋" w:hAnsi="仿宋" w:eastAsia="仿宋" w:cs="仿宋"/>
          <w:b/>
          <w:bCs/>
          <w:sz w:val="32"/>
          <w:szCs w:val="32"/>
        </w:rPr>
        <w:t>.</w:t>
      </w:r>
      <w:r>
        <w:rPr>
          <w:rFonts w:hint="eastAsia" w:ascii="仿宋" w:hAnsi="仿宋" w:eastAsia="仿宋" w:cs="仿宋"/>
          <w:b/>
          <w:bCs/>
          <w:sz w:val="32"/>
          <w:szCs w:val="32"/>
          <w:lang w:val="zh-CN"/>
        </w:rPr>
        <w:t>公务用车购置及运行费</w:t>
      </w:r>
      <w:r>
        <w:rPr>
          <w:rFonts w:hint="eastAsia" w:ascii="仿宋_GB2312" w:hAnsi="仿宋_GB2312" w:eastAsia="仿宋_GB2312" w:cs="仿宋_GB2312"/>
          <w:sz w:val="32"/>
          <w:szCs w:val="32"/>
          <w:lang w:val="zh-CN"/>
        </w:rPr>
        <w:t>预算为2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14.98</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lang w:val="en-US" w:eastAsia="zh-CN"/>
        </w:rPr>
        <w:t>74.90</w:t>
      </w:r>
      <w:r>
        <w:rPr>
          <w:rFonts w:hint="eastAsia" w:ascii="仿宋_GB2312" w:hAnsi="仿宋_GB2312" w:eastAsia="仿宋_GB2312" w:cs="仿宋_GB2312"/>
          <w:sz w:val="32"/>
          <w:szCs w:val="32"/>
          <w:lang w:val="zh-CN"/>
        </w:rPr>
        <w:t>%，决算数与预算数存在差异的主要原因是</w:t>
      </w:r>
      <w:r>
        <w:rPr>
          <w:rFonts w:hint="eastAsia" w:ascii="仿宋_GB2312" w:hAnsi="仿宋_GB2312" w:eastAsia="仿宋_GB2312" w:cs="仿宋_GB2312"/>
          <w:sz w:val="32"/>
          <w:szCs w:val="32"/>
        </w:rPr>
        <w:t>厉行节约，压减公车运行维护费支出</w:t>
      </w:r>
      <w:r>
        <w:rPr>
          <w:rFonts w:hint="eastAsia" w:ascii="仿宋_GB2312" w:hAnsi="仿宋_GB2312" w:eastAsia="仿宋_GB2312" w:cs="仿宋_GB2312"/>
          <w:sz w:val="32"/>
          <w:szCs w:val="32"/>
          <w:lang w:val="zh-CN"/>
        </w:rPr>
        <w:t>。其中：</w:t>
      </w:r>
    </w:p>
    <w:p>
      <w:pPr>
        <w:autoSpaceDE w:val="0"/>
        <w:autoSpaceDN w:val="0"/>
        <w:rPr>
          <w:rFonts w:hint="eastAsia" w:ascii="仿宋" w:hAnsi="仿宋" w:eastAsia="仿宋" w:cs="仿宋"/>
          <w:sz w:val="32"/>
          <w:szCs w:val="32"/>
          <w:lang w:val="zh-CN"/>
        </w:rPr>
      </w:pPr>
      <w:r>
        <w:rPr>
          <w:rFonts w:hint="eastAsia" w:ascii="仿宋" w:hAnsi="仿宋" w:eastAsia="仿宋" w:cs="仿宋"/>
          <w:sz w:val="32"/>
          <w:szCs w:val="32"/>
        </w:rPr>
        <w:t xml:space="preserve">    </w:t>
      </w:r>
      <w:r>
        <w:rPr>
          <w:rFonts w:hint="eastAsia" w:ascii="仿宋" w:hAnsi="仿宋" w:eastAsia="仿宋" w:cs="仿宋"/>
          <w:b/>
          <w:bCs/>
          <w:sz w:val="32"/>
          <w:szCs w:val="32"/>
          <w:lang w:val="zh-CN"/>
        </w:rPr>
        <w:t>公务用车购置支出</w:t>
      </w:r>
      <w:r>
        <w:rPr>
          <w:rFonts w:hint="eastAsia" w:ascii="仿宋_GB2312" w:hAnsi="仿宋_GB2312" w:eastAsia="仿宋_GB2312" w:cs="仿宋_GB2312"/>
          <w:sz w:val="32"/>
          <w:szCs w:val="32"/>
          <w:lang w:val="zh-CN"/>
        </w:rPr>
        <w:t>0.00万元，购置车辆</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台。</w:t>
      </w:r>
    </w:p>
    <w:p>
      <w:pPr>
        <w:autoSpaceDE w:val="0"/>
        <w:autoSpaceDN w:val="0"/>
        <w:rPr>
          <w:rFonts w:hint="eastAsia" w:ascii="仿宋_GB2312" w:hAnsi="仿宋_GB2312" w:eastAsia="仿宋_GB2312" w:cs="仿宋_GB2312"/>
          <w:sz w:val="32"/>
          <w:szCs w:val="32"/>
          <w:lang w:val="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公务用车运行支出</w:t>
      </w:r>
      <w:r>
        <w:rPr>
          <w:rFonts w:hint="eastAsia" w:ascii="仿宋_GB2312" w:hAnsi="仿宋_GB2312" w:eastAsia="仿宋_GB2312" w:cs="仿宋_GB2312"/>
          <w:sz w:val="32"/>
          <w:szCs w:val="32"/>
          <w:lang w:val="en-US" w:eastAsia="zh-CN"/>
        </w:rPr>
        <w:t>14.98</w:t>
      </w:r>
      <w:r>
        <w:rPr>
          <w:rFonts w:hint="eastAsia" w:ascii="仿宋_GB2312" w:hAnsi="仿宋_GB2312" w:eastAsia="仿宋_GB2312" w:cs="仿宋_GB2312"/>
          <w:sz w:val="32"/>
          <w:szCs w:val="32"/>
          <w:lang w:val="zh-CN"/>
        </w:rPr>
        <w:t>万元。主要用于</w:t>
      </w:r>
      <w:r>
        <w:rPr>
          <w:rFonts w:hint="eastAsia" w:ascii="仿宋_GB2312" w:hAnsi="仿宋_GB2312" w:eastAsia="仿宋_GB2312" w:cs="仿宋_GB2312"/>
          <w:sz w:val="32"/>
          <w:szCs w:val="32"/>
        </w:rPr>
        <w:t>公务用车维修、加油、购买保险等</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年期末，单位开支财政拨款的公务用车保有量为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zh-CN"/>
        </w:rPr>
        <w:t>。</w:t>
      </w:r>
    </w:p>
    <w:p>
      <w:pPr>
        <w:autoSpaceDE w:val="0"/>
        <w:autoSpaceDN w:val="0"/>
        <w:rPr>
          <w:rFonts w:hint="eastAsia" w:ascii="仿宋_GB2312" w:hAnsi="仿宋_GB2312" w:eastAsia="仿宋_GB2312" w:cs="仿宋_GB2312"/>
          <w:sz w:val="32"/>
          <w:szCs w:val="32"/>
          <w:lang w:val="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3.公务接待费</w:t>
      </w:r>
      <w:r>
        <w:rPr>
          <w:rFonts w:hint="eastAsia" w:ascii="仿宋_GB2312" w:hAnsi="仿宋_GB2312" w:eastAsia="仿宋_GB2312" w:cs="仿宋_GB2312"/>
          <w:sz w:val="32"/>
          <w:szCs w:val="32"/>
          <w:lang w:val="zh-CN"/>
        </w:rPr>
        <w:t>预算为</w:t>
      </w:r>
      <w:r>
        <w:rPr>
          <w:rFonts w:hint="eastAsia" w:ascii="仿宋_GB2312" w:hAnsi="仿宋_GB2312" w:eastAsia="仿宋_GB2312" w:cs="仿宋_GB2312"/>
          <w:sz w:val="32"/>
          <w:szCs w:val="32"/>
          <w:lang w:val="en-US" w:eastAsia="zh-CN"/>
        </w:rPr>
        <w:t>5.92</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lang w:val="en-US" w:eastAsia="zh-CN"/>
        </w:rPr>
        <w:t>65.54</w:t>
      </w:r>
      <w:r>
        <w:rPr>
          <w:rFonts w:hint="eastAsia" w:ascii="仿宋_GB2312" w:hAnsi="仿宋_GB2312" w:eastAsia="仿宋_GB2312" w:cs="仿宋_GB2312"/>
          <w:sz w:val="32"/>
          <w:szCs w:val="32"/>
          <w:lang w:val="zh-CN"/>
        </w:rPr>
        <w:t>%。决算数与预算数存在差异的主要原因是</w:t>
      </w:r>
      <w:r>
        <w:rPr>
          <w:rFonts w:hint="eastAsia" w:ascii="仿宋_GB2312" w:hAnsi="仿宋_GB2312" w:eastAsia="仿宋_GB2312" w:cs="仿宋_GB2312"/>
          <w:sz w:val="32"/>
          <w:szCs w:val="32"/>
        </w:rPr>
        <w:t>厉行节约、压减公务接待费支出</w:t>
      </w:r>
      <w:r>
        <w:rPr>
          <w:rFonts w:hint="eastAsia" w:ascii="仿宋_GB2312" w:hAnsi="仿宋_GB2312" w:eastAsia="仿宋_GB2312" w:cs="仿宋_GB2312"/>
          <w:sz w:val="32"/>
          <w:szCs w:val="32"/>
          <w:lang w:val="zh-CN"/>
        </w:rPr>
        <w:t>。其中：</w:t>
      </w:r>
    </w:p>
    <w:p>
      <w:pPr>
        <w:autoSpaceDE w:val="0"/>
        <w:autoSpaceDN w:val="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外宾接待支出</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zh-CN"/>
        </w:rPr>
        <w:t>万元。202</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val="zh-CN"/>
        </w:rPr>
        <w:t>年共接待国（境）外来访团组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个、来访外宾</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人次（不包括陪同人员）。</w:t>
      </w:r>
    </w:p>
    <w:p>
      <w:pPr>
        <w:autoSpaceDE w:val="0"/>
        <w:autoSpaceDN w:val="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其他国内公务接待支出</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lang w:val="zh-CN"/>
        </w:rPr>
        <w:t>万元。主要用于</w:t>
      </w:r>
      <w:r>
        <w:rPr>
          <w:rFonts w:hint="eastAsia" w:ascii="仿宋_GB2312" w:hAnsi="仿宋_GB2312" w:eastAsia="仿宋_GB2312" w:cs="仿宋_GB2312"/>
          <w:sz w:val="32"/>
          <w:szCs w:val="32"/>
        </w:rPr>
        <w:t>上级单位调研考察活动接待；同级单位来访考察学习活动接待等</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年共接待国内来访团组</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个、来宾</w:t>
      </w:r>
      <w:r>
        <w:rPr>
          <w:rFonts w:hint="eastAsia" w:ascii="仿宋_GB2312" w:hAnsi="仿宋_GB2312" w:eastAsia="仿宋_GB2312" w:cs="仿宋_GB2312"/>
          <w:sz w:val="32"/>
          <w:szCs w:val="32"/>
          <w:lang w:val="en-US" w:eastAsia="zh-CN"/>
        </w:rPr>
        <w:t>294</w:t>
      </w:r>
      <w:r>
        <w:rPr>
          <w:rFonts w:hint="eastAsia" w:ascii="仿宋_GB2312" w:hAnsi="仿宋_GB2312" w:eastAsia="仿宋_GB2312" w:cs="仿宋_GB2312"/>
          <w:sz w:val="32"/>
          <w:szCs w:val="32"/>
          <w:lang w:val="zh-CN"/>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264.04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295.03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111.74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年中追加经费支出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3799.04万元，其中：基本支出2766.88万元；项目支出1032.16万元。</w:t>
      </w:r>
    </w:p>
    <w:p>
      <w:pPr>
        <w:widowControl/>
        <w:spacing w:line="59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市发改委根据财政预算管理要求，积极开展预算绩效管理工作，采取“事前申报绩效目标和指标、事中开展绩效日常监督、事后进行绩效评价”的方式，建立了贯穿项目支出“事前、事中、事后”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年，我</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对预算项目开展绩效评价，从项目产出、项目效益、满意度等方面设置绩效指标，综合反映项目预期完成的数量、实效、质量，预期达到的社会经济效益、可持续影响以及服务对象满意度等情况，为下一年预算编制提供重要依据。</w:t>
      </w:r>
      <w:r>
        <w:rPr>
          <w:rFonts w:hint="default" w:ascii="仿宋_GB2312" w:hAnsi="仿宋_GB2312" w:eastAsia="仿宋_GB2312" w:cs="宋体"/>
          <w:b w:val="0"/>
          <w:i w:val="0"/>
          <w:color w:val="000000"/>
          <w:sz w:val="31"/>
          <w:highlight w:val="none"/>
          <w:shd w:val="clear" w:color="auto" w:fill="FFFFFF"/>
          <w:lang w:eastAsia="zh-CN"/>
        </w:rPr>
        <w:t>对</w:t>
      </w:r>
      <w:r>
        <w:rPr>
          <w:rFonts w:hint="default" w:ascii="仿宋_GB2312" w:hAnsi="仿宋_GB2312" w:eastAsia="仿宋_GB2312" w:cs="宋体"/>
          <w:b w:val="0"/>
          <w:i w:val="0"/>
          <w:color w:val="000000"/>
          <w:sz w:val="31"/>
          <w:highlight w:val="none"/>
          <w:shd w:val="clear" w:color="auto" w:fill="FFFFFF"/>
          <w:lang w:val="en-US" w:eastAsia="zh-CN"/>
        </w:rPr>
        <w:t>预算编制、预算执行、财务管理、资产管理、职责履行和职责效益等方面进行评价，整体提升</w:t>
      </w:r>
      <w:r>
        <w:rPr>
          <w:rFonts w:hint="default" w:ascii="仿宋_GB2312" w:hAnsi="仿宋_GB2312" w:eastAsia="仿宋_GB2312" w:cs="宋体"/>
          <w:b w:val="0"/>
          <w:i w:val="0"/>
          <w:color w:val="000000"/>
          <w:sz w:val="31"/>
          <w:highlight w:val="none"/>
          <w:shd w:val="clear" w:color="auto" w:fill="FFFFFF"/>
          <w:lang w:eastAsia="zh-CN"/>
        </w:rPr>
        <w:t>了</w:t>
      </w:r>
      <w:r>
        <w:rPr>
          <w:rFonts w:hint="default" w:ascii="仿宋_GB2312" w:hAnsi="仿宋_GB2312" w:eastAsia="仿宋_GB2312" w:cs="宋体"/>
          <w:b w:val="0"/>
          <w:i w:val="0"/>
          <w:color w:val="000000"/>
          <w:sz w:val="31"/>
          <w:highlight w:val="none"/>
          <w:shd w:val="clear" w:color="auto" w:fill="FFFFFF"/>
          <w:lang w:val="en-US" w:eastAsia="zh-CN"/>
        </w:rPr>
        <w:t>预算绩效管理水平，进一步提高</w:t>
      </w:r>
      <w:r>
        <w:rPr>
          <w:rFonts w:hint="default" w:ascii="仿宋_GB2312" w:hAnsi="仿宋_GB2312" w:eastAsia="仿宋_GB2312" w:cs="宋体"/>
          <w:b w:val="0"/>
          <w:i w:val="0"/>
          <w:color w:val="000000"/>
          <w:sz w:val="31"/>
          <w:highlight w:val="none"/>
          <w:shd w:val="clear" w:color="auto" w:fill="FFFFFF"/>
          <w:lang w:eastAsia="zh-CN"/>
        </w:rPr>
        <w:t>了</w:t>
      </w:r>
      <w:r>
        <w:rPr>
          <w:rFonts w:hint="default" w:ascii="仿宋_GB2312" w:hAnsi="仿宋_GB2312" w:eastAsia="仿宋_GB2312" w:cs="宋体"/>
          <w:b w:val="0"/>
          <w:i w:val="0"/>
          <w:color w:val="000000"/>
          <w:sz w:val="31"/>
          <w:highlight w:val="none"/>
          <w:shd w:val="clear" w:color="auto" w:fill="FFFFFF"/>
          <w:lang w:val="en-US" w:eastAsia="zh-CN"/>
        </w:rPr>
        <w:t>财政资金使用效率，保障</w:t>
      </w:r>
      <w:r>
        <w:rPr>
          <w:rFonts w:hint="eastAsia" w:ascii="仿宋_GB2312" w:hAnsi="仿宋_GB2312" w:eastAsia="仿宋_GB2312" w:cs="宋体"/>
          <w:b w:val="0"/>
          <w:i w:val="0"/>
          <w:color w:val="000000"/>
          <w:sz w:val="31"/>
          <w:highlight w:val="none"/>
          <w:shd w:val="clear" w:color="auto" w:fill="FFFFFF"/>
          <w:lang w:val="en-US" w:eastAsia="zh-CN"/>
        </w:rPr>
        <w:t>单位</w:t>
      </w:r>
      <w:r>
        <w:rPr>
          <w:rFonts w:hint="default" w:ascii="仿宋_GB2312" w:hAnsi="仿宋_GB2312" w:eastAsia="仿宋_GB2312" w:cs="宋体"/>
          <w:b w:val="0"/>
          <w:i w:val="0"/>
          <w:color w:val="000000"/>
          <w:sz w:val="31"/>
          <w:highlight w:val="none"/>
          <w:shd w:val="clear" w:color="auto" w:fill="FFFFFF"/>
          <w:lang w:val="en-US" w:eastAsia="zh-CN"/>
        </w:rPr>
        <w:t>更好地履行职责。</w:t>
      </w:r>
      <w:r>
        <w:rPr>
          <w:rFonts w:hint="eastAsia" w:ascii="仿宋_GB2312" w:hAnsi="仿宋_GB2312" w:eastAsia="仿宋_GB2312" w:cs="宋体"/>
          <w:b w:val="0"/>
          <w:i w:val="0"/>
          <w:color w:val="000000"/>
          <w:sz w:val="31"/>
          <w:highlight w:val="none"/>
          <w:shd w:val="clear" w:color="auto" w:fill="FFFFFF"/>
          <w:lang w:val="en-US" w:eastAsia="zh-CN"/>
        </w:rPr>
        <w:t>单位整体绩效自评得分为96分，</w:t>
      </w:r>
      <w:r>
        <w:rPr>
          <w:rFonts w:hint="eastAsia" w:ascii="仿宋_GB2312" w:hAnsi="仿宋_GB2312" w:eastAsia="仿宋_GB2312" w:cs="仿宋_GB2312"/>
          <w:color w:val="auto"/>
          <w:sz w:val="32"/>
          <w:szCs w:val="32"/>
          <w:highlight w:val="none"/>
          <w:lang w:val="en-US" w:eastAsia="zh-CN"/>
        </w:rPr>
        <w:t>自评结果为“优”。二是项目绩效自评情况。我单位共有8个项目批复了绩效目标，项目金额1032.16万元。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97.08分。其中：8个项目评价等级全部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r>
        <w:rPr>
          <w:rFonts w:hint="default" w:ascii="仿宋_GB2312" w:hAnsi="仿宋_GB2312" w:eastAsia="仿宋_GB2312" w:cs="仿宋_GB2312"/>
          <w:color w:val="auto"/>
          <w:sz w:val="32"/>
          <w:szCs w:val="32"/>
          <w:highlight w:val="none"/>
          <w:lang w:val="en-US" w:eastAsia="zh-CN"/>
        </w:rPr>
        <w:t>。</w:t>
      </w: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b w:val="0"/>
          <w:bCs w:val="0"/>
          <w:kern w:val="2"/>
          <w:sz w:val="32"/>
          <w:szCs w:val="32"/>
          <w:lang w:val="en-US" w:eastAsia="zh-CN" w:bidi="ar"/>
        </w:rPr>
        <w:t>一、财政拨款收入：</w:t>
      </w:r>
      <w:r>
        <w:rPr>
          <w:rFonts w:hint="default" w:ascii="仿宋_GB2312" w:hAnsi="Times New Roman" w:eastAsia="仿宋_GB2312" w:cs="仿宋_GB2312"/>
          <w:kern w:val="2"/>
          <w:sz w:val="32"/>
          <w:szCs w:val="32"/>
          <w:lang w:val="en-US" w:eastAsia="zh-CN" w:bidi="ar"/>
        </w:rPr>
        <w:t>单位从同级政府财政部门取得的财政预算资金。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二、事业收入：事业单位开展专业业务活动及其辅助活动取得的收入。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三、上级补助收入：事业单位从主管部门和上级单位取得的非财政补助收入。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四、附属单位上缴收入：事业单位取得附属独立核算单位根据有关规定上缴的收入。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五、经营收入：事业单位在专业业务活动及其辅助活动之外开展非独立核算经营活动取得的收入。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六、其他收入：单位取得的除“财政拨款收入”、“事业收入”、“上级补助收入”、“附属单位上缴收入”、“经营收入”以外的各项收入。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八、基本支出：为保障机构正常运转、完成日常工作任务而发生的人员支出和公用支出。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九、项目支出：基本支出之外为完成特定行政任务和事业发展目标所发生的支出。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十三、商品和服务支出：单位购买商品和服务的支出。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十四、对个人和家庭的补助支出：单位用于对个人和家庭的补助支出。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MDBmM2U3OTRlNTI5YmU2N2U4MDYzOWFlYjcwMG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8D2851"/>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117305"/>
    <w:rsid w:val="02A3489A"/>
    <w:rsid w:val="02CA138D"/>
    <w:rsid w:val="02EA015D"/>
    <w:rsid w:val="033646FC"/>
    <w:rsid w:val="03C75F80"/>
    <w:rsid w:val="0478364D"/>
    <w:rsid w:val="053D4C0D"/>
    <w:rsid w:val="0557532E"/>
    <w:rsid w:val="078D1C71"/>
    <w:rsid w:val="0799329C"/>
    <w:rsid w:val="07C6595A"/>
    <w:rsid w:val="08397436"/>
    <w:rsid w:val="086F16A7"/>
    <w:rsid w:val="087E15BA"/>
    <w:rsid w:val="08C90A74"/>
    <w:rsid w:val="08F91D5D"/>
    <w:rsid w:val="094C7A90"/>
    <w:rsid w:val="0A0F7225"/>
    <w:rsid w:val="0A2B7D82"/>
    <w:rsid w:val="0ADC40E9"/>
    <w:rsid w:val="0AE607F4"/>
    <w:rsid w:val="0AE646CE"/>
    <w:rsid w:val="0B386127"/>
    <w:rsid w:val="0B451598"/>
    <w:rsid w:val="0BB16773"/>
    <w:rsid w:val="0BEC73F4"/>
    <w:rsid w:val="0C392698"/>
    <w:rsid w:val="0D941C45"/>
    <w:rsid w:val="0DF94435"/>
    <w:rsid w:val="0E881060"/>
    <w:rsid w:val="0ED5040F"/>
    <w:rsid w:val="0F2F3866"/>
    <w:rsid w:val="0F322E15"/>
    <w:rsid w:val="10BD36F6"/>
    <w:rsid w:val="10C038FD"/>
    <w:rsid w:val="10C922A7"/>
    <w:rsid w:val="115838A0"/>
    <w:rsid w:val="115E2D8D"/>
    <w:rsid w:val="11BF0649"/>
    <w:rsid w:val="11DE1076"/>
    <w:rsid w:val="123E3E08"/>
    <w:rsid w:val="12692140"/>
    <w:rsid w:val="133212F4"/>
    <w:rsid w:val="13894BC5"/>
    <w:rsid w:val="139A058C"/>
    <w:rsid w:val="13D22E22"/>
    <w:rsid w:val="14F67130"/>
    <w:rsid w:val="161C2DFF"/>
    <w:rsid w:val="16373578"/>
    <w:rsid w:val="16D3336B"/>
    <w:rsid w:val="17200028"/>
    <w:rsid w:val="17806C36"/>
    <w:rsid w:val="1798102B"/>
    <w:rsid w:val="17A74F62"/>
    <w:rsid w:val="18A47774"/>
    <w:rsid w:val="18C33244"/>
    <w:rsid w:val="19856C4C"/>
    <w:rsid w:val="19897288"/>
    <w:rsid w:val="1A056A0E"/>
    <w:rsid w:val="1A8D28EB"/>
    <w:rsid w:val="1A9F2D78"/>
    <w:rsid w:val="1AEA3993"/>
    <w:rsid w:val="1B2E6FD8"/>
    <w:rsid w:val="1B877D21"/>
    <w:rsid w:val="1C4319A9"/>
    <w:rsid w:val="1E443B4B"/>
    <w:rsid w:val="1E994F4A"/>
    <w:rsid w:val="1EA542D2"/>
    <w:rsid w:val="1EAF0224"/>
    <w:rsid w:val="1F2230A4"/>
    <w:rsid w:val="1FA5388F"/>
    <w:rsid w:val="1FB8468E"/>
    <w:rsid w:val="20210932"/>
    <w:rsid w:val="202448E0"/>
    <w:rsid w:val="209B3E3A"/>
    <w:rsid w:val="20CE532F"/>
    <w:rsid w:val="20F614FE"/>
    <w:rsid w:val="21302EEA"/>
    <w:rsid w:val="21575617"/>
    <w:rsid w:val="22376FB5"/>
    <w:rsid w:val="22CE2960"/>
    <w:rsid w:val="23E152D7"/>
    <w:rsid w:val="23EE2489"/>
    <w:rsid w:val="240F5A90"/>
    <w:rsid w:val="252512E3"/>
    <w:rsid w:val="255D43C8"/>
    <w:rsid w:val="26714EF8"/>
    <w:rsid w:val="26876BDD"/>
    <w:rsid w:val="26FE7019"/>
    <w:rsid w:val="2714632A"/>
    <w:rsid w:val="27541E73"/>
    <w:rsid w:val="278054C0"/>
    <w:rsid w:val="27B0539E"/>
    <w:rsid w:val="28555FF5"/>
    <w:rsid w:val="29365CF8"/>
    <w:rsid w:val="299469B3"/>
    <w:rsid w:val="2A805789"/>
    <w:rsid w:val="2AB8154B"/>
    <w:rsid w:val="2ADC0D75"/>
    <w:rsid w:val="2B4A0E52"/>
    <w:rsid w:val="2C975890"/>
    <w:rsid w:val="2CB00DB3"/>
    <w:rsid w:val="2DD613CD"/>
    <w:rsid w:val="2DEF21BB"/>
    <w:rsid w:val="2E431FEF"/>
    <w:rsid w:val="2E4A2F05"/>
    <w:rsid w:val="2ECC1061"/>
    <w:rsid w:val="2FA476AD"/>
    <w:rsid w:val="303F7540"/>
    <w:rsid w:val="30A24976"/>
    <w:rsid w:val="31DD00BF"/>
    <w:rsid w:val="323D010E"/>
    <w:rsid w:val="3293174C"/>
    <w:rsid w:val="32BB38D4"/>
    <w:rsid w:val="32C9376D"/>
    <w:rsid w:val="33780472"/>
    <w:rsid w:val="337863FE"/>
    <w:rsid w:val="33AF0905"/>
    <w:rsid w:val="33CE015B"/>
    <w:rsid w:val="350B37F7"/>
    <w:rsid w:val="355932F4"/>
    <w:rsid w:val="35611882"/>
    <w:rsid w:val="36746FC3"/>
    <w:rsid w:val="368763AE"/>
    <w:rsid w:val="37167E53"/>
    <w:rsid w:val="379B4BE2"/>
    <w:rsid w:val="387F1964"/>
    <w:rsid w:val="395D59E7"/>
    <w:rsid w:val="39A55182"/>
    <w:rsid w:val="39A93932"/>
    <w:rsid w:val="3A915562"/>
    <w:rsid w:val="3AE92F53"/>
    <w:rsid w:val="3B494436"/>
    <w:rsid w:val="3B8D4765"/>
    <w:rsid w:val="3B9C3C56"/>
    <w:rsid w:val="3C000DBA"/>
    <w:rsid w:val="3CC02CF1"/>
    <w:rsid w:val="3DC045D3"/>
    <w:rsid w:val="3E0944F2"/>
    <w:rsid w:val="3E504FFB"/>
    <w:rsid w:val="3E5F25B9"/>
    <w:rsid w:val="3E615CD0"/>
    <w:rsid w:val="3E9C47F6"/>
    <w:rsid w:val="3F8B0112"/>
    <w:rsid w:val="3FAB3095"/>
    <w:rsid w:val="3FC37E1E"/>
    <w:rsid w:val="3FE45947"/>
    <w:rsid w:val="40E70CDA"/>
    <w:rsid w:val="411F02F9"/>
    <w:rsid w:val="41242965"/>
    <w:rsid w:val="42A94EAA"/>
    <w:rsid w:val="435671EA"/>
    <w:rsid w:val="43C137F4"/>
    <w:rsid w:val="440809E9"/>
    <w:rsid w:val="442407A6"/>
    <w:rsid w:val="44805EA1"/>
    <w:rsid w:val="45710696"/>
    <w:rsid w:val="46142B1B"/>
    <w:rsid w:val="47004395"/>
    <w:rsid w:val="47A509C9"/>
    <w:rsid w:val="47E60DD0"/>
    <w:rsid w:val="48302B7E"/>
    <w:rsid w:val="48735039"/>
    <w:rsid w:val="48AC6F7E"/>
    <w:rsid w:val="48BE3DA1"/>
    <w:rsid w:val="492C684B"/>
    <w:rsid w:val="49500594"/>
    <w:rsid w:val="49C648B4"/>
    <w:rsid w:val="49E7604E"/>
    <w:rsid w:val="4BF67CDD"/>
    <w:rsid w:val="4C013655"/>
    <w:rsid w:val="4D173441"/>
    <w:rsid w:val="4D603DD6"/>
    <w:rsid w:val="4DCD46A9"/>
    <w:rsid w:val="4DE1199C"/>
    <w:rsid w:val="4E6B1499"/>
    <w:rsid w:val="4EBF010F"/>
    <w:rsid w:val="4F471EB0"/>
    <w:rsid w:val="4F86743F"/>
    <w:rsid w:val="51331326"/>
    <w:rsid w:val="51740A7F"/>
    <w:rsid w:val="51A5541E"/>
    <w:rsid w:val="51C96242"/>
    <w:rsid w:val="53906AE1"/>
    <w:rsid w:val="53F51F14"/>
    <w:rsid w:val="548D354D"/>
    <w:rsid w:val="54F46F60"/>
    <w:rsid w:val="5576443E"/>
    <w:rsid w:val="55A37BEA"/>
    <w:rsid w:val="55E8689E"/>
    <w:rsid w:val="56362CD2"/>
    <w:rsid w:val="56466840"/>
    <w:rsid w:val="5784687B"/>
    <w:rsid w:val="57846959"/>
    <w:rsid w:val="578E6A87"/>
    <w:rsid w:val="581C028A"/>
    <w:rsid w:val="5927189B"/>
    <w:rsid w:val="5A0344D1"/>
    <w:rsid w:val="5A8120B8"/>
    <w:rsid w:val="5AC2203A"/>
    <w:rsid w:val="5AF35E6C"/>
    <w:rsid w:val="5B2E43C0"/>
    <w:rsid w:val="5B3A6665"/>
    <w:rsid w:val="5CBB3334"/>
    <w:rsid w:val="5CDC2C39"/>
    <w:rsid w:val="5D115FAF"/>
    <w:rsid w:val="5E1C549F"/>
    <w:rsid w:val="5EC213BC"/>
    <w:rsid w:val="5F24793A"/>
    <w:rsid w:val="5F572A51"/>
    <w:rsid w:val="60D57568"/>
    <w:rsid w:val="62760AC4"/>
    <w:rsid w:val="62811722"/>
    <w:rsid w:val="62E75A72"/>
    <w:rsid w:val="64107E5B"/>
    <w:rsid w:val="64571880"/>
    <w:rsid w:val="64844F4F"/>
    <w:rsid w:val="649125B6"/>
    <w:rsid w:val="652F4C1A"/>
    <w:rsid w:val="659347FF"/>
    <w:rsid w:val="66614F3E"/>
    <w:rsid w:val="666D37F1"/>
    <w:rsid w:val="67087D8F"/>
    <w:rsid w:val="671F687E"/>
    <w:rsid w:val="676A48B4"/>
    <w:rsid w:val="67F415F8"/>
    <w:rsid w:val="682640D1"/>
    <w:rsid w:val="684B73E5"/>
    <w:rsid w:val="6996224A"/>
    <w:rsid w:val="6A047A2A"/>
    <w:rsid w:val="6C443FE4"/>
    <w:rsid w:val="6C526E1C"/>
    <w:rsid w:val="6CC2153D"/>
    <w:rsid w:val="6E9C129B"/>
    <w:rsid w:val="6EBD3CA6"/>
    <w:rsid w:val="6EFA59C1"/>
    <w:rsid w:val="6EFB7548"/>
    <w:rsid w:val="6F3831C3"/>
    <w:rsid w:val="6F8B71C1"/>
    <w:rsid w:val="6FDE7960"/>
    <w:rsid w:val="70753482"/>
    <w:rsid w:val="707B522A"/>
    <w:rsid w:val="7153511C"/>
    <w:rsid w:val="73194D05"/>
    <w:rsid w:val="739546D3"/>
    <w:rsid w:val="73A83B0E"/>
    <w:rsid w:val="744D3EF9"/>
    <w:rsid w:val="744D7ACC"/>
    <w:rsid w:val="74794411"/>
    <w:rsid w:val="75416724"/>
    <w:rsid w:val="75867C40"/>
    <w:rsid w:val="75B10B26"/>
    <w:rsid w:val="76432199"/>
    <w:rsid w:val="76F44829"/>
    <w:rsid w:val="77A267C0"/>
    <w:rsid w:val="78882278"/>
    <w:rsid w:val="78B118A6"/>
    <w:rsid w:val="79135044"/>
    <w:rsid w:val="797D32B9"/>
    <w:rsid w:val="79AE5508"/>
    <w:rsid w:val="79CB10A0"/>
    <w:rsid w:val="7A7D0F99"/>
    <w:rsid w:val="7B8FFB6B"/>
    <w:rsid w:val="7DEA0661"/>
    <w:rsid w:val="7E4A0E7C"/>
    <w:rsid w:val="7ECD6DCE"/>
    <w:rsid w:val="7EFD449D"/>
    <w:rsid w:val="7EFD4CFD"/>
    <w:rsid w:val="7F296BDB"/>
    <w:rsid w:val="7FA3076B"/>
    <w:rsid w:val="7FFFE99F"/>
    <w:rsid w:val="AFDF6D48"/>
    <w:rsid w:val="FE7E6C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9209</Words>
  <Characters>11897</Characters>
  <Lines>60</Lines>
  <Paragraphs>16</Paragraphs>
  <TotalTime>13</TotalTime>
  <ScaleCrop>false</ScaleCrop>
  <LinksUpToDate>false</LinksUpToDate>
  <CharactersWithSpaces>12202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Lenovo</cp:lastModifiedBy>
  <cp:lastPrinted>2023-02-16T06:41:00Z</cp:lastPrinted>
  <dcterms:modified xsi:type="dcterms:W3CDTF">2023-05-16T01:33:38Z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C22C01D0F9434DBD8DD449C1AF36975A</vt:lpwstr>
  </property>
</Properties>
</file>