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lang w:eastAsia="zh-CN"/>
        </w:rPr>
      </w:pPr>
      <w:r>
        <w:rPr>
          <w:rFonts w:hint="eastAsia" w:ascii="黑体" w:hAnsi="黑体" w:eastAsia="黑体" w:cs="黑体"/>
          <w:sz w:val="52"/>
          <w:szCs w:val="52"/>
          <w:highlight w:val="none"/>
          <w:lang w:val="en-US" w:eastAsia="zh-CN"/>
        </w:rPr>
        <w:t>许昌市医疗生育保险中心</w:t>
      </w:r>
      <w:r>
        <w:rPr>
          <w:rFonts w:hint="eastAsia" w:ascii="黑体" w:hAnsi="黑体" w:eastAsia="黑体" w:cs="黑体"/>
          <w:sz w:val="52"/>
          <w:szCs w:val="52"/>
          <w:highlight w:val="none"/>
          <w:lang w:eastAsia="zh-CN"/>
        </w:rPr>
        <w:t>单位决算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许昌市医疗生育保险中心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val="en-US"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单位决算</w:t>
      </w:r>
      <w:r>
        <w:rPr>
          <w:rFonts w:hint="eastAsia" w:ascii="黑体" w:hAnsi="黑体" w:eastAsia="黑体" w:cs="黑体"/>
          <w:sz w:val="32"/>
          <w:szCs w:val="32"/>
          <w:highlight w:val="none"/>
        </w:rPr>
        <w:t>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许昌市医疗生育保险         中心</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val="en-US" w:eastAsia="zh-CN"/>
        </w:rPr>
        <w:t>单位</w:t>
      </w:r>
      <w:r>
        <w:rPr>
          <w:rFonts w:hint="eastAsia" w:ascii="黑体" w:hAnsi="黑体" w:eastAsia="黑体" w:cs="黑体"/>
          <w:bCs/>
          <w:sz w:val="32"/>
          <w:szCs w:val="32"/>
          <w:highlight w:val="none"/>
        </w:rPr>
        <w:t>职责</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楷体_GB2312" w:hAnsi="楷体_GB2312" w:eastAsia="楷体_GB2312" w:cs="楷体_GB2312"/>
          <w:b w:val="0"/>
          <w:bCs w:val="0"/>
          <w:sz w:val="32"/>
          <w:szCs w:val="32"/>
          <w:lang w:eastAsia="zh-CN"/>
        </w:rPr>
      </w:pPr>
      <w:r>
        <w:rPr>
          <w:rFonts w:hint="eastAsia" w:ascii="仿宋_GB2312" w:hAnsi="宋体" w:eastAsia="仿宋_GB2312" w:cs="宋体"/>
          <w:kern w:val="0"/>
          <w:sz w:val="32"/>
          <w:szCs w:val="32"/>
          <w:lang w:eastAsia="zh-CN"/>
        </w:rPr>
        <w:t>我单位的主要职责是：</w:t>
      </w:r>
      <w:r>
        <w:rPr>
          <w:rFonts w:hint="eastAsia" w:ascii="仿宋_GB2312" w:hAnsi="仿宋_GB2312" w:eastAsia="仿宋_GB2312" w:cs="仿宋_GB2312"/>
          <w:color w:val="auto"/>
          <w:kern w:val="0"/>
          <w:sz w:val="32"/>
          <w:szCs w:val="32"/>
          <w:highlight w:val="none"/>
          <w:lang w:val="en-US" w:eastAsia="zh-CN"/>
        </w:rPr>
        <w:t>为城镇职工提供基本医疗保险和生育保险服务。市直统筹单位基本医疗保险、生育保险与医疗保障经办服务；定点医疗机构与参保人员待遇情况监管；医保基金欺诈欺骗线索受理与核查。</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许昌市医疗生育保险中心内设机构10个，包括：办公室、基金管理科、异地就医管理科、住院待遇保障科、门诊待遇保障科、城乡居民医疗保障科、统计分析科、稽核科、综合管理科、参保登记科。   </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从决算单位构成看，许昌市医疗生育保险中心单位决算包括：本级决算（1个）。</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color w:val="auto"/>
          <w:kern w:val="0"/>
          <w:sz w:val="32"/>
          <w:szCs w:val="32"/>
          <w:highlight w:val="none"/>
          <w:lang w:val="en-US" w:eastAsia="zh-CN"/>
        </w:rPr>
        <w:t>1.许昌市医疗生育保险中心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p>
      <w:pPr>
        <w:rPr>
          <w:rFonts w:hint="eastAsia" w:ascii="仿宋_GB2312" w:hAnsi="仿宋_GB2312" w:eastAsia="仿宋_GB2312" w:cs="仿宋_GB2312"/>
          <w:sz w:val="32"/>
          <w:szCs w:val="32"/>
          <w:highlight w:val="none"/>
        </w:rPr>
      </w:pPr>
    </w:p>
    <w:tbl>
      <w:tblPr>
        <w:tblStyle w:val="8"/>
        <w:tblW w:w="132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08"/>
        <w:gridCol w:w="844"/>
        <w:gridCol w:w="1127"/>
        <w:gridCol w:w="4525"/>
        <w:gridCol w:w="844"/>
        <w:gridCol w:w="11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275"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pPr w:leftFromText="180" w:rightFromText="180" w:vertAnchor="text" w:horzAnchor="page" w:tblpX="1516" w:tblpY="34"/>
        <w:tblOverlap w:val="never"/>
        <w:tblW w:w="139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53"/>
        <w:gridCol w:w="1464"/>
        <w:gridCol w:w="1566"/>
        <w:gridCol w:w="1005"/>
        <w:gridCol w:w="1005"/>
        <w:gridCol w:w="1005"/>
        <w:gridCol w:w="1005"/>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998"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4953"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464"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5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8"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404"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1566"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0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018"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6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56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00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00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4953"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5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953"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6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6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0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64"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6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0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0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40"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554.89</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554.89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260.93</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43.27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15.29</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291.27</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291.27</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262.33</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4953"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医疗保障经办事务</w:t>
            </w:r>
          </w:p>
        </w:tc>
        <w:tc>
          <w:tcPr>
            <w:tcW w:w="1464"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262.33</w:t>
            </w:r>
          </w:p>
        </w:tc>
        <w:tc>
          <w:tcPr>
            <w:tcW w:w="156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262.33</w:t>
            </w: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0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8"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本年度取得的各项收入情况。本表金额转换为万元时，因四舍五入可能存在尾差。</w:t>
            </w:r>
          </w:p>
        </w:tc>
      </w:tr>
    </w:tbl>
    <w:tbl>
      <w:tblPr>
        <w:tblStyle w:val="8"/>
        <w:tblpPr w:leftFromText="180" w:rightFromText="180" w:vertAnchor="text" w:horzAnchor="page" w:tblpX="1786" w:tblpY="-83"/>
        <w:tblOverlap w:val="never"/>
        <w:tblW w:w="13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007"/>
        <w:gridCol w:w="1697"/>
        <w:gridCol w:w="1697"/>
        <w:gridCol w:w="1035"/>
        <w:gridCol w:w="1035"/>
        <w:gridCol w:w="1035"/>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364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29" w:type="dxa"/>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9"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500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69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2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7691" w:type="dxa"/>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1697"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1035" w:type="dxa"/>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3221" w:type="dxa"/>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9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9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03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151"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5007"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007"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69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3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1"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3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51"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99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602.61</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602.61</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45.82</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45.82</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5007"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医疗保障经办事务</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169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03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151"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4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本年度各项支出情况。本表金额转换为万元时，因四舍五入可能存在尾差。</w:t>
            </w:r>
          </w:p>
        </w:tc>
      </w:tr>
    </w:tbl>
    <w:p>
      <w:pPr>
        <w:rPr>
          <w:rFonts w:hint="eastAsia" w:ascii="仿宋_GB2312" w:hAnsi="仿宋_GB2312" w:eastAsia="仿宋_GB2312" w:cs="仿宋_GB2312"/>
          <w:sz w:val="32"/>
          <w:szCs w:val="32"/>
          <w:highlight w:val="none"/>
        </w:rPr>
      </w:pPr>
    </w:p>
    <w:tbl>
      <w:tblPr>
        <w:tblStyle w:val="8"/>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62"/>
        <w:gridCol w:w="566"/>
        <w:gridCol w:w="1101"/>
        <w:gridCol w:w="3970"/>
        <w:gridCol w:w="566"/>
        <w:gridCol w:w="986"/>
        <w:gridCol w:w="1194"/>
        <w:gridCol w:w="870"/>
        <w:gridCol w:w="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63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3"/>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30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5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2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07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5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47.72</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63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531" w:left="1440" w:header="720" w:footer="720" w:gutter="0"/>
          <w:pgNumType w:fmt="numberInDash"/>
          <w:cols w:space="720" w:num="1"/>
          <w:docGrid w:type="lines" w:linePitch="312" w:charSpace="0"/>
        </w:sectPr>
      </w:pPr>
    </w:p>
    <w:tbl>
      <w:tblPr>
        <w:tblStyle w:val="8"/>
        <w:tblW w:w="12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5303"/>
        <w:gridCol w:w="2099"/>
        <w:gridCol w:w="2099"/>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195"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602.61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217.67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45.82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行政单位离退休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医疗保障经办事务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531" w:left="1984" w:header="720" w:footer="720" w:gutter="0"/>
          <w:pgNumType w:fmt="numberInDash"/>
          <w:cols w:space="720" w:num="1"/>
          <w:docGrid w:type="lines" w:linePitch="312" w:charSpace="0"/>
        </w:sectPr>
      </w:pPr>
    </w:p>
    <w:tbl>
      <w:tblPr>
        <w:tblStyle w:val="8"/>
        <w:tblW w:w="137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6"/>
        <w:gridCol w:w="3216"/>
        <w:gridCol w:w="816"/>
        <w:gridCol w:w="716"/>
        <w:gridCol w:w="2216"/>
        <w:gridCol w:w="716"/>
        <w:gridCol w:w="716"/>
        <w:gridCol w:w="4016"/>
        <w:gridCol w:w="7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78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w:t>
            </w:r>
            <w:r>
              <w:rPr>
                <w:rFonts w:hint="eastAsia" w:ascii="宋体" w:hAnsi="宋体" w:cs="宋体"/>
                <w:i w:val="0"/>
                <w:iCs w:val="0"/>
                <w:color w:val="000000"/>
                <w:kern w:val="0"/>
                <w:sz w:val="30"/>
                <w:szCs w:val="30"/>
                <w:u w:val="none"/>
                <w:lang w:val="en-US" w:eastAsia="zh-CN" w:bidi="ar"/>
              </w:rPr>
              <w:t>明细</w:t>
            </w:r>
            <w:r>
              <w:rPr>
                <w:rFonts w:hint="eastAsia" w:ascii="宋体" w:hAnsi="宋体" w:eastAsia="宋体" w:cs="宋体"/>
                <w:i w:val="0"/>
                <w:iCs w:val="0"/>
                <w:color w:val="000000"/>
                <w:kern w:val="0"/>
                <w:sz w:val="30"/>
                <w:szCs w:val="3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9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1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14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22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0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9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1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4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22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130.35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219.70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84.89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34.28</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547.85</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0"/>
        <w:gridCol w:w="1110"/>
        <w:gridCol w:w="1110"/>
        <w:gridCol w:w="1110"/>
        <w:gridCol w:w="1110"/>
        <w:gridCol w:w="1110"/>
        <w:gridCol w:w="1110"/>
        <w:gridCol w:w="1110"/>
        <w:gridCol w:w="1110"/>
        <w:gridCol w:w="1110"/>
        <w:gridCol w:w="1110"/>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32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66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66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33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1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1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1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1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32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332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8"/>
        <w:tblW w:w="131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4"/>
        <w:gridCol w:w="384"/>
        <w:gridCol w:w="384"/>
        <w:gridCol w:w="1899"/>
        <w:gridCol w:w="1690"/>
        <w:gridCol w:w="1690"/>
        <w:gridCol w:w="1690"/>
        <w:gridCol w:w="1690"/>
        <w:gridCol w:w="1690"/>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155"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：许昌市医疗生育保险中心</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说明：我部</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有政府性基金收入，也没有使用政府性基金安排的支出，故本表无数</w:t>
            </w:r>
            <w:r>
              <w:rPr>
                <w:rFonts w:hint="eastAsia" w:ascii="宋体" w:hAnsi="宋体" w:cs="宋体"/>
                <w:i w:val="0"/>
                <w:iCs w:val="0"/>
                <w:color w:val="000000"/>
                <w:kern w:val="0"/>
                <w:sz w:val="22"/>
                <w:szCs w:val="22"/>
                <w:u w:val="none"/>
                <w:lang w:val="en-US" w:eastAsia="zh-CN" w:bidi="ar"/>
              </w:rPr>
              <w:t>据</w:t>
            </w:r>
            <w:r>
              <w:rPr>
                <w:rFonts w:hint="eastAsia" w:ascii="宋体" w:hAnsi="宋体" w:eastAsia="宋体" w:cs="宋体"/>
                <w:i w:val="0"/>
                <w:iCs w:val="0"/>
                <w:color w:val="000000"/>
                <w:kern w:val="0"/>
                <w:sz w:val="22"/>
                <w:szCs w:val="22"/>
                <w:u w:val="none"/>
                <w:lang w:val="en-US" w:eastAsia="zh-CN" w:bidi="ar"/>
              </w:rPr>
              <w:t>。</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jc w:val="both"/>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单位决算</w:t>
      </w:r>
      <w:r>
        <w:rPr>
          <w:rFonts w:hint="eastAsia" w:ascii="黑体" w:hAnsi="黑体" w:eastAsia="黑体" w:cs="黑体"/>
          <w:sz w:val="48"/>
          <w:szCs w:val="48"/>
          <w:highlight w:val="none"/>
        </w:rPr>
        <w:t>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sz w:val="32"/>
        </w:rPr>
        <w:t>2021年度收、支总计均为602.61万元。与上年度相比，收、支总计各减少10.74万元，下降1.75%。主要原因是认真贯彻执行党中央、国务院厉行节约精神，从严从紧控制经费支出</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减少当年人员及公用经费支出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sz w:val="32"/>
          <w:szCs w:val="32"/>
          <w:highlight w:val="none"/>
        </w:rPr>
      </w:pPr>
      <w:r>
        <w:rPr>
          <w:rFonts w:hint="eastAsia" w:ascii="仿宋_GB2312" w:hAnsi="仿宋_GB2312" w:eastAsia="仿宋_GB2312"/>
          <w:sz w:val="32"/>
          <w:lang w:val="en-US"/>
        </w:rPr>
        <w:t>2021年度收入合计554.89万元，其中：财政拨款收入554.89万元，占100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%；上级补助收入0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万元；事业收入0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万元；经营收入0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万元；附属单位上缴收入0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万元；其他收入0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keepNext w:val="0"/>
        <w:keepLines w:val="0"/>
        <w:pageBreakBefore w:val="0"/>
        <w:kinsoku/>
        <w:wordWrap/>
        <w:overflowPunct/>
        <w:topLinePunct w:val="0"/>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2021年度支出合计602.61万元，其中：基本支出602.61万元，占</w:t>
      </w:r>
      <w:r>
        <w:rPr>
          <w:rFonts w:hint="eastAsia" w:ascii="仿宋_GB2312" w:hAnsi="仿宋_GB2312" w:eastAsia="仿宋_GB2312"/>
          <w:sz w:val="32"/>
          <w:lang w:val="en-US" w:eastAsia="zh-CN"/>
        </w:rPr>
        <w:t>100.00</w:t>
      </w:r>
      <w:r>
        <w:rPr>
          <w:rFonts w:hint="eastAsia" w:ascii="仿宋_GB2312" w:hAnsi="仿宋_GB2312" w:eastAsia="仿宋_GB2312"/>
          <w:sz w:val="32"/>
          <w:lang w:val="en-US"/>
        </w:rPr>
        <w:t>%；项目支出</w:t>
      </w:r>
      <w:r>
        <w:rPr>
          <w:rFonts w:hint="eastAsia" w:ascii="仿宋_GB2312" w:hAnsi="仿宋_GB2312" w:eastAsia="仿宋_GB2312"/>
          <w:sz w:val="32"/>
          <w:lang w:val="en-US" w:eastAsia="zh-CN"/>
        </w:rPr>
        <w:t>0.00</w:t>
      </w:r>
      <w:r>
        <w:rPr>
          <w:rFonts w:hint="eastAsia" w:ascii="仿宋_GB2312" w:hAnsi="仿宋_GB2312" w:eastAsia="仿宋_GB2312"/>
          <w:sz w:val="32"/>
          <w:lang w:val="en-US"/>
        </w:rPr>
        <w:t>万元；上缴上级支出0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万元；经营支出0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万元；对附属单位补助支出0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2021年度财政拨款收、支总计均为602.61万元。与上年度相比，财政拨款收、支总计各减少10.74万元，下降1.75%。主要原因是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减少当年人员及公用经费支出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2021年度一般公共预算财政拨款支出602.61万元，占支出合计的100%。与上年度相比，一般公共预算财政拨款支出增加47.74万元，增长8.6</w:t>
      </w:r>
      <w:r>
        <w:rPr>
          <w:rFonts w:hint="eastAsia" w:ascii="仿宋_GB2312" w:hAnsi="仿宋_GB2312" w:eastAsia="仿宋_GB2312"/>
          <w:sz w:val="32"/>
          <w:lang w:val="en-US" w:eastAsia="zh-CN"/>
        </w:rPr>
        <w:t>0</w:t>
      </w:r>
      <w:r>
        <w:rPr>
          <w:rFonts w:hint="eastAsia" w:ascii="仿宋_GB2312" w:hAnsi="仿宋_GB2312" w:eastAsia="仿宋_GB2312"/>
          <w:sz w:val="32"/>
          <w:lang w:val="en-US"/>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人员增资导致</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2021年度一般公共预算财政拨款支出602.61万元，主要用于以下方面：一般公共服务支出（类）支出</w:t>
      </w:r>
      <w:r>
        <w:rPr>
          <w:rFonts w:hint="eastAsia" w:ascii="仿宋_GB2312" w:hAnsi="仿宋_GB2312" w:eastAsia="仿宋_GB2312"/>
          <w:sz w:val="32"/>
          <w:lang w:val="en-US" w:eastAsia="zh-CN"/>
        </w:rPr>
        <w:t>2.69</w:t>
      </w:r>
      <w:r>
        <w:rPr>
          <w:rFonts w:hint="eastAsia" w:ascii="仿宋_GB2312" w:hAnsi="仿宋_GB2312" w:eastAsia="仿宋_GB2312"/>
          <w:sz w:val="32"/>
          <w:lang w:val="en-US"/>
        </w:rPr>
        <w:t>万元，占</w:t>
      </w:r>
      <w:r>
        <w:rPr>
          <w:rFonts w:hint="eastAsia" w:ascii="仿宋_GB2312" w:hAnsi="仿宋_GB2312" w:eastAsia="仿宋_GB2312"/>
          <w:sz w:val="32"/>
          <w:lang w:val="en-US" w:eastAsia="zh-CN"/>
        </w:rPr>
        <w:t>0.45</w:t>
      </w:r>
      <w:r>
        <w:rPr>
          <w:rFonts w:hint="eastAsia" w:ascii="仿宋_GB2312" w:hAnsi="仿宋_GB2312" w:eastAsia="仿宋_GB2312"/>
          <w:sz w:val="32"/>
          <w:lang w:val="en-US"/>
        </w:rPr>
        <w:t>%；社会保障和就业支出（类）支出</w:t>
      </w:r>
      <w:r>
        <w:rPr>
          <w:rFonts w:hint="eastAsia" w:ascii="仿宋_GB2312" w:hAnsi="仿宋_GB2312" w:eastAsia="仿宋_GB2312"/>
          <w:sz w:val="32"/>
          <w:lang w:val="en-US" w:eastAsia="zh-CN"/>
        </w:rPr>
        <w:t>263.48</w:t>
      </w:r>
      <w:r>
        <w:rPr>
          <w:rFonts w:hint="eastAsia" w:ascii="仿宋_GB2312" w:hAnsi="仿宋_GB2312" w:eastAsia="仿宋_GB2312"/>
          <w:sz w:val="32"/>
          <w:lang w:val="en-US"/>
        </w:rPr>
        <w:t>万元，占</w:t>
      </w:r>
      <w:r>
        <w:rPr>
          <w:rFonts w:hint="eastAsia" w:ascii="仿宋_GB2312" w:hAnsi="仿宋_GB2312" w:eastAsia="仿宋_GB2312"/>
          <w:sz w:val="32"/>
          <w:lang w:val="en-US" w:eastAsia="zh-CN"/>
        </w:rPr>
        <w:t>43.72</w:t>
      </w:r>
      <w:r>
        <w:rPr>
          <w:rFonts w:hint="eastAsia" w:ascii="仿宋_GB2312" w:hAnsi="仿宋_GB2312" w:eastAsia="仿宋_GB2312"/>
          <w:sz w:val="32"/>
          <w:lang w:val="en-US"/>
        </w:rPr>
        <w:t>%</w:t>
      </w:r>
      <w:r>
        <w:rPr>
          <w:rFonts w:hint="eastAsia" w:ascii="仿宋_GB2312" w:hAnsi="仿宋_GB2312" w:eastAsia="仿宋_GB2312"/>
          <w:sz w:val="32"/>
          <w:lang w:val="en-US" w:eastAsia="zh-CN"/>
        </w:rPr>
        <w:t>；卫生健康支出（类）支出336.44万元，占55.83%</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2021年度一般公共预算财政拨款支出年初预算为602.61万元，支出决算为602.61万元，完成年初预算的</w:t>
      </w:r>
      <w:r>
        <w:rPr>
          <w:rFonts w:hint="eastAsia" w:ascii="仿宋_GB2312" w:hAnsi="仿宋_GB2312" w:eastAsia="仿宋_GB2312"/>
          <w:sz w:val="32"/>
          <w:lang w:val="en-US" w:eastAsia="zh-CN"/>
        </w:rPr>
        <w:t>100.00</w:t>
      </w:r>
      <w:r>
        <w:rPr>
          <w:rFonts w:hint="eastAsia" w:ascii="仿宋_GB2312" w:hAnsi="仿宋_GB2312" w:eastAsia="仿宋_GB2312"/>
          <w:sz w:val="32"/>
          <w:lang w:val="en-US"/>
        </w:rPr>
        <w:t>%。</w:t>
      </w:r>
      <w:r>
        <w:rPr>
          <w:rFonts w:hint="eastAsia" w:ascii="仿宋_GB2312" w:hAnsi="仿宋_GB2312" w:eastAsia="仿宋_GB2312" w:cs="仿宋_GB2312"/>
          <w:sz w:val="32"/>
          <w:szCs w:val="32"/>
          <w:highlight w:val="none"/>
        </w:rPr>
        <w:t>其中：</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rPr>
        <w:t>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2.69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sz w:val="32"/>
          <w:szCs w:val="32"/>
        </w:rPr>
        <w:t>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社会保障和就业支出（类）人力资源和社会保障管理事务（款）行政运行（项）。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217.67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217.67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sz w:val="32"/>
          <w:szCs w:val="32"/>
        </w:rPr>
        <w:t>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．社会保障和就业支出（类）行政事业单位养老支出（款）行政单位离退休（项）。</w:t>
      </w:r>
      <w:r>
        <w:rPr>
          <w:rFonts w:hint="eastAsia" w:ascii="仿宋_GB2312" w:hAnsi="仿宋_GB2312" w:eastAsia="仿宋_GB2312" w:cs="仿宋_GB2312"/>
          <w:sz w:val="32"/>
          <w:szCs w:val="32"/>
          <w:highlight w:val="none"/>
        </w:rPr>
        <w:t>年初</w:t>
      </w:r>
      <w:r>
        <w:rPr>
          <w:rFonts w:hint="eastAsia" w:ascii="仿宋_GB2312" w:hAnsi="仿宋_GB2312" w:eastAsia="仿宋_GB2312" w:cs="仿宋_GB2312"/>
          <w:sz w:val="32"/>
          <w:szCs w:val="32"/>
        </w:rPr>
        <w:t>预算为</w:t>
      </w:r>
      <w:r>
        <w:rPr>
          <w:rFonts w:hint="eastAsia" w:ascii="仿宋_GB2312" w:hAnsi="仿宋_GB2312" w:eastAsia="仿宋_GB2312" w:cs="仿宋_GB2312"/>
          <w:sz w:val="32"/>
          <w:szCs w:val="32"/>
          <w:lang w:val="en-US" w:eastAsia="zh-CN"/>
        </w:rPr>
        <w:t>17.84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17.84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sz w:val="32"/>
          <w:szCs w:val="32"/>
        </w:rPr>
        <w:t>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rPr>
        <w:t>社会保障和就业支出（类）行政事业单位养老支出（款）机关事业单位基本养老保险缴费支出（项）。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27.98</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27.98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完</w:t>
      </w:r>
      <w:r>
        <w:rPr>
          <w:rFonts w:hint="eastAsia" w:ascii="仿宋_GB2312" w:hAnsi="仿宋_GB2312" w:eastAsia="仿宋_GB2312" w:cs="仿宋_GB2312"/>
          <w:sz w:val="32"/>
          <w:szCs w:val="32"/>
        </w:rPr>
        <w:t>成年初预算的</w:t>
      </w:r>
      <w:r>
        <w:rPr>
          <w:rFonts w:hint="eastAsia" w:ascii="仿宋_GB2312" w:hAnsi="仿宋_GB2312" w:eastAsia="仿宋_GB2312" w:cs="仿宋_GB2312"/>
          <w:sz w:val="32"/>
          <w:szCs w:val="32"/>
          <w:lang w:val="en-US" w:eastAsia="zh-CN"/>
        </w:rPr>
        <w:t>100.00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卫生健康（类）行政事业单位医疗（款）行政单位医疗（项）。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15.21</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15.21</w:t>
      </w:r>
      <w:r>
        <w:rPr>
          <w:rFonts w:hint="eastAsia" w:ascii="仿宋_GB2312" w:hAnsi="仿宋_GB2312" w:eastAsia="仿宋_GB2312" w:cs="仿宋_GB2312"/>
          <w:sz w:val="32"/>
          <w:szCs w:val="32"/>
        </w:rPr>
        <w:t>万元，完成年初预算的100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卫生健康（类）行政事业单位医疗（款）公务员医疗补助（项）。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13.72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13.72</w:t>
      </w:r>
      <w:r>
        <w:rPr>
          <w:rFonts w:hint="eastAsia" w:ascii="仿宋_GB2312" w:hAnsi="仿宋_GB2312" w:eastAsia="仿宋_GB2312" w:cs="仿宋_GB2312"/>
          <w:sz w:val="32"/>
          <w:szCs w:val="32"/>
        </w:rPr>
        <w:t>万元，完成年初预算的100</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7.卫生健康（类）医疗保障管理事务（款）医疗保障经办事务（项）。</w:t>
      </w:r>
      <w:r>
        <w:rPr>
          <w:rFonts w:hint="eastAsia" w:ascii="仿宋_GB2312" w:hAnsi="仿宋_GB2312" w:eastAsia="仿宋_GB2312" w:cs="仿宋_GB2312"/>
          <w:b w:val="0"/>
          <w:bCs w:val="0"/>
          <w:sz w:val="32"/>
          <w:szCs w:val="32"/>
          <w:lang w:val="en-US" w:eastAsia="zh-CN"/>
        </w:rPr>
        <w:t>年初预算为307.51万元，支出决算为307.51万元，完成年初预算的100.00%。决算数与年初预算数不存在差异。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2021年度一般公共预算财政拨款基本支出</w:t>
      </w:r>
      <w:r>
        <w:rPr>
          <w:rFonts w:hint="eastAsia" w:ascii="仿宋_GB2312" w:hAnsi="仿宋_GB2312" w:eastAsia="仿宋_GB2312"/>
          <w:sz w:val="32"/>
          <w:lang w:val="en-US" w:eastAsia="zh-CN"/>
        </w:rPr>
        <w:t>602.61</w:t>
      </w:r>
      <w:r>
        <w:rPr>
          <w:rFonts w:hint="eastAsia" w:ascii="仿宋_GB2312" w:hAnsi="仿宋_GB2312" w:eastAsia="仿宋_GB2312"/>
          <w:sz w:val="32"/>
          <w:lang w:val="en-US"/>
        </w:rPr>
        <w:t>万元。其中：人员经费</w:t>
      </w:r>
      <w:r>
        <w:rPr>
          <w:rFonts w:hint="eastAsia" w:ascii="仿宋_GB2312" w:hAnsi="仿宋_GB2312" w:eastAsia="仿宋_GB2312"/>
          <w:sz w:val="32"/>
          <w:lang w:val="en-US" w:eastAsia="zh-CN"/>
        </w:rPr>
        <w:t>547.85</w:t>
      </w:r>
      <w:r>
        <w:rPr>
          <w:rFonts w:hint="eastAsia" w:ascii="仿宋_GB2312" w:hAnsi="仿宋_GB2312" w:eastAsia="仿宋_GB2312"/>
          <w:sz w:val="32"/>
          <w:lang w:val="en-US"/>
        </w:rPr>
        <w:t>万元，主要包括：基</w:t>
      </w:r>
      <w:r>
        <w:rPr>
          <w:rFonts w:hint="eastAsia" w:ascii="仿宋_GB2312" w:hAnsi="仿宋_GB2312" w:eastAsia="仿宋_GB2312"/>
          <w:sz w:val="32"/>
          <w:highlight w:val="none"/>
          <w:lang w:val="en-US"/>
        </w:rPr>
        <w:t>本工资、津贴补</w:t>
      </w:r>
      <w:r>
        <w:rPr>
          <w:rFonts w:hint="eastAsia" w:ascii="仿宋_GB2312" w:hAnsi="仿宋_GB2312" w:eastAsia="仿宋_GB2312"/>
          <w:sz w:val="32"/>
          <w:lang w:val="en-US"/>
        </w:rPr>
        <w:t>贴、</w:t>
      </w:r>
      <w:r>
        <w:rPr>
          <w:rFonts w:hint="eastAsia" w:ascii="仿宋_GB2312" w:hAnsi="仿宋_GB2312" w:eastAsia="仿宋_GB2312"/>
          <w:sz w:val="32"/>
          <w:lang w:val="en-US" w:eastAsia="zh-CN"/>
        </w:rPr>
        <w:t>奖金、</w:t>
      </w:r>
      <w:r>
        <w:rPr>
          <w:rFonts w:hint="eastAsia" w:ascii="仿宋_GB2312" w:hAnsi="仿宋_GB2312" w:eastAsia="仿宋_GB2312"/>
          <w:sz w:val="32"/>
          <w:lang w:val="en-US"/>
        </w:rPr>
        <w:t>机关事业单位基本养老保险缴费、</w:t>
      </w:r>
      <w:r>
        <w:rPr>
          <w:rFonts w:hint="eastAsia" w:ascii="仿宋_GB2312" w:hAnsi="仿宋_GB2312" w:eastAsia="仿宋_GB2312"/>
          <w:sz w:val="32"/>
          <w:lang w:val="en-US" w:eastAsia="zh-CN"/>
        </w:rPr>
        <w:t>职工基本医疗保险缴费、公务员医疗补助缴费、</w:t>
      </w:r>
      <w:r>
        <w:rPr>
          <w:rFonts w:hint="eastAsia" w:ascii="仿宋_GB2312" w:hAnsi="仿宋_GB2312" w:eastAsia="仿宋_GB2312"/>
          <w:sz w:val="32"/>
          <w:lang w:val="en-US"/>
        </w:rPr>
        <w:t>其他社会保障缴费、</w:t>
      </w:r>
      <w:r>
        <w:rPr>
          <w:rFonts w:hint="eastAsia" w:ascii="仿宋_GB2312" w:hAnsi="仿宋_GB2312" w:eastAsia="仿宋_GB2312"/>
          <w:sz w:val="32"/>
          <w:lang w:val="en-US" w:eastAsia="zh-CN"/>
        </w:rPr>
        <w:t>住房公积金、</w:t>
      </w:r>
      <w:r>
        <w:rPr>
          <w:rFonts w:hint="eastAsia" w:ascii="仿宋_GB2312" w:hAnsi="仿宋_GB2312" w:eastAsia="仿宋_GB2312"/>
          <w:sz w:val="32"/>
          <w:lang w:val="en-US"/>
        </w:rPr>
        <w:t>其他工资福利支出、退休费；公用经费</w:t>
      </w:r>
      <w:r>
        <w:rPr>
          <w:rFonts w:hint="eastAsia" w:ascii="仿宋_GB2312" w:hAnsi="仿宋_GB2312" w:eastAsia="仿宋_GB2312"/>
          <w:sz w:val="32"/>
          <w:lang w:val="en-US" w:eastAsia="zh-CN"/>
        </w:rPr>
        <w:t>54.76</w:t>
      </w:r>
      <w:r>
        <w:rPr>
          <w:rFonts w:hint="eastAsia" w:ascii="仿宋_GB2312" w:hAnsi="仿宋_GB2312" w:eastAsia="仿宋_GB2312"/>
          <w:sz w:val="32"/>
          <w:lang w:val="en-US"/>
        </w:rPr>
        <w:t>万元，主要包括：办公费、印刷费、邮电费、差旅费、维修（护）费、公务接待费、劳务费、工会经费、其他交通费用、其他商品和服务支出</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lang w:val="en-US"/>
        </w:rPr>
        <w:t>2021年度“三公”经费财政拨款支出预算为8.25万元，支出决算为0.07万元，完成预算的0.85%。2021年度“三公”经费支出决算数与预算数存在差异的主要原因是</w:t>
      </w:r>
      <w:r>
        <w:rPr>
          <w:rFonts w:hint="eastAsia" w:ascii="仿宋_GB2312" w:hAnsi="仿宋_GB2312" w:eastAsia="仿宋_GB2312" w:cs="仿宋_GB2312"/>
          <w:sz w:val="32"/>
          <w:szCs w:val="32"/>
        </w:rPr>
        <w:t>认真贯彻执行党中央、国务院厉行节约精神，从严从紧控制经费支出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减少当年接待批次</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w:t>
      </w:r>
      <w:r>
        <w:rPr>
          <w:rFonts w:hint="default" w:ascii="Times New Roman" w:hAnsi="Times New Roman" w:eastAsia="Times New Roman"/>
          <w:sz w:val="32"/>
          <w:lang w:val="en-US"/>
        </w:rPr>
        <w:t>“</w:t>
      </w:r>
      <w:r>
        <w:rPr>
          <w:rFonts w:hint="eastAsia" w:ascii="仿宋_GB2312" w:hAnsi="仿宋_GB2312" w:eastAsia="仿宋_GB2312"/>
          <w:sz w:val="32"/>
          <w:lang w:val="en-US"/>
        </w:rPr>
        <w:t>三公</w:t>
      </w:r>
      <w:r>
        <w:rPr>
          <w:rFonts w:hint="default" w:ascii="Times New Roman" w:hAnsi="Times New Roman" w:eastAsia="Times New Roman"/>
          <w:sz w:val="32"/>
          <w:lang w:val="en-US"/>
        </w:rPr>
        <w:t>”</w:t>
      </w:r>
      <w:r>
        <w:rPr>
          <w:rFonts w:hint="eastAsia" w:ascii="仿宋_GB2312" w:hAnsi="仿宋_GB2312" w:eastAsia="仿宋_GB2312"/>
          <w:sz w:val="32"/>
          <w:lang w:val="en-US"/>
        </w:rPr>
        <w:t>经费财政拨款支出决算中，因公出国（境）费支出决算0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sz w:val="32"/>
          <w:highlight w:val="none"/>
          <w:lang w:val="en-US"/>
        </w:rPr>
        <w:t>占0</w:t>
      </w:r>
      <w:r>
        <w:rPr>
          <w:rFonts w:hint="eastAsia" w:ascii="仿宋_GB2312" w:hAnsi="仿宋_GB2312" w:eastAsia="仿宋_GB2312"/>
          <w:sz w:val="32"/>
          <w:highlight w:val="none"/>
          <w:lang w:val="en-US" w:eastAsia="zh-CN"/>
        </w:rPr>
        <w:t>.00</w:t>
      </w:r>
      <w:r>
        <w:rPr>
          <w:rFonts w:hint="eastAsia" w:ascii="仿宋_GB2312" w:hAnsi="仿宋_GB2312" w:eastAsia="仿宋_GB2312"/>
          <w:sz w:val="32"/>
          <w:highlight w:val="none"/>
          <w:lang w:val="en-US"/>
        </w:rPr>
        <w:t>%</w:t>
      </w:r>
      <w:r>
        <w:rPr>
          <w:rFonts w:hint="eastAsia" w:ascii="仿宋_GB2312" w:hAnsi="仿宋_GB2312" w:eastAsia="仿宋_GB2312"/>
          <w:sz w:val="32"/>
          <w:lang w:val="en-US"/>
        </w:rPr>
        <w:t>；公务用车购置及运行费支出决算0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万元，占0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%；公务接待费支出决算0.07万元，</w:t>
      </w:r>
      <w:r>
        <w:rPr>
          <w:rFonts w:hint="eastAsia" w:ascii="仿宋_GB2312" w:hAnsi="仿宋_GB2312" w:eastAsia="仿宋_GB2312"/>
          <w:sz w:val="32"/>
          <w:highlight w:val="none"/>
          <w:lang w:val="en-US"/>
        </w:rPr>
        <w:t>完成预算的0.85%，</w:t>
      </w:r>
      <w:r>
        <w:rPr>
          <w:rFonts w:hint="eastAsia" w:ascii="仿宋_GB2312" w:hAnsi="仿宋_GB2312" w:eastAsia="仿宋_GB2312"/>
          <w:sz w:val="32"/>
          <w:lang w:val="en-US"/>
        </w:rPr>
        <w:t>占</w:t>
      </w:r>
      <w:r>
        <w:rPr>
          <w:rFonts w:hint="eastAsia" w:ascii="仿宋_GB2312" w:hAnsi="仿宋_GB2312" w:eastAsia="仿宋_GB2312"/>
          <w:sz w:val="32"/>
          <w:lang w:val="en-US" w:eastAsia="zh-CN"/>
        </w:rPr>
        <w:t>0.85</w:t>
      </w:r>
      <w:r>
        <w:rPr>
          <w:rFonts w:hint="eastAsia" w:ascii="仿宋_GB2312" w:hAnsi="仿宋_GB2312" w:eastAsia="仿宋_GB2312"/>
          <w:sz w:val="32"/>
          <w:lang w:val="en-US"/>
        </w:rPr>
        <w:t>%</w:t>
      </w:r>
      <w:r>
        <w:rPr>
          <w:rFonts w:hint="eastAsia" w:ascii="仿宋_GB2312" w:hAnsi="仿宋_GB2312" w:eastAsia="仿宋_GB2312"/>
          <w:sz w:val="32"/>
          <w:lang w:val="en-US" w:eastAsia="zh-CN"/>
        </w:rPr>
        <w:t>。</w:t>
      </w:r>
      <w:r>
        <w:rPr>
          <w:rFonts w:hint="eastAsia" w:ascii="仿宋_GB2312" w:hAnsi="仿宋_GB2312" w:eastAsia="仿宋_GB2312" w:cs="仿宋_GB2312"/>
          <w:sz w:val="32"/>
          <w:szCs w:val="32"/>
          <w:highlight w:val="none"/>
        </w:rPr>
        <w:t>具体情况如下：</w:t>
      </w:r>
    </w:p>
    <w:p>
      <w:pPr>
        <w:keepNext w:val="0"/>
        <w:keepLines w:val="0"/>
        <w:pageBreakBefore w:val="0"/>
        <w:kinsoku/>
        <w:wordWrap/>
        <w:overflowPunct/>
        <w:topLinePunct w:val="0"/>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sz w:val="32"/>
          <w:lang w:val="en-US"/>
        </w:rPr>
        <w:t>预算为0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万元，支出决算为0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万元。决算数与预算数不存在差异。因公出国（境）团组数0个，因公出国（境）人次数0人。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公务用车购置及运行费</w:t>
      </w:r>
      <w:r>
        <w:rPr>
          <w:rFonts w:hint="eastAsia" w:ascii="仿宋_GB2312" w:hAnsi="仿宋_GB2312" w:eastAsia="仿宋_GB2312"/>
          <w:sz w:val="32"/>
          <w:lang w:val="en-US"/>
        </w:rPr>
        <w:t>预算为0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万元，支出决算为0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cs="仿宋_GB2312"/>
          <w:sz w:val="32"/>
          <w:szCs w:val="32"/>
          <w:lang w:eastAsia="zh-CN"/>
        </w:rPr>
        <w:t>决算数与预算数不存在差异。</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sz w:val="32"/>
          <w:lang w:val="en-US"/>
        </w:rPr>
        <w:t>预算为</w:t>
      </w:r>
      <w:r>
        <w:rPr>
          <w:rFonts w:hint="eastAsia" w:ascii="仿宋_GB2312" w:hAnsi="仿宋_GB2312" w:eastAsia="仿宋_GB2312"/>
          <w:sz w:val="32"/>
          <w:lang w:val="en-US" w:eastAsia="zh-CN"/>
        </w:rPr>
        <w:t>8.25</w:t>
      </w:r>
      <w:r>
        <w:rPr>
          <w:rFonts w:hint="eastAsia" w:ascii="仿宋_GB2312" w:hAnsi="仿宋_GB2312" w:eastAsia="仿宋_GB2312"/>
          <w:sz w:val="32"/>
          <w:lang w:val="en-US"/>
        </w:rPr>
        <w:t>万元，支出决算为</w:t>
      </w:r>
      <w:r>
        <w:rPr>
          <w:rFonts w:hint="eastAsia" w:ascii="仿宋_GB2312" w:hAnsi="仿宋_GB2312" w:eastAsia="仿宋_GB2312"/>
          <w:sz w:val="32"/>
          <w:lang w:val="en-US" w:eastAsia="zh-CN"/>
        </w:rPr>
        <w:t>0.07</w:t>
      </w:r>
      <w:r>
        <w:rPr>
          <w:rFonts w:hint="eastAsia" w:ascii="仿宋_GB2312" w:hAnsi="仿宋_GB2312" w:eastAsia="仿宋_GB2312"/>
          <w:sz w:val="32"/>
          <w:lang w:val="en-US"/>
        </w:rPr>
        <w:t>万元，完成预算的</w:t>
      </w:r>
      <w:r>
        <w:rPr>
          <w:rFonts w:hint="eastAsia" w:ascii="仿宋_GB2312" w:hAnsi="仿宋_GB2312" w:eastAsia="仿宋_GB2312"/>
          <w:sz w:val="32"/>
          <w:lang w:val="en-US" w:eastAsia="zh-CN"/>
        </w:rPr>
        <w:t>0.85</w:t>
      </w:r>
      <w:r>
        <w:rPr>
          <w:rFonts w:hint="eastAsia" w:ascii="仿宋_GB2312" w:hAnsi="仿宋_GB2312" w:eastAsia="仿宋_GB2312"/>
          <w:sz w:val="32"/>
          <w:lang w:val="en-US"/>
        </w:rPr>
        <w:t>%。</w:t>
      </w:r>
      <w:r>
        <w:rPr>
          <w:rFonts w:hint="eastAsia" w:ascii="仿宋_GB2312" w:hAnsi="仿宋_GB2312" w:eastAsia="仿宋_GB2312" w:cs="仿宋_GB2312"/>
          <w:sz w:val="32"/>
          <w:szCs w:val="32"/>
        </w:rPr>
        <w:t>决算数与预算数存在差异的主要原因是认真贯彻执行党中央、国务院厉行节约精神，从严从紧控制经费支出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减少当年接待批次</w:t>
      </w:r>
      <w:r>
        <w:rPr>
          <w:rFonts w:hint="eastAsia" w:ascii="仿宋_GB2312" w:hAnsi="仿宋_GB2312" w:eastAsia="仿宋_GB2312"/>
          <w:sz w:val="32"/>
          <w:lang w:val="en-US"/>
        </w:rPr>
        <w:t>。</w:t>
      </w:r>
      <w:r>
        <w:rPr>
          <w:rFonts w:hint="eastAsia" w:ascii="仿宋_GB2312" w:hAnsi="仿宋_GB2312" w:eastAsia="仿宋_GB2312" w:cs="仿宋_GB2312"/>
          <w:sz w:val="32"/>
          <w:szCs w:val="32"/>
          <w:highlight w:val="none"/>
        </w:rPr>
        <w:t>其中：</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sz w:val="32"/>
          <w:highlight w:val="none"/>
          <w:lang w:val="en-US" w:eastAsia="zh-CN"/>
        </w:rPr>
      </w:pPr>
      <w:r>
        <w:rPr>
          <w:rFonts w:hint="eastAsia" w:ascii="仿宋_GB2312" w:hAnsi="仿宋_GB2312" w:eastAsia="仿宋_GB2312"/>
          <w:sz w:val="32"/>
          <w:lang w:val="en-US"/>
        </w:rPr>
        <w:t>2021年度政府性基金预算财政拨款支出年初预算为0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万元，支出决算为0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r>
        <w:rPr>
          <w:rFonts w:hint="eastAsia" w:ascii="仿宋_GB2312" w:hAnsi="仿宋_GB2312" w:eastAsia="仿宋_GB2312"/>
          <w:sz w:val="32"/>
          <w:highlight w:val="none"/>
          <w:lang w:val="en-US"/>
        </w:rPr>
        <w:t>不存在项目年末结转和结余资金数额较大</w:t>
      </w:r>
      <w:r>
        <w:rPr>
          <w:rFonts w:hint="eastAsia" w:ascii="仿宋_GB2312" w:hAnsi="仿宋_GB2312" w:eastAsia="仿宋_GB2312"/>
          <w:sz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p>
    <w:p>
      <w:pPr>
        <w:keepNext w:val="0"/>
        <w:keepLines w:val="0"/>
        <w:pageBreakBefore w:val="0"/>
        <w:widowControl/>
        <w:numPr>
          <w:ilvl w:val="0"/>
          <w:numId w:val="2"/>
        </w:numPr>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机关运行经费支出情况说明</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2021年度机关运行经费</w:t>
      </w:r>
      <w:r>
        <w:rPr>
          <w:rFonts w:hint="eastAsia" w:ascii="仿宋_GB2312" w:hAnsi="仿宋_GB2312" w:eastAsia="仿宋_GB2312"/>
          <w:sz w:val="32"/>
          <w:lang w:val="en-US" w:eastAsia="zh-CN"/>
        </w:rPr>
        <w:t>年初</w:t>
      </w:r>
      <w:r>
        <w:rPr>
          <w:rFonts w:hint="eastAsia" w:ascii="仿宋_GB2312" w:hAnsi="仿宋_GB2312" w:eastAsia="仿宋_GB2312"/>
          <w:sz w:val="32"/>
          <w:lang w:val="en-US"/>
        </w:rPr>
        <w:t>预算为</w:t>
      </w:r>
      <w:r>
        <w:rPr>
          <w:rFonts w:hint="eastAsia" w:ascii="仿宋_GB2312" w:hAnsi="仿宋_GB2312" w:eastAsia="仿宋_GB2312"/>
          <w:sz w:val="32"/>
          <w:lang w:val="en-US" w:eastAsia="zh-CN"/>
        </w:rPr>
        <w:t>217.67</w:t>
      </w:r>
      <w:r>
        <w:rPr>
          <w:rFonts w:hint="eastAsia" w:ascii="仿宋_GB2312" w:hAnsi="仿宋_GB2312" w:eastAsia="仿宋_GB2312"/>
          <w:sz w:val="32"/>
          <w:lang w:val="en-US"/>
        </w:rPr>
        <w:t>万元，支出决算为</w:t>
      </w:r>
      <w:r>
        <w:rPr>
          <w:rFonts w:hint="eastAsia" w:ascii="仿宋_GB2312" w:hAnsi="仿宋_GB2312" w:eastAsia="仿宋_GB2312"/>
          <w:sz w:val="32"/>
          <w:lang w:val="en-US" w:eastAsia="zh-CN"/>
        </w:rPr>
        <w:t>217.67</w:t>
      </w:r>
      <w:r>
        <w:rPr>
          <w:rFonts w:hint="eastAsia" w:ascii="仿宋_GB2312" w:hAnsi="仿宋_GB2312" w:eastAsia="仿宋_GB2312"/>
          <w:sz w:val="32"/>
          <w:lang w:val="en-US"/>
        </w:rPr>
        <w:t>万元，完成</w:t>
      </w:r>
      <w:r>
        <w:rPr>
          <w:rFonts w:hint="eastAsia" w:ascii="仿宋_GB2312" w:hAnsi="仿宋_GB2312" w:eastAsia="仿宋_GB2312"/>
          <w:sz w:val="32"/>
          <w:lang w:val="en-US" w:eastAsia="zh-CN"/>
        </w:rPr>
        <w:t>年初</w:t>
      </w:r>
      <w:r>
        <w:rPr>
          <w:rFonts w:hint="eastAsia" w:ascii="仿宋_GB2312" w:hAnsi="仿宋_GB2312" w:eastAsia="仿宋_GB2312"/>
          <w:sz w:val="32"/>
          <w:lang w:val="en-US"/>
        </w:rPr>
        <w:t>预算的</w:t>
      </w:r>
      <w:r>
        <w:rPr>
          <w:rFonts w:hint="eastAsia" w:ascii="仿宋_GB2312" w:hAnsi="仿宋_GB2312" w:eastAsia="仿宋_GB2312"/>
          <w:sz w:val="32"/>
          <w:lang w:val="en-US" w:eastAsia="zh-CN"/>
        </w:rPr>
        <w:t>100.00</w:t>
      </w:r>
      <w:r>
        <w:rPr>
          <w:rFonts w:hint="eastAsia" w:ascii="仿宋_GB2312" w:hAnsi="仿宋_GB2312" w:eastAsia="仿宋_GB2312"/>
          <w:sz w:val="32"/>
          <w:lang w:val="en-US"/>
        </w:rPr>
        <w:t>%。</w:t>
      </w:r>
      <w:r>
        <w:rPr>
          <w:rFonts w:hint="eastAsia" w:ascii="仿宋_GB2312" w:hAnsi="仿宋_GB2312" w:eastAsia="仿宋_GB2312" w:cs="仿宋_GB2312"/>
          <w:sz w:val="32"/>
          <w:szCs w:val="32"/>
          <w:lang w:eastAsia="zh-CN"/>
        </w:rPr>
        <w:t>决算数与年初预算数不存在差异。</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keepNext w:val="0"/>
        <w:keepLines w:val="0"/>
        <w:pageBreakBefore w:val="0"/>
        <w:kinsoku/>
        <w:wordWrap/>
        <w:overflowPunct/>
        <w:topLinePunct w:val="0"/>
        <w:autoSpaceDE/>
        <w:autoSpaceDN/>
        <w:bidi w:val="0"/>
        <w:adjustRightInd/>
        <w:snapToGrid/>
        <w:spacing w:beforeLines="0" w:afterLines="0" w:line="240" w:lineRule="auto"/>
        <w:ind w:firstLine="64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2021年度政府采购支出总额0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万元，其中：政府采购货物支出0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万元、政府采购工程支出0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万元、政府采购服务支出0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万元。授予中小企业合同金额0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万元，其中：授予小微企业合同金额0</w:t>
      </w:r>
      <w:r>
        <w:rPr>
          <w:rFonts w:hint="eastAsia" w:ascii="仿宋_GB2312" w:hAnsi="仿宋_GB2312" w:eastAsia="仿宋_GB2312"/>
          <w:sz w:val="32"/>
          <w:lang w:val="en-US" w:eastAsia="zh-CN"/>
        </w:rPr>
        <w:t>.00</w:t>
      </w:r>
      <w:r>
        <w:rPr>
          <w:rFonts w:hint="eastAsia" w:ascii="仿宋_GB2312" w:hAnsi="仿宋_GB2312" w:eastAsia="仿宋_GB2312"/>
          <w:sz w:val="32"/>
          <w:lang w:val="en-US"/>
        </w:rPr>
        <w:t>万元。</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sz w:val="32"/>
          <w:lang w:val="en-US"/>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w:t>
      </w:r>
      <w:r>
        <w:rPr>
          <w:rFonts w:hint="eastAsia" w:ascii="仿宋_GB2312" w:hAnsi="仿宋_GB2312" w:eastAsia="仿宋_GB2312" w:cs="仿宋_GB2312"/>
          <w:i w:val="0"/>
          <w:iCs w:val="0"/>
          <w:color w:val="000000"/>
          <w:kern w:val="2"/>
          <w:sz w:val="32"/>
          <w:szCs w:val="32"/>
          <w:highlight w:val="none"/>
          <w:u w:val="none" w:color="auto"/>
          <w:lang w:val="en-US" w:eastAsia="zh-CN" w:bidi="ar-SA"/>
        </w:rPr>
        <w:t>我单位严格履行预算绩效管理主体责任，以绩效目标为导向，做好绩效运行监控，提升了绩效自评质量及绩效管理工作水平，充分发挥财政资金使用效益。</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按照《许昌市财政局关于开展2021年度市级预算绩效自评工作的通知》（许财效）〔2022〕1号）等文件精神，我单位对本单位整体绩效目标和项目支出绩效目标进行了自评。一是单位整体绩效自评情况。我单位</w:t>
      </w:r>
      <w:r>
        <w:rPr>
          <w:rFonts w:hint="eastAsia" w:ascii="仿宋_GB2312" w:hAnsi="仿宋_GB2312" w:eastAsia="仿宋_GB2312" w:cs="仿宋_GB2312"/>
          <w:sz w:val="32"/>
          <w:szCs w:val="32"/>
        </w:rPr>
        <w:t>根据财政预算管理要求，绩效目标设置合理，严格按各项管理制度执行，年初设定的各项工作目标完成情况较好</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2"/>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240" w:lineRule="auto"/>
        <w:ind w:right="0" w:rightChars="0" w:firstLine="643" w:firstLineChars="2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both"/>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highlight w:val="none"/>
          <w:lang w:val="en-US" w:eastAsia="zh-CN"/>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w:t>
      </w:r>
      <w:r>
        <w:rPr>
          <w:rFonts w:hint="eastAsia" w:ascii="仿宋_GB2312" w:hAnsi="仿宋_GB2312" w:eastAsia="仿宋_GB2312" w:cs="仿宋_GB2312"/>
          <w:sz w:val="32"/>
          <w:szCs w:val="32"/>
          <w:highlight w:val="none"/>
          <w:lang w:val="en-US" w:eastAsia="zh-CN"/>
        </w:rPr>
        <w:t>金。</w:t>
      </w:r>
    </w:p>
    <w:p>
      <w:pPr>
        <w:bidi w:val="0"/>
        <w:jc w:val="both"/>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008"/>
        </w:tabs>
        <w:bidi w:val="0"/>
        <w:jc w:val="left"/>
        <w:rPr>
          <w:rFonts w:hint="eastAsia"/>
          <w:lang w:val="en-US" w:eastAsia="zh-CN"/>
        </w:rPr>
      </w:pPr>
      <w:r>
        <w:rPr>
          <w:rFonts w:hint="eastAsia"/>
          <w:lang w:val="en-US" w:eastAsia="zh-CN"/>
        </w:rPr>
        <w:tab/>
      </w:r>
      <w:bookmarkStart w:id="0" w:name="_GoBack"/>
      <w:bookmarkEnd w:id="0"/>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850E"/>
    <w:multiLevelType w:val="singleLevel"/>
    <w:tmpl w:val="488E850E"/>
    <w:lvl w:ilvl="0" w:tentative="0">
      <w:start w:val="9"/>
      <w:numFmt w:val="chineseCounting"/>
      <w:suff w:val="nothing"/>
      <w:lvlText w:val="%1、"/>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NjA0YjFhOGUwZjMyYTQxMTAzOTBkZWY3Y2JjN2M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0245F9"/>
    <w:rsid w:val="033646FC"/>
    <w:rsid w:val="03C75F80"/>
    <w:rsid w:val="03E91221"/>
    <w:rsid w:val="0478364D"/>
    <w:rsid w:val="053D4C0D"/>
    <w:rsid w:val="0557532E"/>
    <w:rsid w:val="0799329C"/>
    <w:rsid w:val="07DD54E7"/>
    <w:rsid w:val="08320D8F"/>
    <w:rsid w:val="08397436"/>
    <w:rsid w:val="086F16A7"/>
    <w:rsid w:val="0A0F7225"/>
    <w:rsid w:val="0A2B7D82"/>
    <w:rsid w:val="0AA348D7"/>
    <w:rsid w:val="0ADC40E9"/>
    <w:rsid w:val="0AE607F4"/>
    <w:rsid w:val="0AE72A95"/>
    <w:rsid w:val="0B386127"/>
    <w:rsid w:val="0B451598"/>
    <w:rsid w:val="0BEC73F4"/>
    <w:rsid w:val="0C392698"/>
    <w:rsid w:val="0E2577A7"/>
    <w:rsid w:val="0E35096D"/>
    <w:rsid w:val="10BD36F6"/>
    <w:rsid w:val="11BF0649"/>
    <w:rsid w:val="12380A00"/>
    <w:rsid w:val="12384DFA"/>
    <w:rsid w:val="123E3E08"/>
    <w:rsid w:val="12510368"/>
    <w:rsid w:val="133212F4"/>
    <w:rsid w:val="13D22E22"/>
    <w:rsid w:val="15A967C0"/>
    <w:rsid w:val="161C2DFF"/>
    <w:rsid w:val="16373578"/>
    <w:rsid w:val="16D3336B"/>
    <w:rsid w:val="17200028"/>
    <w:rsid w:val="17806C36"/>
    <w:rsid w:val="17A74F62"/>
    <w:rsid w:val="18A47774"/>
    <w:rsid w:val="19326082"/>
    <w:rsid w:val="1A8D28EB"/>
    <w:rsid w:val="1A9F2D78"/>
    <w:rsid w:val="1B2E6FD8"/>
    <w:rsid w:val="1B877D21"/>
    <w:rsid w:val="1C4319A9"/>
    <w:rsid w:val="1CCD3C1B"/>
    <w:rsid w:val="1E443B4B"/>
    <w:rsid w:val="1E994F4A"/>
    <w:rsid w:val="1EAF0224"/>
    <w:rsid w:val="1F2230A4"/>
    <w:rsid w:val="20210932"/>
    <w:rsid w:val="202448E0"/>
    <w:rsid w:val="20F614FE"/>
    <w:rsid w:val="21302EEA"/>
    <w:rsid w:val="219C5B70"/>
    <w:rsid w:val="21DD3167"/>
    <w:rsid w:val="22376FB5"/>
    <w:rsid w:val="22CC2774"/>
    <w:rsid w:val="23E152D7"/>
    <w:rsid w:val="23EE2489"/>
    <w:rsid w:val="255D43C8"/>
    <w:rsid w:val="26714EF8"/>
    <w:rsid w:val="26876BDD"/>
    <w:rsid w:val="2714632A"/>
    <w:rsid w:val="27541E73"/>
    <w:rsid w:val="276D0E05"/>
    <w:rsid w:val="27AF068B"/>
    <w:rsid w:val="27B0539E"/>
    <w:rsid w:val="29365CF8"/>
    <w:rsid w:val="299469B3"/>
    <w:rsid w:val="2A805789"/>
    <w:rsid w:val="2ADC0D75"/>
    <w:rsid w:val="2B4A0E52"/>
    <w:rsid w:val="2C975890"/>
    <w:rsid w:val="2DEF21BB"/>
    <w:rsid w:val="2E4A2F05"/>
    <w:rsid w:val="2ECC1061"/>
    <w:rsid w:val="2F7B17DF"/>
    <w:rsid w:val="2FA476AD"/>
    <w:rsid w:val="303F7540"/>
    <w:rsid w:val="31705C4A"/>
    <w:rsid w:val="31D64091"/>
    <w:rsid w:val="31DD00BF"/>
    <w:rsid w:val="3293174C"/>
    <w:rsid w:val="32BB38D4"/>
    <w:rsid w:val="32C9376D"/>
    <w:rsid w:val="33780472"/>
    <w:rsid w:val="33AF0905"/>
    <w:rsid w:val="33BD66EC"/>
    <w:rsid w:val="355932F4"/>
    <w:rsid w:val="35611882"/>
    <w:rsid w:val="35E127F3"/>
    <w:rsid w:val="36746FC3"/>
    <w:rsid w:val="368763AE"/>
    <w:rsid w:val="37CF61FA"/>
    <w:rsid w:val="38FA4188"/>
    <w:rsid w:val="395D59E7"/>
    <w:rsid w:val="39A93932"/>
    <w:rsid w:val="3A601A2D"/>
    <w:rsid w:val="3A683CF4"/>
    <w:rsid w:val="3A915562"/>
    <w:rsid w:val="3AE75082"/>
    <w:rsid w:val="3B8D4765"/>
    <w:rsid w:val="3BED5C1E"/>
    <w:rsid w:val="3C000DBA"/>
    <w:rsid w:val="3DC045D3"/>
    <w:rsid w:val="3E504FFB"/>
    <w:rsid w:val="3E615CD0"/>
    <w:rsid w:val="3E9C47F6"/>
    <w:rsid w:val="3F8B0112"/>
    <w:rsid w:val="3FAB3095"/>
    <w:rsid w:val="3FE45947"/>
    <w:rsid w:val="41242965"/>
    <w:rsid w:val="41344D9F"/>
    <w:rsid w:val="435671EA"/>
    <w:rsid w:val="440809E9"/>
    <w:rsid w:val="442407A6"/>
    <w:rsid w:val="44805EA1"/>
    <w:rsid w:val="45324199"/>
    <w:rsid w:val="45710696"/>
    <w:rsid w:val="46142B1B"/>
    <w:rsid w:val="47E60DD0"/>
    <w:rsid w:val="48735039"/>
    <w:rsid w:val="492C684B"/>
    <w:rsid w:val="49500594"/>
    <w:rsid w:val="49E7604E"/>
    <w:rsid w:val="4A12423D"/>
    <w:rsid w:val="4B02600A"/>
    <w:rsid w:val="4B9304A5"/>
    <w:rsid w:val="4BF67CDD"/>
    <w:rsid w:val="4D173441"/>
    <w:rsid w:val="4D603DD6"/>
    <w:rsid w:val="4E3177CE"/>
    <w:rsid w:val="4EBF010F"/>
    <w:rsid w:val="4F471EB0"/>
    <w:rsid w:val="5018330E"/>
    <w:rsid w:val="5033050B"/>
    <w:rsid w:val="51331326"/>
    <w:rsid w:val="51740A7F"/>
    <w:rsid w:val="51867018"/>
    <w:rsid w:val="51A5541E"/>
    <w:rsid w:val="51C81D64"/>
    <w:rsid w:val="51C96242"/>
    <w:rsid w:val="535528D6"/>
    <w:rsid w:val="53906AE1"/>
    <w:rsid w:val="53F16A1B"/>
    <w:rsid w:val="54AF7C37"/>
    <w:rsid w:val="54F46F60"/>
    <w:rsid w:val="55A37BEA"/>
    <w:rsid w:val="56362CD2"/>
    <w:rsid w:val="56597B5F"/>
    <w:rsid w:val="5784687B"/>
    <w:rsid w:val="57846959"/>
    <w:rsid w:val="578E6A87"/>
    <w:rsid w:val="5AC2203A"/>
    <w:rsid w:val="5B904670"/>
    <w:rsid w:val="5C676FD7"/>
    <w:rsid w:val="5CBB3334"/>
    <w:rsid w:val="5D115FAF"/>
    <w:rsid w:val="60E153B1"/>
    <w:rsid w:val="62811722"/>
    <w:rsid w:val="62E75A72"/>
    <w:rsid w:val="64571880"/>
    <w:rsid w:val="649125B6"/>
    <w:rsid w:val="652F4C1A"/>
    <w:rsid w:val="65D848FA"/>
    <w:rsid w:val="666D37F1"/>
    <w:rsid w:val="67087D8F"/>
    <w:rsid w:val="671F687E"/>
    <w:rsid w:val="67F415F8"/>
    <w:rsid w:val="682640D1"/>
    <w:rsid w:val="684B73E5"/>
    <w:rsid w:val="698931BC"/>
    <w:rsid w:val="6A047A2A"/>
    <w:rsid w:val="6D6B0BCD"/>
    <w:rsid w:val="6EFB7548"/>
    <w:rsid w:val="6F3831C3"/>
    <w:rsid w:val="6F8B71C1"/>
    <w:rsid w:val="70753482"/>
    <w:rsid w:val="707B522A"/>
    <w:rsid w:val="73194D05"/>
    <w:rsid w:val="73A83B0E"/>
    <w:rsid w:val="744D3EF9"/>
    <w:rsid w:val="74794411"/>
    <w:rsid w:val="75867C40"/>
    <w:rsid w:val="75B10B26"/>
    <w:rsid w:val="76432199"/>
    <w:rsid w:val="76F44829"/>
    <w:rsid w:val="77A267C0"/>
    <w:rsid w:val="77F912BF"/>
    <w:rsid w:val="78882278"/>
    <w:rsid w:val="78B118A6"/>
    <w:rsid w:val="79135044"/>
    <w:rsid w:val="7A7D0F99"/>
    <w:rsid w:val="7C8B51DA"/>
    <w:rsid w:val="7E3A77FD"/>
    <w:rsid w:val="7E4A0E7C"/>
    <w:rsid w:val="7EFD449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ody Text"/>
    <w:basedOn w:val="1"/>
    <w:qFormat/>
    <w:uiPriority w:val="0"/>
    <w:pPr>
      <w:spacing w:after="120" w:afterLines="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qFormat/>
    <w:uiPriority w:val="0"/>
    <w:pPr>
      <w:snapToGrid w:val="0"/>
      <w:jc w:val="left"/>
    </w:pPr>
    <w:rPr>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unhideWhenUsed/>
    <w:qFormat/>
    <w:uiPriority w:val="99"/>
    <w:rPr>
      <w:color w:val="800080"/>
      <w:u w:val="single"/>
    </w:rPr>
  </w:style>
  <w:style w:type="character" w:styleId="12">
    <w:name w:val="Hyperlink"/>
    <w:unhideWhenUsed/>
    <w:qFormat/>
    <w:uiPriority w:val="99"/>
    <w:rPr>
      <w:color w:val="0000FF"/>
      <w:u w:val="single"/>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kern w:val="2"/>
      <w:sz w:val="18"/>
      <w:szCs w:val="18"/>
    </w:rPr>
  </w:style>
  <w:style w:type="character" w:customStyle="1" w:styleId="15">
    <w:name w:val="页眉 Char"/>
    <w:link w:val="6"/>
    <w:qFormat/>
    <w:uiPriority w:val="99"/>
    <w:rPr>
      <w:kern w:val="2"/>
      <w:sz w:val="18"/>
      <w:szCs w:val="18"/>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41"/>
    <w:qFormat/>
    <w:uiPriority w:val="0"/>
    <w:rPr>
      <w:rFonts w:hint="eastAsia" w:ascii="宋体" w:hAnsi="宋体" w:eastAsia="宋体" w:cs="宋体"/>
      <w:color w:val="000000"/>
      <w:sz w:val="24"/>
      <w:szCs w:val="24"/>
      <w:u w:val="none"/>
    </w:rPr>
  </w:style>
  <w:style w:type="character" w:customStyle="1" w:styleId="18">
    <w:name w:val="font01"/>
    <w:qFormat/>
    <w:uiPriority w:val="0"/>
    <w:rPr>
      <w:rFonts w:hint="eastAsia" w:ascii="宋体" w:hAnsi="宋体" w:eastAsia="宋体" w:cs="宋体"/>
      <w:color w:val="000000"/>
      <w:sz w:val="22"/>
      <w:szCs w:val="22"/>
      <w:u w:val="none"/>
    </w:rPr>
  </w:style>
  <w:style w:type="character" w:customStyle="1" w:styleId="19">
    <w:name w:val="font11"/>
    <w:qFormat/>
    <w:uiPriority w:val="0"/>
    <w:rPr>
      <w:rFonts w:hint="eastAsia" w:ascii="宋体" w:hAnsi="宋体" w:eastAsia="宋体" w:cs="宋体"/>
      <w:color w:val="000000"/>
      <w:sz w:val="20"/>
      <w:szCs w:val="20"/>
      <w:u w:val="none"/>
    </w:rPr>
  </w:style>
  <w:style w:type="character" w:customStyle="1" w:styleId="20">
    <w:name w:val="font21"/>
    <w:qFormat/>
    <w:uiPriority w:val="0"/>
    <w:rPr>
      <w:rFonts w:hint="eastAsia" w:ascii="宋体" w:hAnsi="宋体" w:eastAsia="宋体" w:cs="宋体"/>
      <w:color w:val="000000"/>
      <w:sz w:val="22"/>
      <w:szCs w:val="22"/>
      <w:u w:val="none"/>
    </w:rPr>
  </w:style>
  <w:style w:type="paragraph" w:customStyle="1" w:styleId="21">
    <w:name w:val="Heading1"/>
    <w:basedOn w:val="1"/>
    <w:next w:val="1"/>
    <w:qFormat/>
    <w:uiPriority w:val="0"/>
    <w:pPr>
      <w:keepNext/>
      <w:keepLines/>
      <w:spacing w:before="340" w:after="330" w:line="578" w:lineRule="atLeast"/>
      <w:ind w:left="792" w:firstLine="288"/>
      <w:jc w:val="left"/>
      <w:textAlignment w:val="baseline"/>
    </w:pPr>
    <w:rPr>
      <w:rFonts w:ascii="Calibri" w:hAnsi="Calibri" w:eastAsia="宋体"/>
      <w:b/>
      <w:kern w:val="44"/>
      <w:sz w:val="44"/>
      <w:szCs w:val="28"/>
      <w:lang w:val="en-US" w:eastAsia="zh-CN" w:bidi="ar-SA"/>
    </w:rPr>
  </w:style>
  <w:style w:type="character" w:customStyle="1" w:styleId="22">
    <w:name w:val="21"/>
    <w:qFormat/>
    <w:uiPriority w:val="0"/>
    <w:rPr>
      <w:rFonts w:hint="default" w:ascii="Times New Roman" w:eastAsia="楷体_GB2312" w:cs="楷体_GB2312"/>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30</Pages>
  <Words>7783</Words>
  <Characters>9515</Characters>
  <Lines>60</Lines>
  <Paragraphs>16</Paragraphs>
  <TotalTime>24</TotalTime>
  <ScaleCrop>false</ScaleCrop>
  <LinksUpToDate>false</LinksUpToDate>
  <CharactersWithSpaces>9749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2007-11-29T03:41:00Z</dcterms:created>
  <dc:creator>管理者</dc:creator>
  <cp:lastModifiedBy>Administrator</cp:lastModifiedBy>
  <cp:lastPrinted>2018-07-24T10:50:00Z</cp:lastPrinted>
  <dcterms:modified xsi:type="dcterms:W3CDTF">2023-05-10T00:48:53Z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2108940A1CF84E1BA7F429F5FDA99A46_13</vt:lpwstr>
  </property>
</Properties>
</file>