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许昌市创业保障中心单位决算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许昌市创业保障中心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许昌市创业保障中心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numPr>
          <w:ilvl w:val="0"/>
          <w:numId w:val="2"/>
        </w:numPr>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bCs/>
          <w:sz w:val="32"/>
          <w:szCs w:val="32"/>
          <w:highlight w:val="none"/>
        </w:rPr>
      </w:pP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bCs/>
          <w:sz w:val="32"/>
          <w:szCs w:val="32"/>
          <w:highlight w:val="none"/>
        </w:rPr>
      </w:pPr>
      <w:r>
        <w:rPr>
          <w:rFonts w:hint="eastAsia" w:ascii="仿宋_GB2312" w:hAnsi="宋体" w:eastAsia="仿宋_GB2312" w:cs="宋体"/>
          <w:kern w:val="0"/>
          <w:sz w:val="32"/>
          <w:szCs w:val="32"/>
          <w:lang w:eastAsia="zh-CN"/>
        </w:rPr>
        <w:t>我单位的主要职责是：负责许昌市本级的失业保险经办工作，具体负责</w:t>
      </w:r>
      <w:r>
        <w:rPr>
          <w:rFonts w:hint="eastAsia" w:ascii="仿宋_GB2312" w:hAnsi="仿宋_GB2312" w:eastAsia="仿宋_GB2312" w:cs="仿宋_GB2312"/>
          <w:b w:val="0"/>
          <w:bCs w:val="0"/>
          <w:sz w:val="32"/>
          <w:szCs w:val="32"/>
          <w:lang w:val="en-US" w:eastAsia="zh-CN"/>
        </w:rPr>
        <w:t>失业保险参保登记、失业保险费征缴计划生成和数据记录、失业保险待遇核定和失业保险金申领、失业保险援企稳岗、职业技能提升补贴和一次性创业补助等失业保险促就业防失业政策的落实、失业保险基金财务和统计、失业保险稽核和经办风险防控等。</w:t>
      </w:r>
      <w:r>
        <w:rPr>
          <w:rFonts w:hint="eastAsia" w:ascii="仿宋_GB2312" w:hAnsi="宋体" w:eastAsia="仿宋_GB2312" w:cs="宋体"/>
          <w:kern w:val="0"/>
          <w:sz w:val="32"/>
          <w:szCs w:val="32"/>
          <w:lang w:val="en-US" w:eastAsia="zh-CN"/>
        </w:rPr>
        <w:t xml:space="preserve">       </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机构设置</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许昌市创业保障中心内设机构5个，包括：办公室、失业保险稽核科、失业保险征缴科、失业基金科、失业人员服务科。</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从决算单位构成看，许昌市创业保障中心单位决算包括：本级决算（1个）。</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w:t>
      </w:r>
      <w:r>
        <w:rPr>
          <w:rFonts w:hint="eastAsia" w:ascii="仿宋_GB2312" w:hAnsi="仿宋_GB2312" w:eastAsia="仿宋_GB2312" w:cs="仿宋_GB2312"/>
          <w:kern w:val="0"/>
          <w:sz w:val="32"/>
          <w:szCs w:val="32"/>
        </w:rPr>
        <w:t>共1个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具体是：</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1.许昌市创业保障中心</w:t>
      </w:r>
    </w:p>
    <w:p>
      <w:pPr>
        <w:widowControl/>
        <w:numPr>
          <w:ilvl w:val="0"/>
          <w:numId w:val="0"/>
        </w:numPr>
        <w:jc w:val="left"/>
        <w:outlineLvl w:val="1"/>
        <w:rPr>
          <w:rFonts w:hint="eastAsia" w:ascii="黑体" w:hAnsi="黑体" w:eastAsia="黑体" w:cs="黑体"/>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2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33"/>
        <w:gridCol w:w="778"/>
        <w:gridCol w:w="1039"/>
        <w:gridCol w:w="4172"/>
        <w:gridCol w:w="778"/>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4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2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754"/>
        <w:gridCol w:w="1207"/>
        <w:gridCol w:w="1207"/>
        <w:gridCol w:w="939"/>
        <w:gridCol w:w="939"/>
        <w:gridCol w:w="939"/>
        <w:gridCol w:w="939"/>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79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348.57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48"/>
        <w:gridCol w:w="1359"/>
        <w:gridCol w:w="1359"/>
        <w:gridCol w:w="1290"/>
        <w:gridCol w:w="1086"/>
        <w:gridCol w:w="1086"/>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9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0"/>
        <w:gridCol w:w="564"/>
        <w:gridCol w:w="1123"/>
        <w:gridCol w:w="4025"/>
        <w:gridCol w:w="564"/>
        <w:gridCol w:w="983"/>
        <w:gridCol w:w="1123"/>
        <w:gridCol w:w="876"/>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6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2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21.58</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369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013"/>
        <w:gridCol w:w="1984"/>
        <w:gridCol w:w="198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67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2898"/>
        <w:gridCol w:w="1122"/>
        <w:gridCol w:w="766"/>
        <w:gridCol w:w="2513"/>
        <w:gridCol w:w="1120"/>
        <w:gridCol w:w="766"/>
        <w:gridCol w:w="2848"/>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920"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35"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92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3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53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3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00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180"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73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00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3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340.29</w:t>
            </w:r>
          </w:p>
        </w:tc>
        <w:tc>
          <w:tcPr>
            <w:tcW w:w="8010"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92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
        <w:gridCol w:w="378"/>
        <w:gridCol w:w="378"/>
        <w:gridCol w:w="1865"/>
        <w:gridCol w:w="1800"/>
        <w:gridCol w:w="1800"/>
        <w:gridCol w:w="1800"/>
        <w:gridCol w:w="1800"/>
        <w:gridCol w:w="1800"/>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8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：许昌市创业保障中心</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p>
        </w:tc>
      </w:tr>
    </w:tbl>
    <w:p>
      <w:pPr>
        <w:jc w:val="center"/>
        <w:outlineLvl w:val="9"/>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384.38</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29.02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7.02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2021年末未形成支出的经费不再结转下年，由财政统一收回</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355.37</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348.57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98.09</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6.80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1.91</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382.73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367.16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95.93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15.57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4.07</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370.14</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34.96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8.63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2021年末未形成支出的经费不再结转下年，由财政统一收回</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370.14</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96.71</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13.92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3.62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上年度用原下属单位许昌市劳动就业训练中心（已撤并）结转经费支付该单位拖欠的工资薪金等，本年度没有此项支出</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370.14</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353.68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95.55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15.14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4.09</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354.09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370.14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104.53</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 xml:space="preserve">年初预算为1.33万元，支出决算为1.33万元，完成年初预算的100.00%。决算数与年初预算数不存在差异。   </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2.社会保障和就业支出（类）人力资源和社会保障管理事务（款）行政运行（项）。</w:t>
      </w:r>
      <w:r>
        <w:rPr>
          <w:rFonts w:hint="eastAsia" w:ascii="仿宋_GB2312" w:hAnsi="仿宋_GB2312" w:eastAsia="仿宋_GB2312" w:cs="仿宋_GB2312"/>
          <w:color w:val="auto"/>
          <w:sz w:val="32"/>
          <w:szCs w:val="32"/>
          <w:highlight w:val="none"/>
          <w:lang w:val="en-US" w:eastAsia="zh-CN"/>
        </w:rPr>
        <w:t>年初预算为244.81万元，支出决算为258.06万元，完成年初预算的105.41%。决算数与年初预算数存在差异的主要原因是使用上年结转资金。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社会保障和就业支出（类）人力资源和社会保障管理事务（款）一般行政管理事务（项）。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年初预算为0.00万元，支出决算为2.99万元。决算数与年初预算数存在差异的主要原因是使用上年结转资金。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年初预算为0.00元，支出决算为1.95万元。决算数与年初预算数存在差异的主要原因是享受临时退休待遇的退休人员核算正式退休待遇后，补发文明奖等相关人员经费。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年初预算为74.55万元，支出决算为74.55万元，完成年初预算的100.00%。决算数与年初预算数不存在差异。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年初预算为16.77万元，支出决算为16.13万元，完成年初预算的96.18%。决算数与年初预算数存在差异的主要原因是1人年中在职转退休，不再缴纳基本养老保险费。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年初预算为8.52万元，支出决算为7.57万元，完成年初预算的88.85%。决算数与年初预算数存在差异的主要原因是1人年中在职转退休，不再缴纳基本医疗保险费。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年初预算为8.11万元，支出决算为7.56万元，完成年初预算的93.22%。决算数与年初预算数存在差异的主要原因是1人年中在职转退休，不再缴纳公务员医疗补助费。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367.16</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340.29</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其他工资福利支出、退休费；公用经费</w:t>
      </w:r>
      <w:r>
        <w:rPr>
          <w:rFonts w:hint="eastAsia" w:ascii="仿宋_GB2312" w:hAnsi="仿宋_GB2312" w:eastAsia="仿宋_GB2312" w:cs="仿宋_GB2312"/>
          <w:color w:val="auto"/>
          <w:sz w:val="32"/>
          <w:szCs w:val="32"/>
          <w:highlight w:val="none"/>
          <w:lang w:val="en-US" w:eastAsia="zh-CN"/>
        </w:rPr>
        <w:t>26.87</w:t>
      </w:r>
      <w:r>
        <w:rPr>
          <w:rFonts w:hint="eastAsia" w:ascii="仿宋_GB2312" w:hAnsi="仿宋_GB2312" w:eastAsia="仿宋_GB2312" w:cs="仿宋_GB2312"/>
          <w:color w:val="auto"/>
          <w:sz w:val="32"/>
          <w:szCs w:val="32"/>
          <w:highlight w:val="none"/>
        </w:rPr>
        <w:t>万元，主要包括：办公费、印刷费、邮电费、差旅费、工会经费、福利费、公务用车运行维护费、办公设备购置。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1.82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78.02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sz w:val="32"/>
          <w:szCs w:val="32"/>
        </w:rPr>
        <w:t>从严从紧控制</w:t>
      </w:r>
      <w:r>
        <w:rPr>
          <w:rFonts w:hint="eastAsia" w:ascii="仿宋_GB2312" w:hAnsi="仿宋_GB2312" w:eastAsia="仿宋_GB2312" w:cs="仿宋_GB2312"/>
          <w:sz w:val="32"/>
          <w:szCs w:val="32"/>
          <w:highlight w:val="none"/>
          <w:lang w:eastAsia="zh-CN"/>
        </w:rPr>
        <w:t>“三公”</w:t>
      </w:r>
      <w:r>
        <w:rPr>
          <w:rFonts w:hint="eastAsia" w:ascii="仿宋_GB2312" w:hAnsi="仿宋_GB2312" w:eastAsia="仿宋_GB2312" w:cs="仿宋_GB2312"/>
          <w:sz w:val="32"/>
          <w:szCs w:val="32"/>
        </w:rPr>
        <w:t>经费支出</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color w:val="auto"/>
          <w:sz w:val="32"/>
          <w:szCs w:val="32"/>
          <w:highlight w:val="none"/>
          <w:lang w:eastAsia="zh-CN"/>
        </w:rPr>
        <w:t>发生公务接待费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汽油费、路桥停车费、车辆维修费、汽车保险费等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没有发生公务接待费</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同时，我单位绩效管理的主要负责人员积极参加市财政局举办的绩效管理培训和主动学习绩效管理的政策文件，并在单位内部大力宣传绩效管理的重要性和必要性，使得人人重视和参与绩效管理，在单位营造了良好的绩效管理氛围。</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rPr>
        <w:t>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。二是项目绩效自评情况。我单位共有1个项目批复了绩效目标，项目金额15.57万元。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黑体" w:hAnsi="宋体" w:eastAsia="黑体" w:cs="宋体"/>
          <w:color w:val="auto"/>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E642A"/>
    <w:multiLevelType w:val="singleLevel"/>
    <w:tmpl w:val="0D4E642A"/>
    <w:lvl w:ilvl="0" w:tentative="0">
      <w:start w:val="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79FFEE40"/>
    <w:multiLevelType w:val="singleLevel"/>
    <w:tmpl w:val="79FFEE4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14225"/>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21E1"/>
    <w:rsid w:val="00FA574D"/>
    <w:rsid w:val="00FC2588"/>
    <w:rsid w:val="00FE7AD9"/>
    <w:rsid w:val="01217081"/>
    <w:rsid w:val="01322275"/>
    <w:rsid w:val="01DC6F05"/>
    <w:rsid w:val="02A3489A"/>
    <w:rsid w:val="02CA138D"/>
    <w:rsid w:val="031E3D21"/>
    <w:rsid w:val="033646FC"/>
    <w:rsid w:val="03C52BEB"/>
    <w:rsid w:val="03C75F80"/>
    <w:rsid w:val="03E33071"/>
    <w:rsid w:val="041E4CBE"/>
    <w:rsid w:val="0478364D"/>
    <w:rsid w:val="053D4C0D"/>
    <w:rsid w:val="0557532E"/>
    <w:rsid w:val="074577EF"/>
    <w:rsid w:val="07702826"/>
    <w:rsid w:val="0799329C"/>
    <w:rsid w:val="08397436"/>
    <w:rsid w:val="086F16A7"/>
    <w:rsid w:val="0A0F7225"/>
    <w:rsid w:val="0A2B7D82"/>
    <w:rsid w:val="0ADC40E9"/>
    <w:rsid w:val="0AE607F4"/>
    <w:rsid w:val="0B386127"/>
    <w:rsid w:val="0B451598"/>
    <w:rsid w:val="0BEC73F4"/>
    <w:rsid w:val="0C0D7AE6"/>
    <w:rsid w:val="0C392698"/>
    <w:rsid w:val="0D47548D"/>
    <w:rsid w:val="0D8E6743"/>
    <w:rsid w:val="0E56100C"/>
    <w:rsid w:val="0E947667"/>
    <w:rsid w:val="101D3671"/>
    <w:rsid w:val="10BD36F6"/>
    <w:rsid w:val="10C44237"/>
    <w:rsid w:val="11BF0649"/>
    <w:rsid w:val="11D010D8"/>
    <w:rsid w:val="123E3E08"/>
    <w:rsid w:val="12ED755F"/>
    <w:rsid w:val="13130106"/>
    <w:rsid w:val="133212F4"/>
    <w:rsid w:val="13A20852"/>
    <w:rsid w:val="13AA0B40"/>
    <w:rsid w:val="13CF716E"/>
    <w:rsid w:val="13D22E22"/>
    <w:rsid w:val="14E153AA"/>
    <w:rsid w:val="161C2DFF"/>
    <w:rsid w:val="16373578"/>
    <w:rsid w:val="16531E83"/>
    <w:rsid w:val="16873E3C"/>
    <w:rsid w:val="16D3336B"/>
    <w:rsid w:val="16F2389F"/>
    <w:rsid w:val="17200028"/>
    <w:rsid w:val="173619DD"/>
    <w:rsid w:val="17806C36"/>
    <w:rsid w:val="17A74F62"/>
    <w:rsid w:val="189415E1"/>
    <w:rsid w:val="18A47774"/>
    <w:rsid w:val="19483C4A"/>
    <w:rsid w:val="197F0201"/>
    <w:rsid w:val="19A215A7"/>
    <w:rsid w:val="1A8D28EB"/>
    <w:rsid w:val="1A9F2D78"/>
    <w:rsid w:val="1B2E6FD8"/>
    <w:rsid w:val="1B877D21"/>
    <w:rsid w:val="1C4319A9"/>
    <w:rsid w:val="1C4767EB"/>
    <w:rsid w:val="1E443B4B"/>
    <w:rsid w:val="1E48649A"/>
    <w:rsid w:val="1E6C55D3"/>
    <w:rsid w:val="1E994F4A"/>
    <w:rsid w:val="1EAF0224"/>
    <w:rsid w:val="1EB81D4A"/>
    <w:rsid w:val="1F2230A4"/>
    <w:rsid w:val="20210932"/>
    <w:rsid w:val="202448E0"/>
    <w:rsid w:val="20F614FE"/>
    <w:rsid w:val="211978A7"/>
    <w:rsid w:val="21302EEA"/>
    <w:rsid w:val="214400D5"/>
    <w:rsid w:val="22376FB5"/>
    <w:rsid w:val="22EB3FC4"/>
    <w:rsid w:val="236256BA"/>
    <w:rsid w:val="23E152D7"/>
    <w:rsid w:val="23EE2489"/>
    <w:rsid w:val="23F539DE"/>
    <w:rsid w:val="245A4BC4"/>
    <w:rsid w:val="24D665AE"/>
    <w:rsid w:val="255D43C8"/>
    <w:rsid w:val="25690FF5"/>
    <w:rsid w:val="26714EF8"/>
    <w:rsid w:val="26876BDD"/>
    <w:rsid w:val="26AA30C8"/>
    <w:rsid w:val="2714632A"/>
    <w:rsid w:val="27541E73"/>
    <w:rsid w:val="27B0539E"/>
    <w:rsid w:val="287A36F4"/>
    <w:rsid w:val="290E2C3F"/>
    <w:rsid w:val="29365CF8"/>
    <w:rsid w:val="29533F40"/>
    <w:rsid w:val="299469B3"/>
    <w:rsid w:val="29BB4409"/>
    <w:rsid w:val="2A805789"/>
    <w:rsid w:val="2ADC0D75"/>
    <w:rsid w:val="2B4A0E52"/>
    <w:rsid w:val="2C944411"/>
    <w:rsid w:val="2C975890"/>
    <w:rsid w:val="2DDF2977"/>
    <w:rsid w:val="2DEF21BB"/>
    <w:rsid w:val="2E0D016D"/>
    <w:rsid w:val="2E4A2F05"/>
    <w:rsid w:val="2EB45BB2"/>
    <w:rsid w:val="2ECC1061"/>
    <w:rsid w:val="2F345823"/>
    <w:rsid w:val="2F6963F3"/>
    <w:rsid w:val="2FA476AD"/>
    <w:rsid w:val="303F7540"/>
    <w:rsid w:val="30976EBF"/>
    <w:rsid w:val="31376F5A"/>
    <w:rsid w:val="314F3970"/>
    <w:rsid w:val="31DD00BF"/>
    <w:rsid w:val="3293174C"/>
    <w:rsid w:val="32BB38D4"/>
    <w:rsid w:val="32C9376D"/>
    <w:rsid w:val="33780472"/>
    <w:rsid w:val="33AF0905"/>
    <w:rsid w:val="342F2216"/>
    <w:rsid w:val="34DA5971"/>
    <w:rsid w:val="354B444E"/>
    <w:rsid w:val="355932F4"/>
    <w:rsid w:val="35611882"/>
    <w:rsid w:val="36746FC3"/>
    <w:rsid w:val="368763AE"/>
    <w:rsid w:val="39333356"/>
    <w:rsid w:val="395D59E7"/>
    <w:rsid w:val="39A93932"/>
    <w:rsid w:val="3A915562"/>
    <w:rsid w:val="3B8D4765"/>
    <w:rsid w:val="3C000DBA"/>
    <w:rsid w:val="3C156C15"/>
    <w:rsid w:val="3C855514"/>
    <w:rsid w:val="3CA13A3D"/>
    <w:rsid w:val="3D254AE0"/>
    <w:rsid w:val="3D612FD2"/>
    <w:rsid w:val="3DC045D3"/>
    <w:rsid w:val="3DFC6B0E"/>
    <w:rsid w:val="3E1F4034"/>
    <w:rsid w:val="3E504FFB"/>
    <w:rsid w:val="3E615CD0"/>
    <w:rsid w:val="3E9C47F6"/>
    <w:rsid w:val="3EDC46B9"/>
    <w:rsid w:val="3F125FDD"/>
    <w:rsid w:val="3F8B0112"/>
    <w:rsid w:val="3F952DC8"/>
    <w:rsid w:val="3FAB3095"/>
    <w:rsid w:val="3FE45947"/>
    <w:rsid w:val="40FF1152"/>
    <w:rsid w:val="41242965"/>
    <w:rsid w:val="429D62D0"/>
    <w:rsid w:val="42DF22D1"/>
    <w:rsid w:val="4309515D"/>
    <w:rsid w:val="435671EA"/>
    <w:rsid w:val="43583144"/>
    <w:rsid w:val="440809E9"/>
    <w:rsid w:val="442407A6"/>
    <w:rsid w:val="44805EA1"/>
    <w:rsid w:val="44DC08E5"/>
    <w:rsid w:val="452D3C06"/>
    <w:rsid w:val="45500293"/>
    <w:rsid w:val="45710696"/>
    <w:rsid w:val="460A6705"/>
    <w:rsid w:val="46142B1B"/>
    <w:rsid w:val="466D0097"/>
    <w:rsid w:val="468A4F5A"/>
    <w:rsid w:val="46B40A66"/>
    <w:rsid w:val="473608B4"/>
    <w:rsid w:val="47822823"/>
    <w:rsid w:val="47C52D70"/>
    <w:rsid w:val="47E60DD0"/>
    <w:rsid w:val="48735039"/>
    <w:rsid w:val="48BE4F8B"/>
    <w:rsid w:val="492C684B"/>
    <w:rsid w:val="49500594"/>
    <w:rsid w:val="49E7604E"/>
    <w:rsid w:val="4AE7656F"/>
    <w:rsid w:val="4B017AA5"/>
    <w:rsid w:val="4B4226D9"/>
    <w:rsid w:val="4BF67CDD"/>
    <w:rsid w:val="4CC0351C"/>
    <w:rsid w:val="4CE115C0"/>
    <w:rsid w:val="4D173441"/>
    <w:rsid w:val="4D603DD6"/>
    <w:rsid w:val="4E1E24D3"/>
    <w:rsid w:val="4EBF010F"/>
    <w:rsid w:val="4ECA37CE"/>
    <w:rsid w:val="4EE82754"/>
    <w:rsid w:val="4F471EB0"/>
    <w:rsid w:val="4FDE5312"/>
    <w:rsid w:val="501F0D04"/>
    <w:rsid w:val="506708F8"/>
    <w:rsid w:val="506F1F11"/>
    <w:rsid w:val="50821101"/>
    <w:rsid w:val="51331326"/>
    <w:rsid w:val="514C5F8F"/>
    <w:rsid w:val="51612C25"/>
    <w:rsid w:val="51740A7F"/>
    <w:rsid w:val="51A5541E"/>
    <w:rsid w:val="51B932A5"/>
    <w:rsid w:val="51C96242"/>
    <w:rsid w:val="525816B2"/>
    <w:rsid w:val="53906AE1"/>
    <w:rsid w:val="54B605FA"/>
    <w:rsid w:val="54F46F60"/>
    <w:rsid w:val="55A37BEA"/>
    <w:rsid w:val="56362CD2"/>
    <w:rsid w:val="56BF65F2"/>
    <w:rsid w:val="57507DDA"/>
    <w:rsid w:val="5784687B"/>
    <w:rsid w:val="57846959"/>
    <w:rsid w:val="578E6A87"/>
    <w:rsid w:val="57F829EA"/>
    <w:rsid w:val="586214ED"/>
    <w:rsid w:val="596671F9"/>
    <w:rsid w:val="5A1214B9"/>
    <w:rsid w:val="5A71024C"/>
    <w:rsid w:val="5AC2203A"/>
    <w:rsid w:val="5C232C3D"/>
    <w:rsid w:val="5C2A2760"/>
    <w:rsid w:val="5CBB3334"/>
    <w:rsid w:val="5D115FAF"/>
    <w:rsid w:val="5DFB3FA8"/>
    <w:rsid w:val="5ECE652B"/>
    <w:rsid w:val="5F5554C1"/>
    <w:rsid w:val="5F9A0280"/>
    <w:rsid w:val="6062776D"/>
    <w:rsid w:val="60AA3E6F"/>
    <w:rsid w:val="60C34F31"/>
    <w:rsid w:val="61524F4C"/>
    <w:rsid w:val="61B63590"/>
    <w:rsid w:val="62446727"/>
    <w:rsid w:val="625A0109"/>
    <w:rsid w:val="62811722"/>
    <w:rsid w:val="62E36BEE"/>
    <w:rsid w:val="62E75A72"/>
    <w:rsid w:val="6372336A"/>
    <w:rsid w:val="63AE011A"/>
    <w:rsid w:val="63B95D10"/>
    <w:rsid w:val="64571880"/>
    <w:rsid w:val="6475376E"/>
    <w:rsid w:val="649125B6"/>
    <w:rsid w:val="652F4C1A"/>
    <w:rsid w:val="65605444"/>
    <w:rsid w:val="65B65064"/>
    <w:rsid w:val="65CB4DDD"/>
    <w:rsid w:val="666D37F1"/>
    <w:rsid w:val="66842908"/>
    <w:rsid w:val="67087D8F"/>
    <w:rsid w:val="671F687E"/>
    <w:rsid w:val="67F415F8"/>
    <w:rsid w:val="682640D1"/>
    <w:rsid w:val="683E19E9"/>
    <w:rsid w:val="684B73E5"/>
    <w:rsid w:val="6A047A2A"/>
    <w:rsid w:val="6A1A3E14"/>
    <w:rsid w:val="6B0D0137"/>
    <w:rsid w:val="6B252A70"/>
    <w:rsid w:val="6B3C59F4"/>
    <w:rsid w:val="6BEA2D5E"/>
    <w:rsid w:val="6EFB7548"/>
    <w:rsid w:val="6F3831C3"/>
    <w:rsid w:val="6F8B71C1"/>
    <w:rsid w:val="706E7DD8"/>
    <w:rsid w:val="70753482"/>
    <w:rsid w:val="707B522A"/>
    <w:rsid w:val="708953E2"/>
    <w:rsid w:val="72CC32BC"/>
    <w:rsid w:val="73194D05"/>
    <w:rsid w:val="73913644"/>
    <w:rsid w:val="73A83B0E"/>
    <w:rsid w:val="73B02D02"/>
    <w:rsid w:val="744D3EF9"/>
    <w:rsid w:val="74794411"/>
    <w:rsid w:val="753D4568"/>
    <w:rsid w:val="75867C40"/>
    <w:rsid w:val="75A87E65"/>
    <w:rsid w:val="75B10B26"/>
    <w:rsid w:val="75F401A9"/>
    <w:rsid w:val="76432199"/>
    <w:rsid w:val="767D019D"/>
    <w:rsid w:val="769228BC"/>
    <w:rsid w:val="76EF03D6"/>
    <w:rsid w:val="76F44829"/>
    <w:rsid w:val="777B14EC"/>
    <w:rsid w:val="77A267C0"/>
    <w:rsid w:val="78882278"/>
    <w:rsid w:val="78B118A6"/>
    <w:rsid w:val="79135044"/>
    <w:rsid w:val="7A304F8E"/>
    <w:rsid w:val="7A7D0F99"/>
    <w:rsid w:val="7B022DCE"/>
    <w:rsid w:val="7E124CBB"/>
    <w:rsid w:val="7E252B3B"/>
    <w:rsid w:val="7E4A0E7C"/>
    <w:rsid w:val="7EC65EC0"/>
    <w:rsid w:val="7EFD449D"/>
    <w:rsid w:val="7FBE4986"/>
    <w:rsid w:val="7FFD66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8078</Words>
  <Characters>9881</Characters>
  <Lines>60</Lines>
  <Paragraphs>16</Paragraphs>
  <TotalTime>0</TotalTime>
  <ScaleCrop>false</ScaleCrop>
  <LinksUpToDate>false</LinksUpToDate>
  <CharactersWithSpaces>10123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Winter</cp:lastModifiedBy>
  <cp:lastPrinted>2018-07-24T10:50:00Z</cp:lastPrinted>
  <dcterms:modified xsi:type="dcterms:W3CDTF">2023-05-09T00:54:46Z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CA53E81A31E1430D8CFD450919FB441E</vt:lpwstr>
  </property>
</Properties>
</file>