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许昌市军队离退休干部第二休养所</w:t>
      </w:r>
    </w:p>
    <w:p>
      <w:pPr>
        <w:jc w:val="center"/>
        <w:rPr>
          <w:rFonts w:hint="eastAsia" w:ascii="黑体" w:hAnsi="黑体" w:eastAsia="黑体" w:cs="黑体"/>
          <w:color w:val="auto"/>
          <w:sz w:val="52"/>
          <w:szCs w:val="52"/>
          <w:highlight w:val="none"/>
          <w:lang w:eastAsia="zh-CN"/>
        </w:rPr>
      </w:pPr>
      <w:r>
        <w:rPr>
          <w:rFonts w:hint="eastAsia" w:ascii="黑体" w:hAnsi="黑体" w:eastAsia="黑体" w:cs="黑体"/>
          <w:color w:val="auto"/>
          <w:sz w:val="52"/>
          <w:szCs w:val="52"/>
          <w:highlight w:val="none"/>
          <w:lang w:eastAsia="zh-CN"/>
        </w:rPr>
        <w:t>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许昌市军队离退休干部第二休养所</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b w:val="0"/>
          <w:bCs w:val="0"/>
          <w:color w:val="auto"/>
          <w:sz w:val="48"/>
          <w:szCs w:val="48"/>
          <w:highlight w:val="none"/>
          <w:lang w:eastAsia="zh-CN"/>
        </w:rPr>
        <w:t>许昌市军队离退休干部第二休养所概况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spacing w:line="336"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承担安置军队离退休干部并为其服务，包括军休干部生活扶助、医疗保健、生活待遇费发放、文件阅读与重要活动组织等工作</w:t>
      </w:r>
      <w:r>
        <w:rPr>
          <w:rFonts w:hint="eastAsia" w:ascii="仿宋_GB2312" w:hAnsi="仿宋_GB2312" w:eastAsia="仿宋_GB2312" w:cs="仿宋_GB2312"/>
          <w:sz w:val="32"/>
          <w:szCs w:val="32"/>
        </w:rPr>
        <w:t>。</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许昌市军队离退休干部第二休养所内设机构4个，包括：财务科、办公综合科、党建科、后勤科。</w:t>
      </w:r>
    </w:p>
    <w:p>
      <w:pPr>
        <w:spacing w:line="336"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从决算单位构成看，许昌市军队离退休干部第二休养所单位决算包括：本级决算。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sz w:val="32"/>
          <w:szCs w:val="32"/>
          <w:highlight w:val="none"/>
          <w:lang w:val="en-US" w:eastAsia="zh-CN"/>
        </w:rPr>
        <w:t>许昌市军队离退休干部第二休养所</w:t>
      </w:r>
    </w:p>
    <w:p>
      <w:pPr>
        <w:spacing w:line="336" w:lineRule="auto"/>
        <w:ind w:firstLine="640" w:firstLineChars="200"/>
        <w:rPr>
          <w:rFonts w:hint="eastAsia" w:ascii="仿宋_GB2312" w:hAnsi="仿宋_GB2312" w:eastAsia="仿宋_GB2312" w:cs="仿宋_GB2312"/>
          <w:sz w:val="32"/>
          <w:szCs w:val="32"/>
          <w:lang w:val="en-US" w:eastAsia="zh-CN"/>
        </w:rPr>
      </w:pP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ind w:firstLine="480" w:firstLineChars="100"/>
        <w:jc w:val="both"/>
        <w:outlineLvl w:val="0"/>
        <w:rPr>
          <w:rFonts w:hint="eastAsia" w:ascii="黑体" w:hAnsi="黑体" w:eastAsia="黑体" w:cs="黑体"/>
          <w:sz w:val="48"/>
          <w:szCs w:val="48"/>
          <w:highlight w:val="none"/>
        </w:rPr>
      </w:pPr>
    </w:p>
    <w:p>
      <w:pPr>
        <w:ind w:firstLine="480" w:firstLineChars="100"/>
        <w:jc w:val="both"/>
        <w:outlineLvl w:val="0"/>
        <w:rPr>
          <w:rFonts w:hint="eastAsia" w:ascii="黑体" w:hAnsi="黑体" w:eastAsia="黑体" w:cs="黑体"/>
          <w:sz w:val="48"/>
          <w:szCs w:val="48"/>
          <w:highlight w:val="none"/>
        </w:rPr>
      </w:pPr>
    </w:p>
    <w:p>
      <w:pPr>
        <w:ind w:firstLine="480" w:firstLineChars="100"/>
        <w:jc w:val="both"/>
        <w:outlineLvl w:val="0"/>
        <w:rPr>
          <w:rFonts w:hint="eastAsia" w:ascii="黑体" w:hAnsi="黑体" w:eastAsia="黑体" w:cs="黑体"/>
          <w:sz w:val="48"/>
          <w:szCs w:val="48"/>
          <w:highlight w:val="none"/>
        </w:rPr>
      </w:pPr>
    </w:p>
    <w:p>
      <w:pPr>
        <w:ind w:firstLine="480" w:firstLineChars="100"/>
        <w:jc w:val="both"/>
        <w:outlineLvl w:val="0"/>
        <w:rPr>
          <w:rFonts w:hint="eastAsia" w:ascii="黑体" w:hAnsi="宋体" w:eastAsia="黑体" w:cs="宋体"/>
          <w:kern w:val="0"/>
          <w:sz w:val="48"/>
          <w:szCs w:val="48"/>
          <w:highlight w:val="none"/>
        </w:rPr>
      </w:pPr>
      <w:r>
        <w:rPr>
          <w:rFonts w:hint="eastAsia" w:ascii="黑体" w:hAnsi="黑体" w:eastAsia="黑体" w:cs="黑体"/>
          <w:sz w:val="48"/>
          <w:szCs w:val="48"/>
          <w:highlight w:val="none"/>
        </w:rPr>
        <w:t xml:space="preserve">第二部分  </w:t>
      </w:r>
      <w:r>
        <w:rPr>
          <w:rFonts w:hint="eastAsia" w:ascii="黑体" w:hAnsi="黑体" w:eastAsia="黑体" w:cs="黑体"/>
          <w:color w:val="auto"/>
          <w:sz w:val="48"/>
          <w:szCs w:val="48"/>
          <w:highlight w:val="none"/>
          <w:lang w:eastAsia="zh-CN"/>
        </w:rPr>
        <w:t>20</w:t>
      </w:r>
      <w:r>
        <w:rPr>
          <w:rFonts w:hint="eastAsia" w:ascii="黑体" w:hAnsi="黑体" w:eastAsia="黑体" w:cs="黑体"/>
          <w:color w:val="auto"/>
          <w:sz w:val="48"/>
          <w:szCs w:val="48"/>
          <w:highlight w:val="none"/>
          <w:lang w:val="en-US" w:eastAsia="zh-CN"/>
        </w:rPr>
        <w:t>21</w:t>
      </w:r>
      <w:r>
        <w:rPr>
          <w:rFonts w:hint="eastAsia" w:ascii="黑体" w:hAnsi="黑体" w:eastAsia="黑体" w:cs="黑体"/>
          <w:color w:val="auto"/>
          <w:sz w:val="48"/>
          <w:szCs w:val="48"/>
          <w:highlight w:val="none"/>
          <w:lang w:eastAsia="zh-CN"/>
        </w:rPr>
        <w:t>年度单位决算</w:t>
      </w:r>
      <w:r>
        <w:rPr>
          <w:rFonts w:hint="eastAsia" w:ascii="黑体" w:hAnsi="黑体" w:eastAsia="黑体" w:cs="黑体"/>
          <w:color w:val="auto"/>
          <w:sz w:val="48"/>
          <w:szCs w:val="48"/>
          <w:highlight w:val="none"/>
        </w:rPr>
        <w:t>表</w:t>
      </w:r>
    </w:p>
    <w:p>
      <w:pPr>
        <w:widowControl/>
        <w:jc w:val="left"/>
        <w:rPr>
          <w:rFonts w:hint="eastAsia" w:ascii="黑体" w:hAnsi="宋体" w:eastAsia="黑体" w:cs="宋体"/>
          <w:kern w:val="0"/>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6"/>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97"/>
        <w:gridCol w:w="883"/>
        <w:gridCol w:w="1313"/>
        <w:gridCol w:w="4610"/>
        <w:gridCol w:w="883"/>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390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：许昌市军队离退休干部第二休养所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1,222.19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1,222.19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20"/>
          <w:szCs w:val="20"/>
          <w:highlight w:val="none"/>
        </w:rPr>
        <w:sectPr>
          <w:pgSz w:w="16838" w:h="11906" w:orient="landscape"/>
          <w:pgMar w:top="1800" w:right="1440" w:bottom="1800" w:left="144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6"/>
        <w:tblW w:w="13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6"/>
        <w:gridCol w:w="306"/>
        <w:gridCol w:w="306"/>
        <w:gridCol w:w="4441"/>
        <w:gridCol w:w="1368"/>
        <w:gridCol w:w="1368"/>
        <w:gridCol w:w="861"/>
        <w:gridCol w:w="759"/>
        <w:gridCol w:w="759"/>
        <w:gridCol w:w="961"/>
        <w:gridCol w:w="2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3800"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：许昌市军队离退休干部第二休养所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3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133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90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75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75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106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210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9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9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3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9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3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3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0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5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6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0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3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5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6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10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766.38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851.38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退役安置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760.25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675.26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军队移交政府的离退休人员安置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665.22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580.22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军队移交政府离退休干部管理机构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9"/>
        <w:gridCol w:w="268"/>
        <w:gridCol w:w="690"/>
        <w:gridCol w:w="5644"/>
        <w:gridCol w:w="1515"/>
        <w:gridCol w:w="1179"/>
        <w:gridCol w:w="1455"/>
        <w:gridCol w:w="990"/>
        <w:gridCol w:w="812"/>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7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70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7"/>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：许昌市军队离退休干部第二休养所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6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119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502"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23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9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1683"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4704"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6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70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6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704"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6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9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02"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3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83"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6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9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02"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3"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1,222.19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164.31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1,057.88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47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1,222.19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47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47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47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47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w:t>
            </w:r>
          </w:p>
        </w:tc>
        <w:tc>
          <w:tcPr>
            <w:tcW w:w="47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退役安置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1,125.50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1,057.88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2080902</w:t>
            </w:r>
          </w:p>
        </w:tc>
        <w:tc>
          <w:tcPr>
            <w:tcW w:w="47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军队移交政府的离退休人员安置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941.49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941.49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2080903</w:t>
            </w:r>
          </w:p>
        </w:tc>
        <w:tc>
          <w:tcPr>
            <w:tcW w:w="47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军队移交政府离退休干部管理机构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2080999</w:t>
            </w:r>
          </w:p>
        </w:tc>
        <w:tc>
          <w:tcPr>
            <w:tcW w:w="4704"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2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4704"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20"/>
          <w:szCs w:val="20"/>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1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62"/>
        <w:gridCol w:w="527"/>
        <w:gridCol w:w="1046"/>
        <w:gridCol w:w="3632"/>
        <w:gridCol w:w="703"/>
        <w:gridCol w:w="980"/>
        <w:gridCol w:w="1220"/>
        <w:gridCol w:w="1230"/>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14129"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bookmarkStart w:id="0" w:name="_GoBack"/>
            <w:bookmarkEnd w:id="0"/>
            <w:r>
              <w:rPr>
                <w:rFonts w:hint="eastAsia" w:ascii="华文中宋" w:hAnsi="华文中宋" w:eastAsia="华文中宋" w:cs="华文中宋"/>
                <w:color w:val="000000"/>
                <w:kern w:val="0"/>
                <w:sz w:val="32"/>
                <w:szCs w:val="32"/>
                <w:highlight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162"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52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4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632"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70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9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79"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10050"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：许昌市军队离退休干部第二休养所</w:t>
            </w:r>
          </w:p>
        </w:tc>
        <w:tc>
          <w:tcPr>
            <w:tcW w:w="4079"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473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939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16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2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104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363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0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8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12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16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trPr>
        <w:tc>
          <w:tcPr>
            <w:tcW w:w="316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2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4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63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8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27"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046"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703" w:type="dxa"/>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8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766.38</w:t>
            </w: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1,137.19</w:t>
            </w:r>
          </w:p>
        </w:tc>
        <w:tc>
          <w:tcPr>
            <w:tcW w:w="12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1,137.19</w:t>
            </w: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auto"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46" w:type="dxa"/>
            <w:tcBorders>
              <w:top w:val="nil"/>
              <w:left w:val="nil"/>
              <w:bottom w:val="single" w:color="auto"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703" w:type="dxa"/>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80" w:type="dxa"/>
            <w:tcBorders>
              <w:top w:val="nil"/>
              <w:left w:val="nil"/>
              <w:bottom w:val="single" w:color="auto"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auto"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auto"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single" w:color="auto" w:sz="4" w:space="0"/>
              <w:left w:val="single" w:color="auto"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046" w:type="dxa"/>
            <w:tcBorders>
              <w:top w:val="single" w:color="auto" w:sz="4" w:space="0"/>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703" w:type="dxa"/>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80" w:type="dxa"/>
            <w:tcBorders>
              <w:top w:val="single" w:color="auto" w:sz="4" w:space="0"/>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single" w:color="auto" w:sz="4" w:space="0"/>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auto" w:sz="4" w:space="0"/>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single" w:color="auto" w:sz="4" w:space="0"/>
              <w:left w:val="nil"/>
              <w:bottom w:val="single" w:color="000000" w:sz="4" w:space="0"/>
              <w:right w:val="single" w:color="auto"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auto"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auto"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auto"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auto"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auto"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auto"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auto"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auto"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auto"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auto"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auto"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auto"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auto" w:sz="4" w:space="0"/>
              <w:bottom w:val="single" w:color="auto"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527" w:type="dxa"/>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046" w:type="dxa"/>
            <w:tcBorders>
              <w:top w:val="nil"/>
              <w:left w:val="nil"/>
              <w:bottom w:val="single" w:color="auto"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auto"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703" w:type="dxa"/>
            <w:tcBorders>
              <w:top w:val="nil"/>
              <w:left w:val="nil"/>
              <w:bottom w:val="single" w:color="auto"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80" w:type="dxa"/>
            <w:tcBorders>
              <w:top w:val="nil"/>
              <w:left w:val="nil"/>
              <w:bottom w:val="single" w:color="auto"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auto"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auto"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auto" w:sz="4" w:space="0"/>
              <w:right w:val="single" w:color="auto"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single" w:color="auto"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046" w:type="dxa"/>
            <w:tcBorders>
              <w:top w:val="single" w:color="auto" w:sz="4" w:space="0"/>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703" w:type="dxa"/>
            <w:tcBorders>
              <w:top w:val="single" w:color="auto"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80" w:type="dxa"/>
            <w:tcBorders>
              <w:top w:val="single" w:color="auto" w:sz="4" w:space="0"/>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single" w:color="auto" w:sz="4" w:space="0"/>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single" w:color="auto" w:sz="4" w:space="0"/>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single" w:color="auto" w:sz="4" w:space="0"/>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0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766.38</w:t>
            </w: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1,137.19</w:t>
            </w:r>
          </w:p>
        </w:tc>
        <w:tc>
          <w:tcPr>
            <w:tcW w:w="12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1,137.19</w:t>
            </w: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0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370.81</w:t>
            </w: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0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370.81</w:t>
            </w:r>
          </w:p>
        </w:tc>
        <w:tc>
          <w:tcPr>
            <w:tcW w:w="36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3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52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04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3632"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316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27" w:type="dxa"/>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04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1,137.19</w:t>
            </w:r>
          </w:p>
        </w:tc>
        <w:tc>
          <w:tcPr>
            <w:tcW w:w="3632"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1,137.19</w:t>
            </w:r>
          </w:p>
        </w:tc>
        <w:tc>
          <w:tcPr>
            <w:tcW w:w="12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1,137.19</w:t>
            </w:r>
          </w:p>
        </w:tc>
        <w:tc>
          <w:tcPr>
            <w:tcW w:w="12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6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4129"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7"/>
        <w:gridCol w:w="327"/>
        <w:gridCol w:w="327"/>
        <w:gridCol w:w="5034"/>
        <w:gridCol w:w="2449"/>
        <w:gridCol w:w="2220"/>
        <w:gridCol w:w="32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3920"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：许昌市军队离退休干部第二休养所</w:t>
            </w:r>
          </w:p>
        </w:tc>
        <w:tc>
          <w:tcPr>
            <w:tcW w:w="0" w:type="auto"/>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414"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158"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4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2241"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77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4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2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158"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4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241"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7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1,137.19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164.31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972.88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1,137.19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退役安置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1,040.50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972.88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军队移交政府的离退休人员安置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军队移交政府离退休干部管理机构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182.53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其他退役安置支出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
        <w:gridCol w:w="2685"/>
        <w:gridCol w:w="1080"/>
        <w:gridCol w:w="825"/>
        <w:gridCol w:w="2235"/>
        <w:gridCol w:w="1080"/>
        <w:gridCol w:w="1020"/>
        <w:gridCol w:w="3015"/>
        <w:gridCol w:w="11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81"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972"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268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8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737" w:type="dxa"/>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：许昌市军队离退休干部第二休养所</w:t>
            </w:r>
          </w:p>
        </w:tc>
        <w:tc>
          <w:tcPr>
            <w:tcW w:w="82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22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8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2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18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9344"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68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8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0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6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68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2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0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6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52.76</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11.89</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11.76</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6.30</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11.95</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3.63</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2.61</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111.54</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9.87</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14.70</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86.83</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w:t>
            </w: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301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0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268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0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72"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268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82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223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108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02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301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57"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108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164.31</w:t>
            </w:r>
          </w:p>
        </w:tc>
        <w:tc>
          <w:tcPr>
            <w:tcW w:w="8175"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116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1"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5"/>
        <w:gridCol w:w="1135"/>
        <w:gridCol w:w="1135"/>
        <w:gridCol w:w="1135"/>
        <w:gridCol w:w="1135"/>
        <w:gridCol w:w="1135"/>
        <w:gridCol w:w="1135"/>
        <w:gridCol w:w="1135"/>
        <w:gridCol w:w="1135"/>
        <w:gridCol w:w="1135"/>
        <w:gridCol w:w="1135"/>
        <w:gridCol w:w="11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362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华文中宋" w:hAnsi="华文中宋" w:eastAsia="华文中宋" w:cs="华文中宋"/>
                <w:color w:val="000000"/>
                <w:kern w:val="0"/>
                <w:sz w:val="32"/>
                <w:szCs w:val="32"/>
                <w:highlight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：许昌市军队离退休干部第二休养所</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81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81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40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11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1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3405"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1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11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1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35"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1" w:hRule="atLeast"/>
        </w:trPr>
        <w:tc>
          <w:tcPr>
            <w:tcW w:w="1362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34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38"/>
        <w:gridCol w:w="338"/>
        <w:gridCol w:w="401"/>
        <w:gridCol w:w="1670"/>
        <w:gridCol w:w="1847"/>
        <w:gridCol w:w="1847"/>
        <w:gridCol w:w="1847"/>
        <w:gridCol w:w="1847"/>
        <w:gridCol w:w="1849"/>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3419"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华文中宋" w:hAnsi="华文中宋" w:eastAsia="华文中宋" w:cs="华文中宋"/>
                <w:color w:val="000000"/>
                <w:kern w:val="0"/>
                <w:sz w:val="32"/>
                <w:szCs w:val="32"/>
                <w:highlight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38"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38"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01"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70"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8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441" w:type="dxa"/>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：许昌市军队离退休干部第二休养所</w:t>
            </w:r>
          </w:p>
        </w:tc>
        <w:tc>
          <w:tcPr>
            <w:tcW w:w="18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84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84"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74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8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8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5543"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14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670"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84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84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14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7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07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670"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4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4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274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4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4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35"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2747"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c>
          <w:tcPr>
            <w:tcW w:w="14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7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6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7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6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7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6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7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6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7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6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7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6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1077"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67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84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14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3419"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本年度政府性基金预算财政拨款收入、支出及结转和结余情况。本表金额转换为万元时，因四舍五入可能存在尾差。</w:t>
            </w:r>
          </w:p>
        </w:tc>
      </w:tr>
    </w:tbl>
    <w:p>
      <w:pPr>
        <w:widowControl/>
        <w:jc w:val="left"/>
        <w:textAlignment w:val="center"/>
        <w:rPr>
          <w:rFonts w:hint="eastAsia" w:ascii="仿宋_GB2312" w:hAnsi="仿宋_GB2312" w:eastAsia="宋体" w:cs="仿宋_GB2312"/>
          <w:sz w:val="32"/>
          <w:szCs w:val="32"/>
          <w:highlight w:val="none"/>
          <w:lang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cs="宋体"/>
          <w:color w:val="000000"/>
          <w:sz w:val="20"/>
          <w:szCs w:val="20"/>
          <w:highlight w:val="none"/>
        </w:rPr>
        <w:t>说明：我</w:t>
      </w:r>
      <w:r>
        <w:rPr>
          <w:rFonts w:hint="eastAsia" w:ascii="宋体" w:hAnsi="宋体" w:cs="宋体"/>
          <w:color w:val="000000"/>
          <w:sz w:val="20"/>
          <w:szCs w:val="20"/>
          <w:highlight w:val="none"/>
          <w:lang w:eastAsia="zh-CN"/>
        </w:rPr>
        <w:t>单位</w:t>
      </w:r>
      <w:r>
        <w:rPr>
          <w:rFonts w:hint="eastAsia" w:ascii="宋体" w:hAnsi="宋体" w:cs="宋体"/>
          <w:color w:val="000000"/>
          <w:sz w:val="20"/>
          <w:szCs w:val="20"/>
          <w:highlight w:val="none"/>
        </w:rPr>
        <w:t>没有政府性基金收入，也没有使用政府性基金安排的支出，故本表无数据</w:t>
      </w:r>
      <w:r>
        <w:rPr>
          <w:rFonts w:hint="eastAsia" w:ascii="宋体" w:hAnsi="宋体" w:cs="宋体"/>
          <w:color w:val="000000"/>
          <w:sz w:val="20"/>
          <w:szCs w:val="20"/>
          <w:highlight w:val="none"/>
          <w:lang w:eastAsia="zh-CN"/>
        </w:rPr>
        <w:t>。</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default" w:ascii="黑体" w:hAnsi="黑体" w:eastAsia="仿宋_GB2312" w:cs="黑体"/>
          <w:sz w:val="32"/>
          <w:szCs w:val="32"/>
          <w:highlight w:val="none"/>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1222.19</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567.89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31.72</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2020年有结转，2021无结转。</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851.38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766.38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90.02</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85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9.98</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1222.19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164.31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13.44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1057.88</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86.56</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1137.19</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652.89</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36.47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2020年有结转，2021无结转。</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1137.19</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93.05</w:t>
      </w:r>
      <w:r>
        <w:rPr>
          <w:rFonts w:hint="eastAsia" w:ascii="仿宋_GB2312" w:hAnsi="仿宋_GB2312" w:eastAsia="仿宋_GB2312" w:cs="仿宋_GB2312"/>
          <w:sz w:val="32"/>
          <w:szCs w:val="32"/>
          <w:highlight w:val="none"/>
        </w:rPr>
        <w:t>%。与上年度相比，一般公共预算财政拨款支出减少</w:t>
      </w:r>
      <w:r>
        <w:rPr>
          <w:rFonts w:hint="eastAsia" w:ascii="仿宋_GB2312" w:hAnsi="仿宋_GB2312" w:eastAsia="仿宋_GB2312" w:cs="仿宋_GB2312"/>
          <w:sz w:val="32"/>
          <w:szCs w:val="32"/>
          <w:highlight w:val="none"/>
          <w:lang w:val="en-US" w:eastAsia="zh-CN"/>
        </w:rPr>
        <w:t>250.60</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18.06</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2020年有结转，2021无结转</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1137.19</w:t>
      </w:r>
      <w:r>
        <w:rPr>
          <w:rFonts w:hint="eastAsia" w:ascii="仿宋_GB2312" w:hAnsi="仿宋_GB2312" w:eastAsia="仿宋_GB2312" w:cs="仿宋_GB2312"/>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社会保障和就业（类）支出1137.19万元，占100%</w:t>
      </w:r>
      <w:r>
        <w:rPr>
          <w:rFonts w:hint="eastAsia" w:ascii="宋体" w:hAnsi="宋体" w:eastAsia="宋体" w:cs="宋体"/>
          <w:b w:val="0"/>
          <w:bCs w:val="0"/>
          <w:color w:val="auto"/>
          <w:sz w:val="32"/>
          <w:szCs w:val="32"/>
          <w:highlight w:val="none"/>
          <w:lang w:val="en-US" w:eastAsia="zh-CN"/>
        </w:rPr>
        <w:t>。</w:t>
      </w:r>
    </w:p>
    <w:p>
      <w:pPr>
        <w:widowControl/>
        <w:spacing w:line="590" w:lineRule="exact"/>
        <w:ind w:firstLine="642"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1137.19</w:t>
      </w:r>
      <w:r>
        <w:rPr>
          <w:rFonts w:hint="eastAsia" w:ascii="仿宋_GB2312" w:hAnsi="仿宋_GB2312" w:eastAsia="仿宋_GB2312" w:cs="仿宋_GB2312"/>
          <w:sz w:val="32"/>
          <w:szCs w:val="32"/>
          <w:highlight w:val="none"/>
        </w:rPr>
        <w:t>万元。其中：</w:t>
      </w:r>
    </w:p>
    <w:p>
      <w:pPr>
        <w:widowControl/>
        <w:numPr>
          <w:ilvl w:val="0"/>
          <w:numId w:val="0"/>
        </w:numPr>
        <w:spacing w:line="590" w:lineRule="exact"/>
        <w:ind w:firstLine="642"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1.社会保障和就业支出（类）行政事业单位养老支出（款）事业单位离退休（项）。</w:t>
      </w:r>
      <w:r>
        <w:rPr>
          <w:rFonts w:hint="eastAsia" w:ascii="仿宋_GB2312" w:hAnsi="仿宋_GB2312" w:eastAsia="仿宋_GB2312" w:cs="仿宋_GB2312"/>
          <w:color w:val="auto"/>
          <w:sz w:val="32"/>
          <w:szCs w:val="32"/>
          <w:highlight w:val="none"/>
          <w:lang w:val="en-US" w:eastAsia="zh-CN"/>
        </w:rPr>
        <w:t>年初预算为0元，支出决算为9.87万元。决算数与年初预算数</w:t>
      </w:r>
      <w:r>
        <w:rPr>
          <w:rFonts w:hint="eastAsia" w:ascii="仿宋_GB2312" w:hAnsi="仿宋_GB2312" w:eastAsia="仿宋_GB2312" w:cs="仿宋_GB2312"/>
          <w:sz w:val="32"/>
          <w:szCs w:val="32"/>
        </w:rPr>
        <w:t>存在差异的主要原因是</w:t>
      </w:r>
      <w:r>
        <w:rPr>
          <w:rFonts w:hint="eastAsia" w:ascii="仿宋_GB2312" w:hAnsi="仿宋_GB2312" w:eastAsia="仿宋_GB2312" w:cs="仿宋_GB2312"/>
          <w:color w:val="auto"/>
          <w:sz w:val="32"/>
          <w:szCs w:val="32"/>
          <w:highlight w:val="none"/>
          <w:lang w:val="en-US" w:eastAsia="zh-CN"/>
        </w:rPr>
        <w:t>上级下达资金未列入单位预算。</w:t>
      </w:r>
    </w:p>
    <w:p>
      <w:pPr>
        <w:widowControl/>
        <w:numPr>
          <w:ilvl w:val="0"/>
          <w:numId w:val="0"/>
        </w:numPr>
        <w:spacing w:line="590" w:lineRule="exact"/>
        <w:ind w:firstLine="642"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2．社会保障和就业支出（类）抚恤（款）死亡抚恤（项）。</w:t>
      </w:r>
      <w:r>
        <w:rPr>
          <w:rFonts w:hint="eastAsia" w:ascii="仿宋_GB2312" w:hAnsi="仿宋_GB2312" w:eastAsia="仿宋_GB2312" w:cs="仿宋_GB2312"/>
          <w:color w:val="auto"/>
          <w:sz w:val="32"/>
          <w:szCs w:val="32"/>
          <w:highlight w:val="none"/>
          <w:lang w:val="en-US" w:eastAsia="zh-CN"/>
        </w:rPr>
        <w:t>年初预算为0万元，支出决算为86.83万元。决算数与年初预算数</w:t>
      </w:r>
      <w:r>
        <w:rPr>
          <w:rFonts w:hint="eastAsia" w:ascii="仿宋_GB2312" w:hAnsi="仿宋_GB2312" w:eastAsia="仿宋_GB2312" w:cs="仿宋_GB2312"/>
          <w:sz w:val="32"/>
          <w:szCs w:val="32"/>
        </w:rPr>
        <w:t>存在差异的主要原因是</w:t>
      </w:r>
      <w:r>
        <w:rPr>
          <w:rFonts w:hint="eastAsia" w:ascii="仿宋_GB2312" w:hAnsi="仿宋_GB2312" w:eastAsia="仿宋_GB2312" w:cs="仿宋_GB2312"/>
          <w:color w:val="auto"/>
          <w:sz w:val="32"/>
          <w:szCs w:val="32"/>
          <w:highlight w:val="none"/>
          <w:lang w:val="en-US" w:eastAsia="zh-CN"/>
        </w:rPr>
        <w:t>上级下达资金未列入单位预算。</w:t>
      </w:r>
    </w:p>
    <w:p>
      <w:pPr>
        <w:widowControl/>
        <w:numPr>
          <w:ilvl w:val="0"/>
          <w:numId w:val="0"/>
        </w:numPr>
        <w:spacing w:line="590" w:lineRule="exact"/>
        <w:ind w:firstLine="642"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3．社会保障和就业支出（类）退役安置（款）军队移交政府的离退休人员安置（项）。</w:t>
      </w:r>
      <w:r>
        <w:rPr>
          <w:rFonts w:hint="eastAsia" w:ascii="仿宋_GB2312" w:hAnsi="仿宋_GB2312" w:eastAsia="仿宋_GB2312" w:cs="仿宋_GB2312"/>
          <w:color w:val="auto"/>
          <w:sz w:val="32"/>
          <w:szCs w:val="32"/>
          <w:highlight w:val="none"/>
          <w:lang w:val="en-US" w:eastAsia="zh-CN"/>
        </w:rPr>
        <w:t>年初预算为0万元，支出决算为856.49万元。决算数与年初预算数</w:t>
      </w:r>
      <w:r>
        <w:rPr>
          <w:rFonts w:hint="eastAsia" w:ascii="仿宋_GB2312" w:hAnsi="仿宋_GB2312" w:eastAsia="仿宋_GB2312" w:cs="仿宋_GB2312"/>
          <w:sz w:val="32"/>
          <w:szCs w:val="32"/>
        </w:rPr>
        <w:t>存在差异的主要原因是</w:t>
      </w:r>
      <w:r>
        <w:rPr>
          <w:rFonts w:hint="eastAsia" w:ascii="仿宋_GB2312" w:hAnsi="仿宋_GB2312" w:eastAsia="仿宋_GB2312" w:cs="仿宋_GB2312"/>
          <w:color w:val="auto"/>
          <w:sz w:val="32"/>
          <w:szCs w:val="32"/>
          <w:highlight w:val="none"/>
          <w:lang w:val="en-US" w:eastAsia="zh-CN"/>
        </w:rPr>
        <w:t>上级下达资金未列入单位预算。</w:t>
      </w:r>
    </w:p>
    <w:p>
      <w:pPr>
        <w:widowControl/>
        <w:numPr>
          <w:ilvl w:val="0"/>
          <w:numId w:val="0"/>
        </w:numPr>
        <w:spacing w:line="590" w:lineRule="exact"/>
        <w:ind w:firstLine="640" w:firstLineChars="200"/>
        <w:jc w:val="both"/>
        <w:rPr>
          <w:rFonts w:hint="eastAsia" w:ascii="仿宋_GB2312" w:hAnsi="仿宋_GB2312" w:eastAsia="仿宋_GB2312" w:cs="仿宋_GB2312"/>
          <w:color w:val="auto"/>
          <w:sz w:val="32"/>
          <w:szCs w:val="32"/>
          <w:highlight w:val="none"/>
          <w:lang w:val="en-US" w:eastAsia="zh-CN"/>
        </w:rPr>
      </w:pPr>
    </w:p>
    <w:p>
      <w:pPr>
        <w:widowControl/>
        <w:numPr>
          <w:ilvl w:val="0"/>
          <w:numId w:val="0"/>
        </w:numPr>
        <w:spacing w:line="590" w:lineRule="exact"/>
        <w:ind w:firstLine="642"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4．社会保障和就业支出（类）退役安置（款）军队移交政府离退休干部管理机构（项）。</w:t>
      </w:r>
      <w:r>
        <w:rPr>
          <w:rFonts w:hint="eastAsia" w:ascii="仿宋_GB2312" w:hAnsi="仿宋_GB2312" w:eastAsia="仿宋_GB2312" w:cs="仿宋_GB2312"/>
          <w:color w:val="auto"/>
          <w:sz w:val="32"/>
          <w:szCs w:val="32"/>
          <w:highlight w:val="none"/>
          <w:lang w:val="en-US" w:eastAsia="zh-CN"/>
        </w:rPr>
        <w:t>年初预算为0万元，支出决算为182.53万元。决算数与年初预算数</w:t>
      </w:r>
      <w:r>
        <w:rPr>
          <w:rFonts w:hint="eastAsia" w:ascii="仿宋_GB2312" w:hAnsi="仿宋_GB2312" w:eastAsia="仿宋_GB2312" w:cs="仿宋_GB2312"/>
          <w:sz w:val="32"/>
          <w:szCs w:val="32"/>
        </w:rPr>
        <w:t>存在差异的主要原因是</w:t>
      </w:r>
      <w:r>
        <w:rPr>
          <w:rFonts w:hint="eastAsia" w:ascii="仿宋_GB2312" w:hAnsi="仿宋_GB2312" w:eastAsia="仿宋_GB2312" w:cs="仿宋_GB2312"/>
          <w:color w:val="auto"/>
          <w:sz w:val="32"/>
          <w:szCs w:val="32"/>
          <w:highlight w:val="none"/>
          <w:lang w:val="en-US" w:eastAsia="zh-CN"/>
        </w:rPr>
        <w:t>上级下达资金未列入单位预算。</w:t>
      </w:r>
    </w:p>
    <w:p>
      <w:pPr>
        <w:widowControl/>
        <w:numPr>
          <w:ilvl w:val="0"/>
          <w:numId w:val="0"/>
        </w:numPr>
        <w:spacing w:line="590" w:lineRule="exact"/>
        <w:ind w:firstLine="642"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5．社会保障和就业支出（类）退役安置（款）其他退役安置支出（项）。</w:t>
      </w:r>
      <w:r>
        <w:rPr>
          <w:rFonts w:hint="eastAsia" w:ascii="仿宋_GB2312" w:hAnsi="仿宋_GB2312" w:eastAsia="仿宋_GB2312" w:cs="仿宋_GB2312"/>
          <w:color w:val="auto"/>
          <w:sz w:val="32"/>
          <w:szCs w:val="32"/>
          <w:highlight w:val="none"/>
          <w:lang w:val="en-US" w:eastAsia="zh-CN"/>
        </w:rPr>
        <w:t>年初预算为0万元，支出决算为1.48万元。决算数与年初预算数</w:t>
      </w:r>
      <w:r>
        <w:rPr>
          <w:rFonts w:hint="eastAsia" w:ascii="仿宋_GB2312" w:hAnsi="仿宋_GB2312" w:eastAsia="仿宋_GB2312" w:cs="仿宋_GB2312"/>
          <w:sz w:val="32"/>
          <w:szCs w:val="32"/>
        </w:rPr>
        <w:t>存在差异的主要原因是</w:t>
      </w:r>
      <w:r>
        <w:rPr>
          <w:rFonts w:hint="eastAsia" w:ascii="仿宋_GB2312" w:hAnsi="仿宋_GB2312" w:eastAsia="仿宋_GB2312" w:cs="仿宋_GB2312"/>
          <w:color w:val="auto"/>
          <w:sz w:val="32"/>
          <w:szCs w:val="32"/>
          <w:highlight w:val="none"/>
          <w:lang w:val="en-US" w:eastAsia="zh-CN"/>
        </w:rPr>
        <w:t>上级下达资金未列入单位预算。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w:t>
      </w:r>
      <w:r>
        <w:rPr>
          <w:rFonts w:hint="eastAsia" w:ascii="黑体" w:hAnsi="黑体" w:eastAsia="黑体" w:cs="黑体"/>
          <w:sz w:val="32"/>
          <w:szCs w:val="32"/>
          <w:highlight w:val="none"/>
          <w:lang w:val="en-US" w:eastAsia="zh-CN"/>
        </w:rPr>
        <w:t>一</w:t>
      </w:r>
      <w:r>
        <w:rPr>
          <w:rFonts w:hint="eastAsia" w:ascii="黑体" w:hAnsi="黑体" w:eastAsia="黑体" w:cs="黑体"/>
          <w:sz w:val="32"/>
          <w:szCs w:val="32"/>
          <w:highlight w:val="none"/>
        </w:rPr>
        <w:t>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164.31</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164.31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rPr>
        <w:t>主要包括：基本工资、津贴补贴、</w:t>
      </w:r>
      <w:r>
        <w:rPr>
          <w:rFonts w:hint="eastAsia" w:ascii="仿宋_GB2312" w:hAnsi="仿宋_GB2312" w:eastAsia="仿宋_GB2312" w:cs="仿宋_GB2312"/>
          <w:sz w:val="32"/>
          <w:szCs w:val="32"/>
          <w:lang w:val="en-US" w:eastAsia="zh-CN"/>
        </w:rPr>
        <w:t>奖金、</w:t>
      </w:r>
      <w:r>
        <w:rPr>
          <w:rFonts w:hint="eastAsia" w:ascii="仿宋_GB2312" w:hAnsi="仿宋_GB2312" w:eastAsia="仿宋_GB2312" w:cs="仿宋_GB2312"/>
          <w:sz w:val="32"/>
          <w:szCs w:val="32"/>
        </w:rPr>
        <w:t>绩效工资、机关事业单位基本养老保险缴费、职业年金缴费、离休费、退休费、抚恤金、生活补助、住房公积金；公用经费0.92万元，主要包括：差旅费、福利费。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1.15</w:t>
      </w:r>
      <w:r>
        <w:rPr>
          <w:rFonts w:hint="eastAsia" w:ascii="仿宋_GB2312" w:hAnsi="仿宋_GB2312" w:eastAsia="仿宋_GB2312" w:cs="仿宋_GB2312"/>
          <w:sz w:val="32"/>
          <w:szCs w:val="32"/>
          <w:highlight w:val="none"/>
        </w:rPr>
        <w:t>元，支出决算为</w:t>
      </w:r>
      <w:r>
        <w:rPr>
          <w:rFonts w:hint="eastAsia" w:ascii="仿宋_GB2312" w:hAnsi="仿宋_GB2312" w:eastAsia="仿宋_GB2312" w:cs="仿宋_GB2312"/>
          <w:sz w:val="32"/>
          <w:szCs w:val="32"/>
          <w:highlight w:val="none"/>
          <w:lang w:val="en-US" w:eastAsia="zh-CN"/>
        </w:rPr>
        <w:t>1.15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不存在差异。</w:t>
      </w:r>
    </w:p>
    <w:p>
      <w:pPr>
        <w:widowControl/>
        <w:spacing w:line="590" w:lineRule="exact"/>
        <w:ind w:firstLine="642"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1.15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%。具体情况如下：</w:t>
      </w:r>
    </w:p>
    <w:p>
      <w:pPr>
        <w:widowControl/>
        <w:numPr>
          <w:ilvl w:val="0"/>
          <w:numId w:val="2"/>
        </w:numPr>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存在差异。因公出国（境）团组数0个，因公出国（境）人次数0人。</w:t>
      </w:r>
    </w:p>
    <w:p>
      <w:pPr>
        <w:widowControl/>
        <w:spacing w:line="590" w:lineRule="exact"/>
        <w:ind w:firstLine="642"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1.15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不存在差异。</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1.15</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日常办公及军休人员服务用车</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2"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指定专人负责我单位财政预算绩效管理的组织和协调工作，积极参加财政局组织的学习培训活动系统的学习绩效管理工作的相关政策和文件精神。2021年度我单位纳入预算绩效管理的支出总额为1137.19万元，其中：基本支出164.31万元；支出项目3个，支出金额972.88万元。开展项目绩效自评项目3个，自评金额972.88万元；纳入重点绩效评价0个，评价金额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2"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pStyle w:val="2"/>
        <w:keepNext w:val="0"/>
        <w:keepLines w:val="0"/>
        <w:pageBreakBefore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二是项目绩效自评情况。我单位共有3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1.军队移交政府的离退休人员安置856.49万元；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2.军队移交政府的离退休干部管理机构114.91万元；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3.其他退役安置1.48万元。</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基于项目预期目标的实现程度，对2021年度项目支出绩效进行自评，绩效自评平均得分为90分。其中：3个项目评价等级为“优”、0个项目评价等级为“良”、0个项目评价等级为“中”、0个项目评价等级为“差”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widowControl/>
        <w:jc w:val="left"/>
        <w:rPr>
          <w:rFonts w:hint="default" w:ascii="黑体" w:hAnsi="宋体" w:eastAsia="黑体" w:cs="宋体"/>
          <w:kern w:val="0"/>
          <w:sz w:val="28"/>
          <w:szCs w:val="28"/>
          <w:highlight w:val="none"/>
          <w:lang w:val="en-US"/>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spacing w:line="590" w:lineRule="exact"/>
        <w:jc w:val="left"/>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rPr>
        <w:t>第四部分  名词解释</w:t>
      </w:r>
    </w:p>
    <w:p>
      <w:pPr>
        <w:widowControl/>
        <w:spacing w:line="59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lang w:val="en-US" w:eastAsia="zh-CN"/>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FAAAAAgAh07iQM6pebnPAAAABQEA&#10;AA8AAAAAAAAAAQAgAAAAOAAAAGRycy9kb3ducmV2LnhtbFBLAQIUABQAAAAIAIdO4kDwHWr6yAEA&#10;AJkDAAAOAAAAAAAAAAEAIAAAADQBAABkcnMvZTJvRG9jLnhtbFBLAQIUAAoAAAAAAIdO4kAAAAAA&#10;AAAAAAAAAAAEAAAAAAAAAAAAEAAAABYAAABkcnMvUEsBAhQACgAAAAAAh07iQAAAAAAAAAAAAAAA&#10;AAYAAAAAAAAAAAAQAAAAKAMAAF9yZWxzL1BLBQYAAAAABgAGAFkBAABu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703A7"/>
    <w:multiLevelType w:val="singleLevel"/>
    <w:tmpl w:val="DE1703A7"/>
    <w:lvl w:ilvl="0" w:tentative="0">
      <w:start w:val="1"/>
      <w:numFmt w:val="decimal"/>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NjdlZTA0ZWNiMzE3ODI3YWQ0ZTAzMTQzOGRkYmMifQ=="/>
    <w:docVar w:name="KSO_WPS_MARK_KEY" w:val="bfd96721-8b5f-4569-8aa5-643e15b5a859"/>
  </w:docVars>
  <w:rsids>
    <w:rsidRoot w:val="00172A27"/>
    <w:rsid w:val="00136767"/>
    <w:rsid w:val="02594A09"/>
    <w:rsid w:val="03245D52"/>
    <w:rsid w:val="034122EA"/>
    <w:rsid w:val="05065EE0"/>
    <w:rsid w:val="068C3E93"/>
    <w:rsid w:val="06BF7DC5"/>
    <w:rsid w:val="073878E4"/>
    <w:rsid w:val="09727371"/>
    <w:rsid w:val="0FA76687"/>
    <w:rsid w:val="103D2B76"/>
    <w:rsid w:val="11F5453B"/>
    <w:rsid w:val="122A1E10"/>
    <w:rsid w:val="13017C0B"/>
    <w:rsid w:val="130B6505"/>
    <w:rsid w:val="13AE6ACD"/>
    <w:rsid w:val="19864ACE"/>
    <w:rsid w:val="1D0E0034"/>
    <w:rsid w:val="1E894AE9"/>
    <w:rsid w:val="1E9E37D3"/>
    <w:rsid w:val="1F3B0574"/>
    <w:rsid w:val="203209F3"/>
    <w:rsid w:val="24970DA1"/>
    <w:rsid w:val="25FA5374"/>
    <w:rsid w:val="26207363"/>
    <w:rsid w:val="264834DB"/>
    <w:rsid w:val="26881E5D"/>
    <w:rsid w:val="26E86CBD"/>
    <w:rsid w:val="26F86CAF"/>
    <w:rsid w:val="27863A45"/>
    <w:rsid w:val="296E145C"/>
    <w:rsid w:val="298505A2"/>
    <w:rsid w:val="29CE019B"/>
    <w:rsid w:val="2ACA726A"/>
    <w:rsid w:val="2B5E554F"/>
    <w:rsid w:val="2C0955F3"/>
    <w:rsid w:val="2D6C3F53"/>
    <w:rsid w:val="2D813A8F"/>
    <w:rsid w:val="2E250361"/>
    <w:rsid w:val="2F5208F1"/>
    <w:rsid w:val="30000983"/>
    <w:rsid w:val="30886615"/>
    <w:rsid w:val="30F04D25"/>
    <w:rsid w:val="31BE544C"/>
    <w:rsid w:val="35675000"/>
    <w:rsid w:val="36ED196F"/>
    <w:rsid w:val="37BEC0B5"/>
    <w:rsid w:val="390278C9"/>
    <w:rsid w:val="3AD437F6"/>
    <w:rsid w:val="3B2A2C0D"/>
    <w:rsid w:val="3D0108B6"/>
    <w:rsid w:val="3D1500B6"/>
    <w:rsid w:val="3E9F580B"/>
    <w:rsid w:val="3EBA1E52"/>
    <w:rsid w:val="3EF6368D"/>
    <w:rsid w:val="3EFD6405"/>
    <w:rsid w:val="3FD11FAF"/>
    <w:rsid w:val="407C164B"/>
    <w:rsid w:val="40B52091"/>
    <w:rsid w:val="414F4CC6"/>
    <w:rsid w:val="43A128B8"/>
    <w:rsid w:val="450E5498"/>
    <w:rsid w:val="453633DD"/>
    <w:rsid w:val="457DAE56"/>
    <w:rsid w:val="473F5DDD"/>
    <w:rsid w:val="476D294A"/>
    <w:rsid w:val="481353E1"/>
    <w:rsid w:val="495042D1"/>
    <w:rsid w:val="4AC34DEA"/>
    <w:rsid w:val="4CAB1AE6"/>
    <w:rsid w:val="4CC815C0"/>
    <w:rsid w:val="4D983E01"/>
    <w:rsid w:val="4EB71628"/>
    <w:rsid w:val="4EBE1CDD"/>
    <w:rsid w:val="4F3B1580"/>
    <w:rsid w:val="4FA03191"/>
    <w:rsid w:val="4FF05EC6"/>
    <w:rsid w:val="50C24B7B"/>
    <w:rsid w:val="54EC2B39"/>
    <w:rsid w:val="56815ACA"/>
    <w:rsid w:val="56B740B1"/>
    <w:rsid w:val="57371C6A"/>
    <w:rsid w:val="59E42079"/>
    <w:rsid w:val="5B4F6BFB"/>
    <w:rsid w:val="5D6F60B4"/>
    <w:rsid w:val="5F047E48"/>
    <w:rsid w:val="5FF6EF18"/>
    <w:rsid w:val="5FFB1DAD"/>
    <w:rsid w:val="669D111B"/>
    <w:rsid w:val="67AE7422"/>
    <w:rsid w:val="69F72FE2"/>
    <w:rsid w:val="6A244471"/>
    <w:rsid w:val="6B0F629E"/>
    <w:rsid w:val="6C2B047D"/>
    <w:rsid w:val="6CA87DFD"/>
    <w:rsid w:val="6D18512F"/>
    <w:rsid w:val="6D5F0365"/>
    <w:rsid w:val="6D6F45CA"/>
    <w:rsid w:val="6EB962B2"/>
    <w:rsid w:val="6F4822AC"/>
    <w:rsid w:val="6FC82724"/>
    <w:rsid w:val="6FF6486F"/>
    <w:rsid w:val="70324CED"/>
    <w:rsid w:val="70B05581"/>
    <w:rsid w:val="71180DCF"/>
    <w:rsid w:val="719F4853"/>
    <w:rsid w:val="71AC0E6F"/>
    <w:rsid w:val="71B52040"/>
    <w:rsid w:val="72084E9A"/>
    <w:rsid w:val="753FB9AE"/>
    <w:rsid w:val="769146EA"/>
    <w:rsid w:val="786A1BE4"/>
    <w:rsid w:val="7983502E"/>
    <w:rsid w:val="79C1605A"/>
    <w:rsid w:val="7A9F43AE"/>
    <w:rsid w:val="7AEF1053"/>
    <w:rsid w:val="7CFD2B9B"/>
    <w:rsid w:val="7D1315F1"/>
    <w:rsid w:val="7E7FC06C"/>
    <w:rsid w:val="7FFA1730"/>
    <w:rsid w:val="8EFD3136"/>
    <w:rsid w:val="9FFDFB27"/>
    <w:rsid w:val="AFFD91DA"/>
    <w:rsid w:val="B7BE820A"/>
    <w:rsid w:val="B9FD754D"/>
    <w:rsid w:val="BD7F340E"/>
    <w:rsid w:val="BDF50E18"/>
    <w:rsid w:val="BEFB0959"/>
    <w:rsid w:val="D67FE811"/>
    <w:rsid w:val="E7379A43"/>
    <w:rsid w:val="EAC72755"/>
    <w:rsid w:val="EF5BAAC8"/>
    <w:rsid w:val="F5F1399C"/>
    <w:rsid w:val="F7C11960"/>
    <w:rsid w:val="FBAF4AA1"/>
    <w:rsid w:val="FFBF7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kern w:val="2"/>
      <w:sz w:val="18"/>
      <w:szCs w:val="18"/>
    </w:rPr>
  </w:style>
  <w:style w:type="paragraph" w:styleId="4">
    <w:name w:val="footer"/>
    <w:basedOn w:val="1"/>
    <w:link w:val="11"/>
    <w:qFormat/>
    <w:uiPriority w:val="0"/>
    <w:pPr>
      <w:tabs>
        <w:tab w:val="center" w:pos="4153"/>
        <w:tab w:val="right" w:pos="8306"/>
      </w:tabs>
      <w:snapToGrid w:val="0"/>
      <w:jc w:val="left"/>
    </w:pPr>
    <w:rPr>
      <w:kern w:val="2"/>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kern w:val="2"/>
      <w:sz w:val="18"/>
      <w:szCs w:val="18"/>
    </w:rPr>
  </w:style>
  <w:style w:type="character" w:styleId="8">
    <w:name w:val="FollowedHyperlink"/>
    <w:qFormat/>
    <w:uiPriority w:val="0"/>
    <w:rPr>
      <w:color w:val="800080"/>
      <w:u w:val="single"/>
    </w:rPr>
  </w:style>
  <w:style w:type="character" w:styleId="9">
    <w:name w:val="Hyperlink"/>
    <w:qFormat/>
    <w:uiPriority w:val="0"/>
    <w:rPr>
      <w:color w:val="0000FF"/>
      <w:u w:val="single"/>
    </w:rPr>
  </w:style>
  <w:style w:type="character" w:customStyle="1" w:styleId="10">
    <w:name w:val="批注框文本 Char Char"/>
    <w:link w:val="3"/>
    <w:qFormat/>
    <w:uiPriority w:val="0"/>
    <w:rPr>
      <w:kern w:val="2"/>
      <w:sz w:val="18"/>
      <w:szCs w:val="18"/>
    </w:rPr>
  </w:style>
  <w:style w:type="character" w:customStyle="1" w:styleId="11">
    <w:name w:val="页脚 Char Char"/>
    <w:link w:val="4"/>
    <w:qFormat/>
    <w:uiPriority w:val="0"/>
    <w:rPr>
      <w:kern w:val="2"/>
      <w:sz w:val="18"/>
      <w:szCs w:val="18"/>
    </w:rPr>
  </w:style>
  <w:style w:type="character" w:customStyle="1" w:styleId="12">
    <w:name w:val="页眉 Char Char"/>
    <w:link w:val="5"/>
    <w:qFormat/>
    <w:uiPriority w:val="0"/>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7335</Words>
  <Characters>8735</Characters>
  <Lines>60</Lines>
  <Paragraphs>16</Paragraphs>
  <TotalTime>6</TotalTime>
  <ScaleCrop>false</ScaleCrop>
  <LinksUpToDate>false</LinksUpToDate>
  <CharactersWithSpaces>8971</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2007-12-02T19:41:00Z</dcterms:created>
  <dc:creator>管理者</dc:creator>
  <cp:lastModifiedBy>huanghe</cp:lastModifiedBy>
  <cp:lastPrinted>2023-04-03T23:49:00Z</cp:lastPrinted>
  <dcterms:modified xsi:type="dcterms:W3CDTF">2023-05-10T15:41:46Z</dcterms:modified>
  <dc:title>2021年度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948116DC3B5D41C1831DE2FA5B2931CA</vt:lpwstr>
  </property>
</Properties>
</file>