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许昌市关心下一代工作委员会</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教育指导中心单位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二年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许昌市关心下一代工作委员会教育指导中心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八、政府性基金预算财政拨款支出决算情况说明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十一、国有资产占用情况说明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ind w:firstLine="640" w:firstLineChars="200"/>
        <w:jc w:val="left"/>
        <w:rPr>
          <w:rFonts w:hint="eastAsia" w:ascii="宋体" w:hAnsi="宋体" w:eastAsia="宋体" w:cs="宋体"/>
          <w:color w:val="auto"/>
          <w:sz w:val="32"/>
          <w:szCs w:val="32"/>
          <w:highlight w:val="none"/>
          <w:lang w:eastAsia="zh-CN"/>
        </w:rPr>
      </w:pP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Borders>
            <w:top w:val="none" w:sz="0" w:space="0"/>
            <w:left w:val="none" w:sz="0" w:space="0"/>
            <w:bottom w:val="none" w:sz="0" w:space="0"/>
            <w:right w:val="none" w:sz="0" w:space="0"/>
          </w:pgBorders>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numPr>
          <w:ilvl w:val="0"/>
          <w:numId w:val="2"/>
        </w:numPr>
        <w:jc w:val="center"/>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许昌市关心下一代工作</w:t>
      </w:r>
    </w:p>
    <w:p>
      <w:pPr>
        <w:numPr>
          <w:ilvl w:val="0"/>
          <w:numId w:val="0"/>
        </w:numPr>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eastAsia="zh-CN"/>
        </w:rPr>
        <w:t>委员会教育指导中心</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根据《关于成立许昌市关心下一代工作委员会教育指导中心的批复》（许编〔</w:t>
      </w:r>
      <w:r>
        <w:rPr>
          <w:rFonts w:hint="eastAsia" w:ascii="仿宋_GB2312" w:hAnsi="宋体" w:eastAsia="仿宋_GB2312" w:cs="宋体"/>
          <w:kern w:val="0"/>
          <w:sz w:val="32"/>
          <w:szCs w:val="32"/>
          <w:highlight w:val="none"/>
          <w:lang w:val="en-US" w:eastAsia="zh-CN"/>
        </w:rPr>
        <w:t>2003</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6号</w:t>
      </w:r>
      <w:r>
        <w:rPr>
          <w:rFonts w:hint="eastAsia" w:ascii="仿宋_GB2312" w:hAnsi="宋体" w:eastAsia="仿宋_GB2312" w:cs="宋体"/>
          <w:kern w:val="0"/>
          <w:sz w:val="32"/>
          <w:szCs w:val="32"/>
          <w:highlight w:val="none"/>
          <w:lang w:eastAsia="zh-CN"/>
        </w:rPr>
        <w:t>），许昌市关心下一代工作委员会教育指导中心主要职责是动员和依靠各方面的力量，充分发挥老同志的作用，协调、组织、促进青少年教育工作的开展。</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kern w:val="0"/>
          <w:sz w:val="32"/>
          <w:szCs w:val="32"/>
          <w:highlight w:val="none"/>
          <w:lang w:eastAsia="zh-CN"/>
        </w:rPr>
        <w:t>许昌市关心下一代工作委员会教育指导中心</w:t>
      </w:r>
      <w:r>
        <w:rPr>
          <w:rFonts w:hint="eastAsia" w:ascii="仿宋_GB2312" w:hAnsi="仿宋_GB2312" w:eastAsia="仿宋_GB2312" w:cs="仿宋_GB2312"/>
          <w:color w:val="auto"/>
          <w:kern w:val="0"/>
          <w:sz w:val="32"/>
          <w:szCs w:val="32"/>
          <w:highlight w:val="none"/>
          <w:lang w:val="en-US" w:eastAsia="zh-CN"/>
        </w:rPr>
        <w:t>内设机构1个，秘书科。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宋体" w:eastAsia="仿宋_GB2312" w:cs="宋体"/>
          <w:kern w:val="0"/>
          <w:sz w:val="32"/>
          <w:szCs w:val="32"/>
          <w:highlight w:val="none"/>
          <w:lang w:eastAsia="zh-CN"/>
        </w:rPr>
        <w:t>许昌市关心下一代工作委员会教育指导中心单位</w:t>
      </w:r>
      <w:r>
        <w:rPr>
          <w:rFonts w:hint="eastAsia" w:ascii="仿宋_GB2312" w:hAnsi="仿宋_GB2312" w:eastAsia="仿宋_GB2312" w:cs="仿宋_GB2312"/>
          <w:color w:val="auto"/>
          <w:kern w:val="0"/>
          <w:sz w:val="32"/>
          <w:szCs w:val="32"/>
          <w:highlight w:val="none"/>
          <w:lang w:val="en-US" w:eastAsia="zh-CN"/>
        </w:rPr>
        <w:t>决算包括：本级决算（1个）。</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宋体" w:eastAsia="黑体" w:cs="宋体"/>
          <w:color w:val="auto"/>
          <w:kern w:val="0"/>
          <w:sz w:val="28"/>
          <w:szCs w:val="28"/>
          <w:highlight w:val="none"/>
          <w:lang w:val="en-US" w:eastAsia="zh-CN"/>
        </w:rPr>
      </w:pP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lang w:eastAsia="zh-CN"/>
        </w:rPr>
        <w:t>许昌市关心下一代工作委员会教育指导中心</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br w:type="page"/>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4"/>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5119"/>
        <w:gridCol w:w="2086"/>
        <w:gridCol w:w="802"/>
        <w:gridCol w:w="3682"/>
        <w:gridCol w:w="687"/>
        <w:gridCol w:w="1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4070" w:type="dxa"/>
            <w:gridSpan w:val="6"/>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4888"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99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4888"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199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92" w:type="dxa"/>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default"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230"/>
        <w:gridCol w:w="4074"/>
        <w:gridCol w:w="1602"/>
        <w:gridCol w:w="920"/>
        <w:gridCol w:w="989"/>
        <w:gridCol w:w="852"/>
        <w:gridCol w:w="819"/>
        <w:gridCol w:w="1568"/>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3808"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6304"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0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8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141" w:type="dxa"/>
            <w:gridSpan w:val="3"/>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6304"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160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8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141" w:type="dxa"/>
            <w:gridSpan w:val="3"/>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3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2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8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1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68"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5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74"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074"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074"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304"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304"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61.47</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61.47</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55.66</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55.66</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55.66</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55.66</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30"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07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08"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145"/>
        <w:gridCol w:w="3238"/>
        <w:gridCol w:w="1807"/>
        <w:gridCol w:w="1602"/>
        <w:gridCol w:w="1466"/>
        <w:gridCol w:w="1176"/>
        <w:gridCol w:w="1104"/>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88" w:hRule="atLeast"/>
        </w:trPr>
        <w:tc>
          <w:tcPr>
            <w:tcW w:w="13916" w:type="dxa"/>
            <w:gridSpan w:val="8"/>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5383"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80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0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78"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5383"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180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0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658" w:type="dxa"/>
            <w:gridSpan w:val="3"/>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3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0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6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上缴上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级支出</w:t>
            </w:r>
          </w:p>
        </w:tc>
        <w:tc>
          <w:tcPr>
            <w:tcW w:w="110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78"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238"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238"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80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238"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80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383"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383"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68.14</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65.43</w:t>
            </w:r>
          </w:p>
        </w:tc>
        <w:tc>
          <w:tcPr>
            <w:tcW w:w="14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62.60</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59.89</w:t>
            </w:r>
          </w:p>
        </w:tc>
        <w:tc>
          <w:tcPr>
            <w:tcW w:w="14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62.33</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4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2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16"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883"/>
        <w:gridCol w:w="546"/>
        <w:gridCol w:w="869"/>
        <w:gridCol w:w="3546"/>
        <w:gridCol w:w="460"/>
        <w:gridCol w:w="1074"/>
        <w:gridCol w:w="1159"/>
        <w:gridCol w:w="1244"/>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3889"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5298" w:type="dxa"/>
            <w:gridSpan w:val="3"/>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54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4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352"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5298" w:type="dxa"/>
            <w:gridSpan w:val="3"/>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354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4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511" w:type="dxa"/>
            <w:gridSpan w:val="3"/>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2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591"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92" w:hRule="atLeast"/>
        </w:trPr>
        <w:tc>
          <w:tcPr>
            <w:tcW w:w="3883"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6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4"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4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0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5" w:hRule="atLeast"/>
        </w:trPr>
        <w:tc>
          <w:tcPr>
            <w:tcW w:w="3883"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4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54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61.47</w:t>
            </w: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62.60</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62.60</w:t>
            </w: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bookmarkStart w:id="0" w:name="_GoBack"/>
            <w:bookmarkEnd w:id="0"/>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61.47</w:t>
            </w: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354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4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6" w:type="dxa"/>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35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68.14</w:t>
            </w:r>
          </w:p>
        </w:tc>
        <w:tc>
          <w:tcPr>
            <w:tcW w:w="12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89" w:type="dxa"/>
            <w:gridSpan w:val="9"/>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304"/>
        <w:gridCol w:w="3460"/>
        <w:gridCol w:w="2966"/>
        <w:gridCol w:w="2182"/>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3879" w:type="dxa"/>
            <w:gridSpan w:val="5"/>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330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4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96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18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967"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6764"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296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18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967"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15"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60"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6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8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6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7" w:hRule="atLeast"/>
        </w:trPr>
        <w:tc>
          <w:tcPr>
            <w:tcW w:w="330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460"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96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8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460"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96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8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764"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764"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68.14</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65.43</w:t>
            </w:r>
          </w:p>
        </w:tc>
        <w:tc>
          <w:tcPr>
            <w:tcW w:w="196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62.60</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59.89</w:t>
            </w:r>
          </w:p>
        </w:tc>
        <w:tc>
          <w:tcPr>
            <w:tcW w:w="196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62.33</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96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18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6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30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4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9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1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9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13879" w:type="dxa"/>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66"/>
        <w:gridCol w:w="3133"/>
        <w:gridCol w:w="930"/>
        <w:gridCol w:w="930"/>
        <w:gridCol w:w="2830"/>
        <w:gridCol w:w="950"/>
        <w:gridCol w:w="840"/>
        <w:gridCol w:w="270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3959"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76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3133"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283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5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580" w:type="dxa"/>
            <w:gridSpan w:val="2"/>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5759" w:type="dxa"/>
            <w:gridSpan w:val="4"/>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283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5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580" w:type="dxa"/>
            <w:gridSpan w:val="2"/>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8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3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33"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0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13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51.22</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70"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70"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5"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70"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5"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84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70"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3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5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133"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4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99"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51.22</w:t>
            </w:r>
          </w:p>
        </w:tc>
        <w:tc>
          <w:tcPr>
            <w:tcW w:w="8250" w:type="dxa"/>
            <w:gridSpan w:val="5"/>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9"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yellow"/>
          <w:lang w:val="en-US" w:eastAsia="zh-CN"/>
        </w:rPr>
        <w:br w:type="page"/>
      </w:r>
    </w:p>
    <w:tbl>
      <w:tblPr>
        <w:tblStyle w:val="4"/>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25"/>
        <w:gridCol w:w="1080"/>
        <w:gridCol w:w="915"/>
        <w:gridCol w:w="975"/>
        <w:gridCol w:w="1005"/>
        <w:gridCol w:w="1169"/>
        <w:gridCol w:w="1220"/>
        <w:gridCol w:w="1520"/>
        <w:gridCol w:w="1020"/>
        <w:gridCol w:w="1370"/>
        <w:gridCol w:w="129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40" w:hRule="atLeast"/>
        </w:trPr>
        <w:tc>
          <w:tcPr>
            <w:tcW w:w="13919" w:type="dxa"/>
            <w:gridSpan w:val="12"/>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825"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08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6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8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4800" w:type="dxa"/>
            <w:gridSpan w:val="5"/>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116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8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96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95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82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95"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6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2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2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80"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5" w:hRule="atLeast"/>
        </w:trPr>
        <w:tc>
          <w:tcPr>
            <w:tcW w:w="82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0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6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7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9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7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5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3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19"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yellow"/>
          <w:lang w:val="en-US" w:eastAsia="zh-CN"/>
        </w:rPr>
        <w:br w:type="page"/>
      </w:r>
    </w:p>
    <w:tbl>
      <w:tblPr>
        <w:tblStyle w:val="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21"/>
        <w:gridCol w:w="321"/>
        <w:gridCol w:w="1507"/>
        <w:gridCol w:w="2870"/>
        <w:gridCol w:w="2100"/>
        <w:gridCol w:w="1350"/>
        <w:gridCol w:w="960"/>
        <w:gridCol w:w="1550"/>
        <w:gridCol w:w="1200"/>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5" w:hRule="atLeast"/>
        </w:trPr>
        <w:tc>
          <w:tcPr>
            <w:tcW w:w="14081"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321"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32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0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8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1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102"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7119" w:type="dxa"/>
            <w:gridSpan w:val="5"/>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：许昌市关心下一代工作委员会教育指导中心</w:t>
            </w:r>
          </w:p>
        </w:tc>
        <w:tc>
          <w:tcPr>
            <w:tcW w:w="13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102"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5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1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0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70"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0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70"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70"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0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87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87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9"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87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ind w:firstLine="640" w:firstLineChars="200"/>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2021年度收、支总计均为68.14万元。与上年度相比，收、支总计各减少13.11万元，下降16.14%。主要原因是：一是人员调出；二是受疫情影响，开展业务活动和学习培训减少，办公费用等下降。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2021年度收入合计61.47万元，其中：财政拨款收入61.47万元，占100%；上级补助收入0万元，占0%；事业收入0万元，占0%；经营收入0万元，占0%；附属单位上缴收入0万元，占0%；其他收入0万元，占0%。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2021年度支出合计68.14万元，其中：基本支出65.43万元，占96.02%；项目支出2.71万元，占3.98%；上缴上级支出0万元，占0%；经营支出0万元，占0%；对附属单位补助支出0万元，占0%。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2021年度财政拨款收、支总计均为68.14万元。与上年度相比，财政拨款收、支总计各减少13.11万元，下降16.14%。主要原因是：一是人员调出；二是受疫情影响，开展业务活动和学习培训减少，办公费用等下降。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68.14万元，占本年支出合计的100%。与上年度相比，一般公共预算财政拨款支出减少0.53万元，下降0.77%。主要原因是：受疫情影响，开展业务活动和学习培训减少，办公费用等下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2021年度一般公共预算财政拨款支出68.14万元，主要用于以下方面：一般公共服务（类）支出62.60万元，占91.87%；社会保障和就业（类）支出2.65万元，占3.89%；卫生健康（类）支出2.89万元，占4.24%。</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2021年度一般公共预算财政拨款支出年初预算为69.54万元，支出决算为68.14万元，完成年初预算的97.99%。其中：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年初预算为0.27万元，支出决算为0.27万元，完成年初预算的100%。决算数与年初预算数不存在差异。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2.一般公共服务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shd w:val="clear" w:color="auto" w:fill="auto"/>
          <w:lang w:val="en-US" w:eastAsia="zh-CN"/>
        </w:rPr>
        <w:t>（类）组织事务（款）行政运行（项）。</w:t>
      </w:r>
      <w:r>
        <w:rPr>
          <w:rFonts w:hint="eastAsia" w:ascii="仿宋_GB2312" w:hAnsi="仿宋_GB2312" w:eastAsia="仿宋_GB2312" w:cs="仿宋_GB2312"/>
          <w:color w:val="auto"/>
          <w:sz w:val="32"/>
          <w:szCs w:val="32"/>
          <w:highlight w:val="none"/>
          <w:shd w:val="clear" w:color="auto" w:fill="auto"/>
          <w:lang w:val="en-US" w:eastAsia="zh-CN"/>
        </w:rPr>
        <w:t>年初预算为62.53万元，支出决算为59.62万元。</w:t>
      </w:r>
      <w:r>
        <w:rPr>
          <w:rFonts w:hint="eastAsia" w:ascii="仿宋_GB2312" w:hAnsi="仿宋_GB2312" w:eastAsia="仿宋_GB2312" w:cs="仿宋_GB2312"/>
          <w:color w:val="auto"/>
          <w:sz w:val="32"/>
          <w:szCs w:val="32"/>
          <w:highlight w:val="none"/>
          <w:lang w:val="en-US" w:eastAsia="zh-CN"/>
        </w:rPr>
        <w:t>完成年初预算的95.35%。决算数与年初预算数存在差异的原因：人员调出。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shd w:val="clear" w:color="auto" w:fill="auto"/>
          <w:lang w:val="en-US" w:eastAsia="zh-CN"/>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shd w:val="clear" w:color="auto" w:fill="auto"/>
          <w:lang w:val="en-US" w:eastAsia="zh-CN"/>
        </w:rPr>
        <w:t>（类）组织事务（款）一般行政管理事务（项）。</w:t>
      </w:r>
      <w:r>
        <w:rPr>
          <w:rFonts w:hint="eastAsia" w:ascii="仿宋_GB2312" w:hAnsi="仿宋_GB2312" w:eastAsia="仿宋_GB2312" w:cs="仿宋_GB2312"/>
          <w:color w:val="auto"/>
          <w:sz w:val="32"/>
          <w:szCs w:val="32"/>
          <w:highlight w:val="none"/>
          <w:shd w:val="clear" w:color="auto" w:fill="auto"/>
          <w:lang w:val="en-US" w:eastAsia="zh-CN"/>
        </w:rPr>
        <w:t>年初预算为0万元，支出决算为2.71万元。</w:t>
      </w:r>
      <w:r>
        <w:rPr>
          <w:rFonts w:hint="eastAsia" w:ascii="仿宋_GB2312" w:hAnsi="仿宋_GB2312" w:eastAsia="仿宋_GB2312" w:cs="仿宋_GB2312"/>
          <w:color w:val="auto"/>
          <w:sz w:val="32"/>
          <w:szCs w:val="32"/>
          <w:highlight w:val="none"/>
          <w:lang w:val="en-US" w:eastAsia="zh-CN"/>
        </w:rPr>
        <w:t>决算数与年初预算数存在差异的原因：使用上年结转资金。</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宋体" w:eastAsia="仿宋_GB2312" w:cs="Courier New"/>
          <w:b/>
          <w:bCs/>
          <w:sz w:val="32"/>
          <w:szCs w:val="32"/>
          <w:highlight w:val="none"/>
          <w:lang w:val="en-US" w:eastAsia="zh-CN"/>
        </w:rPr>
        <w:t>社会</w:t>
      </w:r>
      <w:r>
        <w:rPr>
          <w:rFonts w:hint="eastAsia" w:ascii="仿宋_GB2312" w:hAnsi="宋体" w:eastAsia="仿宋_GB2312" w:cs="Courier New"/>
          <w:b/>
          <w:bCs/>
          <w:sz w:val="32"/>
          <w:szCs w:val="32"/>
          <w:highlight w:val="none"/>
        </w:rPr>
        <w:t>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sz w:val="32"/>
          <w:szCs w:val="32"/>
          <w:highlight w:val="none"/>
        </w:rPr>
        <w:t>（类）</w:t>
      </w:r>
      <w:r>
        <w:rPr>
          <w:rFonts w:hint="eastAsia" w:ascii="仿宋_GB2312" w:eastAsia="仿宋_GB2312"/>
          <w:b/>
          <w:sz w:val="32"/>
          <w:szCs w:val="32"/>
          <w:highlight w:val="none"/>
        </w:rPr>
        <w:t>行政事业单位</w:t>
      </w:r>
      <w:r>
        <w:rPr>
          <w:rFonts w:hint="eastAsia" w:ascii="仿宋_GB2312" w:eastAsia="仿宋_GB2312"/>
          <w:b/>
          <w:color w:val="auto"/>
          <w:sz w:val="32"/>
          <w:szCs w:val="32"/>
          <w:highlight w:val="none"/>
          <w:lang w:val="en-US" w:eastAsia="zh-CN"/>
        </w:rPr>
        <w:t>养老支出</w:t>
      </w:r>
      <w:r>
        <w:rPr>
          <w:rFonts w:hint="eastAsia" w:ascii="仿宋_GB2312" w:eastAsia="仿宋_GB2312"/>
          <w:b/>
          <w:color w:val="000000"/>
          <w:sz w:val="32"/>
          <w:szCs w:val="32"/>
          <w:highlight w:val="none"/>
          <w:lang w:eastAsia="zh-CN"/>
        </w:rPr>
        <w:t>（</w:t>
      </w:r>
      <w:r>
        <w:rPr>
          <w:rFonts w:hint="eastAsia" w:ascii="仿宋_GB2312" w:eastAsia="仿宋_GB2312"/>
          <w:b/>
          <w:color w:val="000000"/>
          <w:sz w:val="32"/>
          <w:szCs w:val="32"/>
          <w:highlight w:val="none"/>
          <w:lang w:val="en-US" w:eastAsia="zh-CN"/>
        </w:rPr>
        <w:t>款</w:t>
      </w:r>
      <w:r>
        <w:rPr>
          <w:rFonts w:hint="eastAsia" w:ascii="仿宋_GB2312" w:eastAsia="仿宋_GB2312"/>
          <w:b/>
          <w:color w:val="000000"/>
          <w:sz w:val="32"/>
          <w:szCs w:val="32"/>
          <w:highlight w:val="none"/>
          <w:lang w:eastAsia="zh-CN"/>
        </w:rPr>
        <w:t>）</w:t>
      </w:r>
      <w:r>
        <w:rPr>
          <w:rFonts w:hint="eastAsia" w:ascii="仿宋_GB2312" w:eastAsia="仿宋_GB2312"/>
          <w:b/>
          <w:sz w:val="32"/>
          <w:szCs w:val="32"/>
          <w:highlight w:val="none"/>
          <w:lang w:eastAsia="zh-CN"/>
        </w:rPr>
        <w:t>机关事业单位基本养老保险缴费支出</w:t>
      </w:r>
      <w:r>
        <w:rPr>
          <w:rFonts w:hint="eastAsia" w:ascii="仿宋_GB2312" w:eastAsia="仿宋_GB2312"/>
          <w:b/>
          <w:sz w:val="32"/>
          <w:szCs w:val="32"/>
          <w:highlight w:val="none"/>
        </w:rPr>
        <w:t>（项）。</w:t>
      </w:r>
      <w:r>
        <w:rPr>
          <w:rFonts w:hint="eastAsia" w:ascii="仿宋_GB2312" w:eastAsia="仿宋_GB2312"/>
          <w:sz w:val="32"/>
          <w:szCs w:val="32"/>
          <w:highlight w:val="none"/>
        </w:rPr>
        <w:t>年初预算为</w:t>
      </w:r>
      <w:r>
        <w:rPr>
          <w:rFonts w:hint="eastAsia" w:ascii="仿宋_GB2312" w:eastAsia="仿宋_GB2312"/>
          <w:sz w:val="32"/>
          <w:szCs w:val="32"/>
          <w:highlight w:val="none"/>
          <w:lang w:val="en-US" w:eastAsia="zh-CN"/>
        </w:rPr>
        <w:t>3.26</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2.65</w:t>
      </w:r>
      <w:r>
        <w:rPr>
          <w:rFonts w:hint="eastAsia" w:ascii="仿宋_GB2312" w:eastAsia="仿宋_GB2312"/>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81.29%。决算数与年初预算数存在差异的原因是：单位有人员调出，造成单位基本养老保险缴费减少。</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宋体" w:eastAsia="仿宋_GB2312" w:cs="Courier New"/>
          <w:b/>
          <w:bCs/>
          <w:sz w:val="32"/>
          <w:szCs w:val="32"/>
          <w:highlight w:val="none"/>
          <w:lang w:val="en-US" w:eastAsia="zh-CN"/>
        </w:rPr>
        <w:t>5.</w:t>
      </w:r>
      <w:r>
        <w:rPr>
          <w:rFonts w:hint="eastAsia" w:eastAsia="仿宋_GB2312"/>
          <w:b/>
          <w:color w:val="auto"/>
          <w:sz w:val="32"/>
          <w:szCs w:val="32"/>
          <w:highlight w:val="none"/>
          <w:lang w:val="en-US" w:eastAsia="zh-CN"/>
        </w:rPr>
        <w:t>卫生健康支出</w:t>
      </w:r>
      <w:r>
        <w:rPr>
          <w:rFonts w:hint="eastAsia" w:eastAsia="仿宋_GB2312"/>
          <w:b/>
          <w:sz w:val="32"/>
          <w:szCs w:val="32"/>
          <w:highlight w:val="none"/>
        </w:rPr>
        <w:t>（类）行政事业单位医疗（款）行政单位医疗（项）。</w:t>
      </w:r>
      <w:r>
        <w:rPr>
          <w:rFonts w:hint="eastAsia" w:eastAsia="仿宋_GB2312"/>
          <w:sz w:val="32"/>
          <w:szCs w:val="32"/>
          <w:highlight w:val="none"/>
        </w:rPr>
        <w:t>年初预</w:t>
      </w:r>
      <w:r>
        <w:rPr>
          <w:rFonts w:hint="eastAsia" w:ascii="仿宋_GB2312" w:hAnsi="仿宋_GB2312" w:eastAsia="仿宋_GB2312" w:cs="仿宋_GB2312"/>
          <w:sz w:val="32"/>
          <w:szCs w:val="32"/>
          <w:highlight w:val="none"/>
        </w:rPr>
        <w:t>算为</w:t>
      </w:r>
      <w:r>
        <w:rPr>
          <w:rFonts w:hint="eastAsia" w:ascii="仿宋_GB2312" w:hAnsi="仿宋_GB2312" w:eastAsia="仿宋_GB2312" w:cs="仿宋_GB2312"/>
          <w:sz w:val="32"/>
          <w:szCs w:val="32"/>
          <w:highlight w:val="none"/>
          <w:lang w:val="en-US" w:eastAsia="zh-CN"/>
        </w:rPr>
        <w:t>1.78万元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1.48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完成年</w:t>
      </w:r>
      <w:r>
        <w:rPr>
          <w:rFonts w:hint="eastAsia" w:ascii="仿宋_GB2312" w:hAnsi="仿宋_GB2312" w:eastAsia="仿宋_GB2312" w:cs="仿宋_GB2312"/>
          <w:sz w:val="32"/>
          <w:szCs w:val="32"/>
          <w:highlight w:val="none"/>
        </w:rPr>
        <w:t>初预算的</w:t>
      </w:r>
      <w:r>
        <w:rPr>
          <w:rFonts w:hint="eastAsia" w:ascii="仿宋_GB2312" w:hAnsi="仿宋_GB2312" w:eastAsia="仿宋_GB2312" w:cs="仿宋_GB2312"/>
          <w:sz w:val="32"/>
          <w:szCs w:val="32"/>
          <w:highlight w:val="none"/>
          <w:lang w:val="en-US" w:eastAsia="zh-CN"/>
        </w:rPr>
        <w:t>83.15</w:t>
      </w:r>
      <w:r>
        <w:rPr>
          <w:rFonts w:hint="eastAsia" w:ascii="仿宋_GB2312" w:hAnsi="仿宋_GB2312" w:eastAsia="仿宋_GB2312" w:cs="仿宋_GB2312"/>
          <w:color w:val="auto"/>
          <w:sz w:val="32"/>
          <w:szCs w:val="32"/>
          <w:highlight w:val="none"/>
          <w:lang w:val="en-US" w:eastAsia="zh-CN"/>
        </w:rPr>
        <w:t>%。决算数与年初预算数存在差异的原因是：单位人员有调出，造成单位医疗缴费减少。</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color w:val="auto"/>
          <w:sz w:val="32"/>
          <w:szCs w:val="32"/>
          <w:highlight w:val="none"/>
          <w:lang w:val="en-US" w:eastAsia="zh-CN"/>
        </w:rPr>
        <w:t>卫生健康支出</w:t>
      </w:r>
      <w:r>
        <w:rPr>
          <w:rFonts w:hint="eastAsia" w:ascii="仿宋_GB2312" w:hAnsi="仿宋_GB2312" w:eastAsia="仿宋_GB2312" w:cs="仿宋_GB2312"/>
          <w:b/>
          <w:sz w:val="32"/>
          <w:szCs w:val="32"/>
          <w:highlight w:val="none"/>
        </w:rPr>
        <w:t>（类）行政事业单位医疗（款）</w:t>
      </w:r>
      <w:r>
        <w:rPr>
          <w:rFonts w:hint="eastAsia" w:ascii="仿宋_GB2312" w:hAnsi="仿宋_GB2312" w:eastAsia="仿宋_GB2312" w:cs="仿宋_GB2312"/>
          <w:b/>
          <w:sz w:val="32"/>
          <w:szCs w:val="32"/>
          <w:highlight w:val="none"/>
          <w:lang w:eastAsia="zh-CN"/>
        </w:rPr>
        <w:t>公务员医疗补助</w:t>
      </w:r>
      <w:r>
        <w:rPr>
          <w:rFonts w:hint="eastAsia" w:ascii="仿宋_GB2312" w:hAnsi="仿宋_GB2312" w:eastAsia="仿宋_GB2312" w:cs="仿宋_GB2312"/>
          <w:b/>
          <w:sz w:val="32"/>
          <w:szCs w:val="32"/>
          <w:highlight w:val="none"/>
        </w:rPr>
        <w:t>（项）。</w:t>
      </w:r>
      <w:r>
        <w:rPr>
          <w:rFonts w:hint="eastAsia" w:eastAsia="仿宋_GB2312"/>
          <w:sz w:val="32"/>
          <w:szCs w:val="32"/>
          <w:highlight w:val="none"/>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1.41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82.94%。决算数与年初预算数存在差异的原因是：单位人员有调出，造成单位医疗补助缴费减少。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65.43万元。其中：人员经费51.22万元，主要包括：基本工资、津贴补贴、奖金、机关事业单位基本养老保险缴费、职工基本医疗保险缴费、公务员医疗补助缴费、住房公积金等；公用经费14.21万元，主要包括：办公费、差旅费、会议费、公务接待费、劳务费、工会经费、福利费、公务用车运行维护费、其他交通费用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2021年度“三公”经费财政拨款支出预算为4万元，支出决算为2.47万元，完成预算的61.75%。2021年度“三公”经费支出决算数与预算数存在差异的主要原因是：落实过紧日子要求，严格控制“三公”经费开支。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万元，占0%；公务用车购置及运行费支出决算1.40万元，完成预算的70%，占56.68%；公务接待费支出决算1.07万元，完成预算的53.50%，占43.32%。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预算为0万元，占0%，支出决算为0万元，占0%。决算数与预算数不存在差异。</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预算为2万元，占0%，支出决算为1.4万元，完成预算的70%。决算数与预算数存在差异的主要原因是：落实过紧日子要求，严格控制“三公”经费开支。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0万元，占0%，购置车辆0辆。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1.4万元。主要用于公务用车和运行维护。2021年期末，单位开支财政拨款的公务用车保有量为1辆。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预算为2万元，占0%，支出决算为1.07万，完成预算的53.5%。决算数与预算数存在差异的主要原因是：落实过紧日子要求，严格控制“三公”经费开支。其中：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0万元，占0%。2021年共接待国（境）外来访团组0个、来访外宾0人次（不包括陪同人员）。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1.07万元。主要用于会议接待和公务接待。2021年共接待国内来访团组8个、来宾112人次（不包括陪同人员）。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年年度政府性基金预算财政拨款支出年初预算为0万元，支出决算为0万元。</w:t>
      </w:r>
      <w:r>
        <w:rPr>
          <w:rFonts w:hint="eastAsia" w:ascii="仿宋_GB2312" w:hAnsi="仿宋_GB2312" w:eastAsia="仿宋_GB2312" w:cs="仿宋_GB2312"/>
          <w:color w:val="auto"/>
          <w:sz w:val="32"/>
          <w:szCs w:val="32"/>
          <w:highlight w:val="none"/>
          <w:lang w:val="en-US" w:eastAsia="zh-CN"/>
        </w:rPr>
        <w:t>不存在项目年末结转和结余资金金额较大。</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2021年度机关运行经费年初预算为16.09万元，支出决算为14.21万元，完成年初预算的88.32%。决算数与年初预算数存在差异的主要原因：受疫情影响，开展业务活动和学习培训减少，办公费用等下降。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1辆，其中：省级领导干部用车0辆、主要领导干部用车0辆、机要通信用车0辆、应急保障车0辆、执法执勤用车0辆、特种专业技术用车0辆、离退休干部用车1辆、其他用车0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高度重视绩效管理工作，事前进行绩效评估，年终围绕2021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我单位紧紧围绕本单位的工作职能和职责，严格按照资金使用内容和用途进行支出。二是项目绩效自评情况。我单位共有1个项目批复了绩效目标，项目金额2.71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得分为95分,项目评价等级为“优”。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p>
    <w:p>
      <w:pPr>
        <w:widowControl/>
        <w:jc w:val="left"/>
        <w:rPr>
          <w:rFonts w:hint="eastAsia" w:ascii="楷体_GB2312" w:hAnsi="楷体_GB2312" w:eastAsia="楷体_GB2312" w:cs="楷体_GB2312"/>
          <w:color w:val="auto"/>
          <w:sz w:val="32"/>
          <w:szCs w:val="32"/>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64F83"/>
    <w:multiLevelType w:val="singleLevel"/>
    <w:tmpl w:val="91E64F83"/>
    <w:lvl w:ilvl="0" w:tentative="0">
      <w:start w:val="1"/>
      <w:numFmt w:val="chineseCounting"/>
      <w:suff w:val="space"/>
      <w:lvlText w:val="第%1部分"/>
      <w:lvlJc w:val="left"/>
      <w:rPr>
        <w:rFonts w:hint="eastAsia"/>
      </w:rPr>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e8ff652e-2cf3-4f2c-a17d-a0ad27c4ad80"/>
  </w:docVars>
  <w:rsids>
    <w:rsidRoot w:val="00000000"/>
    <w:rsid w:val="0180457C"/>
    <w:rsid w:val="032E7466"/>
    <w:rsid w:val="097F55EA"/>
    <w:rsid w:val="0E241610"/>
    <w:rsid w:val="0E533835"/>
    <w:rsid w:val="11186A50"/>
    <w:rsid w:val="11C81D02"/>
    <w:rsid w:val="13D52D30"/>
    <w:rsid w:val="15910B7E"/>
    <w:rsid w:val="188B7DAC"/>
    <w:rsid w:val="1E6100E4"/>
    <w:rsid w:val="24A27750"/>
    <w:rsid w:val="28065AFB"/>
    <w:rsid w:val="2B0423B7"/>
    <w:rsid w:val="2E657E5C"/>
    <w:rsid w:val="3691341E"/>
    <w:rsid w:val="39537601"/>
    <w:rsid w:val="397514A2"/>
    <w:rsid w:val="39B904FD"/>
    <w:rsid w:val="3A5D30E2"/>
    <w:rsid w:val="3D4D71E3"/>
    <w:rsid w:val="3DEC07B0"/>
    <w:rsid w:val="3DEC7298"/>
    <w:rsid w:val="421A79DB"/>
    <w:rsid w:val="425D7EB7"/>
    <w:rsid w:val="53B85E77"/>
    <w:rsid w:val="567A1DC5"/>
    <w:rsid w:val="57770A66"/>
    <w:rsid w:val="5F737A19"/>
    <w:rsid w:val="60A04FC5"/>
    <w:rsid w:val="60CA4511"/>
    <w:rsid w:val="619F6763"/>
    <w:rsid w:val="62183DBA"/>
    <w:rsid w:val="672F3320"/>
    <w:rsid w:val="68A1024E"/>
    <w:rsid w:val="701F03D6"/>
    <w:rsid w:val="74213264"/>
    <w:rsid w:val="757A105D"/>
    <w:rsid w:val="77ED7369"/>
    <w:rsid w:val="7B9A4CC6"/>
    <w:rsid w:val="7DC600E3"/>
    <w:rsid w:val="7EEF3D3A"/>
    <w:rsid w:val="7FED7C7A"/>
    <w:rsid w:val="7FEFDCB5"/>
    <w:rsid w:val="BD4ED434"/>
    <w:rsid w:val="BF9C6C2A"/>
    <w:rsid w:val="BFE8DB90"/>
    <w:rsid w:val="D3FB2137"/>
    <w:rsid w:val="DFFBAD5B"/>
    <w:rsid w:val="EEFB5173"/>
    <w:rsid w:val="EFFE7E43"/>
    <w:rsid w:val="F6DF4258"/>
    <w:rsid w:val="F6E5DA95"/>
    <w:rsid w:val="F7DCFCB2"/>
    <w:rsid w:val="FFF45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5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7855</Words>
  <Characters>9298</Characters>
  <Lines>0</Lines>
  <Paragraphs>0</Paragraphs>
  <TotalTime>43</TotalTime>
  <ScaleCrop>false</ScaleCrop>
  <LinksUpToDate>false</LinksUpToDate>
  <CharactersWithSpaces>9508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Administrator</cp:lastModifiedBy>
  <cp:lastPrinted>2023-05-10T02:05:00Z</cp:lastPrinted>
  <dcterms:modified xsi:type="dcterms:W3CDTF">2023-05-17T10:32:12Z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B5598EABF4EC41DE9CD1FF054D8691D6</vt:lpwstr>
  </property>
</Properties>
</file>