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202</w:t>
      </w:r>
      <w:r>
        <w:rPr>
          <w:rFonts w:ascii="黑体" w:hAnsi="黑体" w:eastAsia="黑体" w:cs="黑体"/>
          <w:sz w:val="52"/>
          <w:szCs w:val="52"/>
        </w:rPr>
        <w:t>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许昌市公路事业发展中心</w:t>
      </w:r>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许昌市公路事业发展中心概况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ind w:firstLine="640" w:firstLineChars="200"/>
        <w:jc w:val="left"/>
        <w:rPr>
          <w:rFonts w:ascii="宋体" w:hAnsi="宋体" w:cs="宋体"/>
          <w:sz w:val="32"/>
          <w:szCs w:val="32"/>
        </w:rPr>
      </w:pPr>
    </w:p>
    <w:p>
      <w:pPr>
        <w:jc w:val="left"/>
        <w:rPr>
          <w:rFonts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ind w:left="0" w:leftChars="0" w:right="-313" w:rightChars="-149" w:hanging="214" w:firstLineChars="0"/>
        <w:jc w:val="left"/>
        <w:rPr>
          <w:rFonts w:hint="default" w:ascii="黑体" w:hAnsi="宋体" w:eastAsia="黑体" w:cs="宋体"/>
          <w:kern w:val="0"/>
          <w:sz w:val="48"/>
          <w:szCs w:val="48"/>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黑体" w:hAnsi="宋体" w:eastAsia="黑体" w:cs="宋体"/>
          <w:kern w:val="0"/>
          <w:sz w:val="48"/>
          <w:szCs w:val="48"/>
          <w:lang w:val="en-US" w:eastAsia="zh-CN"/>
        </w:rPr>
        <w:t>第一部分 许昌市公路事业发展中心概况</w:t>
      </w:r>
    </w:p>
    <w:p>
      <w:pPr>
        <w:widowControl/>
        <w:numPr>
          <w:ilvl w:val="0"/>
          <w:numId w:val="2"/>
        </w:numPr>
        <w:jc w:val="left"/>
        <w:outlineLvl w:val="1"/>
        <w:rPr>
          <w:rFonts w:ascii="黑体" w:hAnsi="黑体" w:eastAsia="黑体" w:cs="黑体"/>
          <w:bCs/>
          <w:sz w:val="32"/>
          <w:szCs w:val="32"/>
        </w:rPr>
      </w:pP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许昌市公路事业发展中心是全市干线公路主管</w:t>
      </w:r>
      <w:r>
        <w:rPr>
          <w:rFonts w:hint="eastAsia" w:ascii="仿宋_GB2312" w:hAnsi="宋体" w:eastAsia="仿宋_GB2312" w:cs="宋体"/>
          <w:color w:val="000000"/>
          <w:kern w:val="0"/>
          <w:sz w:val="32"/>
          <w:szCs w:val="32"/>
          <w:lang w:val="en-US" w:eastAsia="zh-CN"/>
        </w:rPr>
        <w:t>单位</w:t>
      </w:r>
      <w:r>
        <w:rPr>
          <w:rFonts w:hint="eastAsia" w:ascii="仿宋_GB2312" w:hAnsi="宋体" w:eastAsia="仿宋_GB2312" w:cs="宋体"/>
          <w:color w:val="000000"/>
          <w:kern w:val="0"/>
          <w:sz w:val="32"/>
          <w:szCs w:val="32"/>
        </w:rPr>
        <w:t>。主要职责是：贯彻执行国家有关公路工作的方针、政策和法规，负责承担《公路法》规定的相关责任和义务；参与编制全市公路发展规划；承担国省干线公路的养护和改建，公路养护质量监督检查与路况评定，公路灾害抢修与保通，公路绿化；负责国省干线公路的行政执法，路产路权维护，公路巡查，公路命名编号管理；负责公路工程的项目管理，公路工程的招投标管理，公路</w:t>
      </w:r>
      <w:bookmarkStart w:id="0" w:name="_GoBack"/>
      <w:bookmarkEnd w:id="0"/>
      <w:r>
        <w:rPr>
          <w:rFonts w:hint="eastAsia" w:ascii="仿宋_GB2312" w:hAnsi="宋体" w:eastAsia="仿宋_GB2312" w:cs="宋体"/>
          <w:color w:val="000000"/>
          <w:kern w:val="0"/>
          <w:sz w:val="32"/>
          <w:szCs w:val="32"/>
        </w:rPr>
        <w:t>工程的质量管理，公路工程的建设管理；负责全市公路行业统计、公路行业普查、公路数据库建设与维护，指导公路行业精神文明建设和职工队伍建设，组织指导公路行业职工培训工作；完成上级交办的其它任务</w:t>
      </w:r>
      <w:r>
        <w:rPr>
          <w:rFonts w:hint="eastAsia" w:ascii="仿宋_GB2312" w:hAnsi="宋体" w:eastAsia="仿宋_GB2312" w:cs="宋体"/>
          <w:kern w:val="0"/>
          <w:sz w:val="32"/>
          <w:szCs w:val="32"/>
        </w:rPr>
        <w:t>。</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许昌市公路事业发展中心内设科室18个，包括：行政办公室、人事劳资科、财务科、养护科、工程科、计划统计科、设计室、“三总师”办公室、安全监督科、法制科、科技科、离退科、检测中心、路政科、监察室、党委办公室、团委办公室、工会。</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从决算单位构成看，许昌市公路事业发展中心</w:t>
      </w:r>
      <w:r>
        <w:rPr>
          <w:rFonts w:hint="eastAsia" w:ascii="仿宋_GB2312" w:hAnsi="宋体" w:eastAsia="仿宋_GB2312" w:cs="宋体"/>
          <w:color w:val="000000"/>
          <w:kern w:val="0"/>
          <w:sz w:val="32"/>
          <w:szCs w:val="32"/>
          <w:lang w:val="en-US" w:eastAsia="zh-CN"/>
        </w:rPr>
        <w:t>单位</w:t>
      </w:r>
      <w:r>
        <w:rPr>
          <w:rFonts w:hint="eastAsia" w:ascii="仿宋_GB2312" w:hAnsi="宋体" w:eastAsia="仿宋_GB2312" w:cs="宋体"/>
          <w:color w:val="000000"/>
          <w:kern w:val="0"/>
          <w:sz w:val="32"/>
          <w:szCs w:val="32"/>
        </w:rPr>
        <w:t>决算包括：本级决算</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1个</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纳入本</w:t>
      </w:r>
      <w:r>
        <w:rPr>
          <w:rFonts w:hint="eastAsia" w:ascii="仿宋_GB2312" w:hAnsi="宋体" w:eastAsia="仿宋_GB2312" w:cs="宋体"/>
          <w:color w:val="000000"/>
          <w:kern w:val="0"/>
          <w:sz w:val="32"/>
          <w:szCs w:val="32"/>
          <w:lang w:val="en-US" w:eastAsia="zh-CN"/>
        </w:rPr>
        <w:t>单位</w:t>
      </w:r>
      <w:r>
        <w:rPr>
          <w:rFonts w:hint="eastAsia" w:ascii="仿宋_GB2312" w:hAnsi="宋体" w:eastAsia="仿宋_GB2312" w:cs="宋体"/>
          <w:color w:val="000000"/>
          <w:kern w:val="0"/>
          <w:sz w:val="32"/>
          <w:szCs w:val="32"/>
        </w:rPr>
        <w:t>202</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年度</w:t>
      </w:r>
      <w:r>
        <w:rPr>
          <w:rFonts w:hint="eastAsia" w:ascii="仿宋_GB2312" w:hAnsi="宋体" w:eastAsia="仿宋_GB2312" w:cs="宋体"/>
          <w:color w:val="000000"/>
          <w:kern w:val="0"/>
          <w:sz w:val="32"/>
          <w:szCs w:val="32"/>
          <w:lang w:val="en-US" w:eastAsia="zh-CN"/>
        </w:rPr>
        <w:t>单位</w:t>
      </w:r>
      <w:r>
        <w:rPr>
          <w:rFonts w:hint="eastAsia" w:ascii="仿宋_GB2312" w:hAnsi="宋体" w:eastAsia="仿宋_GB2312" w:cs="宋体"/>
          <w:color w:val="000000"/>
          <w:kern w:val="0"/>
          <w:sz w:val="32"/>
          <w:szCs w:val="32"/>
        </w:rPr>
        <w:t>决算编制范围的单位共1个</w:t>
      </w:r>
      <w:r>
        <w:rPr>
          <w:rFonts w:hint="eastAsia" w:ascii="仿宋_GB2312" w:hAnsi="仿宋_GB2312" w:eastAsia="仿宋_GB2312" w:cs="仿宋_GB2312"/>
          <w:kern w:val="0"/>
          <w:sz w:val="32"/>
          <w:szCs w:val="32"/>
        </w:rPr>
        <w:t>，具体是</w:t>
      </w:r>
      <w:r>
        <w:rPr>
          <w:rFonts w:hint="eastAsia" w:ascii="仿宋_GB2312" w:hAnsi="宋体" w:eastAsia="仿宋_GB2312" w:cs="宋体"/>
          <w:color w:val="000000"/>
          <w:kern w:val="0"/>
          <w:sz w:val="32"/>
          <w:szCs w:val="32"/>
        </w:rPr>
        <w:t>：</w:t>
      </w:r>
    </w:p>
    <w:p>
      <w:pPr>
        <w:spacing w:line="600" w:lineRule="exact"/>
        <w:ind w:firstLine="64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2"/>
          <w:szCs w:val="32"/>
        </w:rPr>
        <w:t>许昌市公路事业发展中心</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w:t>
      </w:r>
      <w:r>
        <w:rPr>
          <w:rFonts w:ascii="黑体" w:hAnsi="黑体" w:eastAsia="黑体" w:cs="黑体"/>
          <w:sz w:val="48"/>
          <w:szCs w:val="48"/>
        </w:rPr>
        <w:t>1</w:t>
      </w:r>
      <w:r>
        <w:rPr>
          <w:rFonts w:hint="eastAsia" w:ascii="黑体" w:hAnsi="黑体" w:eastAsia="黑体" w:cs="黑体"/>
          <w:sz w:val="48"/>
          <w:szCs w:val="48"/>
        </w:rPr>
        <w:t>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8"/>
        <w:tblW w:w="14084" w:type="dxa"/>
        <w:jc w:val="center"/>
        <w:tblInd w:w="0" w:type="dxa"/>
        <w:tblLayout w:type="fixed"/>
        <w:tblCellMar>
          <w:top w:w="0" w:type="dxa"/>
          <w:left w:w="108" w:type="dxa"/>
          <w:bottom w:w="0" w:type="dxa"/>
          <w:right w:w="108" w:type="dxa"/>
        </w:tblCellMar>
      </w:tblPr>
      <w:tblGrid>
        <w:gridCol w:w="14084"/>
      </w:tblGrid>
      <w:tr>
        <w:tblPrEx>
          <w:tblLayout w:type="fixed"/>
          <w:tblCellMar>
            <w:top w:w="0" w:type="dxa"/>
            <w:left w:w="108" w:type="dxa"/>
            <w:bottom w:w="0" w:type="dxa"/>
            <w:right w:w="108" w:type="dxa"/>
          </w:tblCellMar>
        </w:tblPrEx>
        <w:trPr>
          <w:trHeight w:val="390" w:hRule="atLeast"/>
          <w:jc w:val="center"/>
        </w:trPr>
        <w:tc>
          <w:tcPr>
            <w:tcW w:w="14084" w:type="dxa"/>
            <w:tcBorders>
              <w:top w:val="nil"/>
              <w:left w:val="nil"/>
              <w:bottom w:val="nil"/>
              <w:right w:val="nil"/>
            </w:tcBorders>
            <w:noWrap/>
            <w:vAlign w:val="bottom"/>
          </w:tcPr>
          <w:tbl>
            <w:tblPr>
              <w:tblStyle w:val="8"/>
              <w:tblW w:w="13127" w:type="dxa"/>
              <w:tblInd w:w="0" w:type="dxa"/>
              <w:tblLayout w:type="fixed"/>
              <w:tblCellMar>
                <w:top w:w="0" w:type="dxa"/>
                <w:left w:w="108" w:type="dxa"/>
                <w:bottom w:w="0" w:type="dxa"/>
                <w:right w:w="108" w:type="dxa"/>
              </w:tblCellMar>
            </w:tblPr>
            <w:tblGrid>
              <w:gridCol w:w="4064"/>
              <w:gridCol w:w="851"/>
              <w:gridCol w:w="1386"/>
              <w:gridCol w:w="4767"/>
              <w:gridCol w:w="673"/>
              <w:gridCol w:w="1386"/>
            </w:tblGrid>
            <w:tr>
              <w:tblPrEx>
                <w:tblLayout w:type="fixed"/>
                <w:tblCellMar>
                  <w:top w:w="0" w:type="dxa"/>
                  <w:left w:w="108" w:type="dxa"/>
                  <w:bottom w:w="0" w:type="dxa"/>
                  <w:right w:w="108" w:type="dxa"/>
                </w:tblCellMar>
              </w:tblPrEx>
              <w:trPr>
                <w:trHeight w:val="390" w:hRule="atLeast"/>
              </w:trPr>
              <w:tc>
                <w:tcPr>
                  <w:tcW w:w="13127" w:type="dxa"/>
                  <w:gridSpan w:val="6"/>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Layout w:type="fixed"/>
                <w:tblCellMar>
                  <w:top w:w="0" w:type="dxa"/>
                  <w:left w:w="108" w:type="dxa"/>
                  <w:bottom w:w="0" w:type="dxa"/>
                  <w:right w:w="108" w:type="dxa"/>
                </w:tblCellMar>
              </w:tblPrEx>
              <w:trPr>
                <w:trHeight w:val="255" w:hRule="atLeast"/>
              </w:trPr>
              <w:tc>
                <w:tcPr>
                  <w:tcW w:w="4064"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18"/>
                      <w:szCs w:val="18"/>
                    </w:rPr>
                  </w:pPr>
                </w:p>
              </w:tc>
              <w:tc>
                <w:tcPr>
                  <w:tcW w:w="85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38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4767"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2059" w:type="dxa"/>
                  <w:gridSpan w:val="2"/>
                  <w:tcBorders>
                    <w:top w:val="nil"/>
                    <w:left w:val="nil"/>
                    <w:bottom w:val="nil"/>
                    <w:right w:val="nil"/>
                  </w:tcBorders>
                  <w:shd w:val="clear" w:color="auto" w:fill="auto"/>
                  <w:noWrap/>
                  <w:vAlign w:val="bottom"/>
                </w:tcPr>
                <w:p>
                  <w:pPr>
                    <w:widowControl/>
                    <w:ind w:firstLine="180" w:firstLineChars="100"/>
                    <w:jc w:val="right"/>
                    <w:rPr>
                      <w:rFonts w:ascii="宋体" w:hAnsi="宋体" w:cs="Arial"/>
                      <w:color w:val="000000"/>
                      <w:kern w:val="0"/>
                      <w:sz w:val="18"/>
                      <w:szCs w:val="18"/>
                    </w:rPr>
                  </w:pPr>
                  <w:r>
                    <w:rPr>
                      <w:rFonts w:hint="eastAsia" w:ascii="宋体" w:hAnsi="宋体" w:cs="Arial"/>
                      <w:color w:val="000000"/>
                      <w:kern w:val="0"/>
                      <w:sz w:val="18"/>
                      <w:szCs w:val="18"/>
                    </w:rPr>
                    <w:t>公开01表</w:t>
                  </w:r>
                </w:p>
              </w:tc>
            </w:tr>
            <w:tr>
              <w:tblPrEx>
                <w:tblLayout w:type="fixed"/>
                <w:tblCellMar>
                  <w:top w:w="0" w:type="dxa"/>
                  <w:left w:w="108" w:type="dxa"/>
                  <w:bottom w:w="0" w:type="dxa"/>
                  <w:right w:w="108" w:type="dxa"/>
                </w:tblCellMar>
              </w:tblPrEx>
              <w:trPr>
                <w:trHeight w:val="255" w:hRule="atLeast"/>
              </w:trPr>
              <w:tc>
                <w:tcPr>
                  <w:tcW w:w="4064"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单位</w:t>
                  </w:r>
                  <w:r>
                    <w:rPr>
                      <w:rFonts w:hint="eastAsia" w:ascii="宋体" w:hAnsi="宋体" w:cs="Arial"/>
                      <w:color w:val="000000"/>
                      <w:kern w:val="0"/>
                      <w:sz w:val="18"/>
                      <w:szCs w:val="18"/>
                    </w:rPr>
                    <w:t>：许昌市公路事业发展中心</w:t>
                  </w:r>
                </w:p>
              </w:tc>
              <w:tc>
                <w:tcPr>
                  <w:tcW w:w="851"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p>
              </w:tc>
              <w:tc>
                <w:tcPr>
                  <w:tcW w:w="138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4767"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2059"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Layout w:type="fixed"/>
                <w:tblCellMar>
                  <w:top w:w="0" w:type="dxa"/>
                  <w:left w:w="108" w:type="dxa"/>
                  <w:bottom w:w="0" w:type="dxa"/>
                  <w:right w:w="108" w:type="dxa"/>
                </w:tblCellMar>
              </w:tblPrEx>
              <w:trPr>
                <w:trHeight w:val="308" w:hRule="atLeast"/>
              </w:trPr>
              <w:tc>
                <w:tcPr>
                  <w:tcW w:w="63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6826"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9,640.09</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413.11</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12,250.53</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9,640.09</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12,760.00</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3,119.91</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851"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12,760.00</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12,760.00</w:t>
                  </w:r>
                </w:p>
              </w:tc>
            </w:tr>
            <w:tr>
              <w:tblPrEx>
                <w:tblLayout w:type="fixed"/>
                <w:tblCellMar>
                  <w:top w:w="0" w:type="dxa"/>
                  <w:left w:w="108" w:type="dxa"/>
                  <w:bottom w:w="0" w:type="dxa"/>
                  <w:right w:w="108" w:type="dxa"/>
                </w:tblCellMar>
              </w:tblPrEx>
              <w:trPr>
                <w:trHeight w:val="308" w:hRule="atLeast"/>
              </w:trPr>
              <w:tc>
                <w:tcPr>
                  <w:tcW w:w="13127" w:type="dxa"/>
                  <w:gridSpan w:val="6"/>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本年度的总收支和年末结转结余情况。本表金额转换为万元时，因四舍五入可能存在尾差。</w:t>
                  </w:r>
                </w:p>
              </w:tc>
            </w:tr>
          </w:tbl>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p>
            <w:pPr>
              <w:widowControl/>
              <w:jc w:val="center"/>
              <w:rPr>
                <w:rFonts w:ascii="宋体" w:hAnsi="宋体" w:cs="Arial"/>
                <w:color w:val="000000"/>
                <w:kern w:val="0"/>
                <w:sz w:val="30"/>
                <w:szCs w:val="30"/>
              </w:rPr>
            </w:pPr>
          </w:p>
          <w:tbl>
            <w:tblPr>
              <w:tblStyle w:val="8"/>
              <w:tblW w:w="13941" w:type="dxa"/>
              <w:tblInd w:w="0" w:type="dxa"/>
              <w:tblLayout w:type="fixed"/>
              <w:tblCellMar>
                <w:top w:w="0" w:type="dxa"/>
                <w:left w:w="108" w:type="dxa"/>
                <w:bottom w:w="0" w:type="dxa"/>
                <w:right w:w="108" w:type="dxa"/>
              </w:tblCellMar>
            </w:tblPr>
            <w:tblGrid>
              <w:gridCol w:w="326"/>
              <w:gridCol w:w="255"/>
              <w:gridCol w:w="650"/>
              <w:gridCol w:w="3402"/>
              <w:gridCol w:w="1559"/>
              <w:gridCol w:w="1418"/>
              <w:gridCol w:w="1276"/>
              <w:gridCol w:w="1134"/>
              <w:gridCol w:w="1134"/>
              <w:gridCol w:w="1275"/>
              <w:gridCol w:w="1276"/>
              <w:gridCol w:w="236"/>
            </w:tblGrid>
            <w:tr>
              <w:tblPrEx>
                <w:tblLayout w:type="fixed"/>
                <w:tblCellMar>
                  <w:top w:w="0" w:type="dxa"/>
                  <w:left w:w="108" w:type="dxa"/>
                  <w:bottom w:w="0" w:type="dxa"/>
                  <w:right w:w="108" w:type="dxa"/>
                </w:tblCellMar>
              </w:tblPrEx>
              <w:trPr>
                <w:gridAfter w:val="1"/>
                <w:wAfter w:w="236" w:type="dxa"/>
                <w:trHeight w:val="390" w:hRule="atLeast"/>
              </w:trPr>
              <w:tc>
                <w:tcPr>
                  <w:tcW w:w="13705" w:type="dxa"/>
                  <w:gridSpan w:val="11"/>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Layout w:type="fixed"/>
                <w:tblCellMar>
                  <w:top w:w="0" w:type="dxa"/>
                  <w:left w:w="108" w:type="dxa"/>
                  <w:bottom w:w="0" w:type="dxa"/>
                  <w:right w:w="108" w:type="dxa"/>
                </w:tblCellMar>
              </w:tblPrEx>
              <w:trPr>
                <w:gridAfter w:val="1"/>
                <w:wAfter w:w="236" w:type="dxa"/>
                <w:trHeight w:val="255" w:hRule="atLeast"/>
              </w:trPr>
              <w:tc>
                <w:tcPr>
                  <w:tcW w:w="326" w:type="dxa"/>
                  <w:tcBorders>
                    <w:top w:val="nil"/>
                    <w:left w:val="nil"/>
                    <w:bottom w:val="nil"/>
                    <w:right w:val="nil"/>
                  </w:tcBorders>
                  <w:shd w:val="clear" w:color="auto" w:fill="auto"/>
                  <w:noWrap/>
                  <w:vAlign w:val="bottom"/>
                </w:tcPr>
                <w:p>
                  <w:pPr>
                    <w:widowControl/>
                    <w:rPr>
                      <w:rFonts w:hint="eastAsia" w:ascii="宋体" w:hAnsi="宋体" w:cs="Arial"/>
                      <w:color w:val="000000"/>
                      <w:kern w:val="0"/>
                      <w:sz w:val="30"/>
                      <w:szCs w:val="30"/>
                    </w:rPr>
                  </w:pPr>
                </w:p>
              </w:tc>
              <w:tc>
                <w:tcPr>
                  <w:tcW w:w="255"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65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340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559"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1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27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2551"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公开02表</w:t>
                  </w:r>
                </w:p>
              </w:tc>
            </w:tr>
            <w:tr>
              <w:tblPrEx>
                <w:tblLayout w:type="fixed"/>
                <w:tblCellMar>
                  <w:top w:w="0" w:type="dxa"/>
                  <w:left w:w="108" w:type="dxa"/>
                  <w:bottom w:w="0" w:type="dxa"/>
                  <w:right w:w="108" w:type="dxa"/>
                </w:tblCellMar>
              </w:tblPrEx>
              <w:trPr>
                <w:gridAfter w:val="1"/>
                <w:wAfter w:w="236" w:type="dxa"/>
                <w:trHeight w:val="255" w:hRule="atLeast"/>
              </w:trPr>
              <w:tc>
                <w:tcPr>
                  <w:tcW w:w="4633"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单位</w:t>
                  </w:r>
                  <w:r>
                    <w:rPr>
                      <w:rFonts w:hint="eastAsia" w:ascii="宋体" w:hAnsi="宋体" w:cs="Arial"/>
                      <w:color w:val="000000"/>
                      <w:kern w:val="0"/>
                      <w:sz w:val="18"/>
                      <w:szCs w:val="18"/>
                    </w:rPr>
                    <w:t>：许昌市公路事业发展中心</w:t>
                  </w:r>
                </w:p>
              </w:tc>
              <w:tc>
                <w:tcPr>
                  <w:tcW w:w="1559"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p>
              </w:tc>
              <w:tc>
                <w:tcPr>
                  <w:tcW w:w="141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27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2551"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Layout w:type="fixed"/>
                <w:tblCellMar>
                  <w:top w:w="0" w:type="dxa"/>
                  <w:left w:w="108" w:type="dxa"/>
                  <w:bottom w:w="0" w:type="dxa"/>
                  <w:right w:w="108" w:type="dxa"/>
                </w:tblCellMar>
              </w:tblPrEx>
              <w:trPr>
                <w:gridAfter w:val="1"/>
                <w:wAfter w:w="236" w:type="dxa"/>
                <w:trHeight w:val="308" w:hRule="atLeast"/>
              </w:trPr>
              <w:tc>
                <w:tcPr>
                  <w:tcW w:w="46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项目</w:t>
                  </w:r>
                </w:p>
              </w:tc>
              <w:tc>
                <w:tcPr>
                  <w:tcW w:w="155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本年收入合计</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财政拨款收入</w:t>
                  </w:r>
                </w:p>
              </w:tc>
              <w:tc>
                <w:tcPr>
                  <w:tcW w:w="127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上级补助收入</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事业收入</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经营收入</w:t>
                  </w:r>
                </w:p>
              </w:tc>
              <w:tc>
                <w:tcPr>
                  <w:tcW w:w="12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2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Layout w:type="fixed"/>
                <w:tblCellMar>
                  <w:top w:w="0" w:type="dxa"/>
                  <w:left w:w="108" w:type="dxa"/>
                  <w:bottom w:w="0" w:type="dxa"/>
                  <w:right w:w="108" w:type="dxa"/>
                </w:tblCellMar>
              </w:tblPrEx>
              <w:trPr>
                <w:gridAfter w:val="1"/>
                <w:wAfter w:w="236" w:type="dxa"/>
                <w:trHeight w:val="312" w:hRule="atLeast"/>
              </w:trPr>
              <w:tc>
                <w:tcPr>
                  <w:tcW w:w="1231"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402"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科目名称</w:t>
                  </w: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123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402"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6"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123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402"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22"/>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46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栏次</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w:t>
                  </w: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46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合计</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b/>
                      <w:bCs/>
                      <w:color w:val="000000"/>
                      <w:kern w:val="0"/>
                      <w:sz w:val="22"/>
                    </w:rPr>
                  </w:pPr>
                  <w:r>
                    <w:rPr>
                      <w:rFonts w:hint="eastAsia" w:cs="Arial" w:asciiTheme="minorEastAsia" w:hAnsiTheme="minorEastAsia" w:eastAsiaTheme="minorEastAsia"/>
                      <w:b/>
                      <w:bCs/>
                      <w:color w:val="000000"/>
                      <w:kern w:val="0"/>
                      <w:sz w:val="22"/>
                    </w:rPr>
                    <w:t>9,640.09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b/>
                      <w:bCs/>
                      <w:color w:val="000000"/>
                      <w:kern w:val="0"/>
                      <w:sz w:val="22"/>
                    </w:rPr>
                  </w:pPr>
                  <w:r>
                    <w:rPr>
                      <w:rFonts w:hint="eastAsia" w:cs="Arial" w:asciiTheme="minorEastAsia" w:hAnsiTheme="minorEastAsia" w:eastAsiaTheme="minorEastAsia"/>
                      <w:b/>
                      <w:bCs/>
                      <w:color w:val="000000"/>
                      <w:kern w:val="0"/>
                      <w:sz w:val="22"/>
                    </w:rPr>
                    <w:t>9,640.09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b/>
                      <w:bCs/>
                      <w:color w:val="000000"/>
                      <w:kern w:val="0"/>
                      <w:sz w:val="22"/>
                    </w:rPr>
                  </w:pPr>
                  <w:r>
                    <w:rPr>
                      <w:rFonts w:hint="eastAsia" w:cs="Arial" w:asciiTheme="minorEastAsia" w:hAnsiTheme="minorEastAsia" w:eastAsiaTheme="minorEastAsia"/>
                      <w:b/>
                      <w:bCs/>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b/>
                      <w:bCs/>
                      <w:color w:val="000000"/>
                      <w:kern w:val="0"/>
                      <w:sz w:val="22"/>
                    </w:rPr>
                  </w:pPr>
                  <w:r>
                    <w:rPr>
                      <w:rFonts w:hint="eastAsia" w:cs="Arial" w:asciiTheme="minorEastAsia" w:hAnsiTheme="minorEastAsia" w:eastAsiaTheme="minorEastAsia"/>
                      <w:b/>
                      <w:bCs/>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b/>
                      <w:bCs/>
                      <w:color w:val="000000"/>
                      <w:kern w:val="0"/>
                      <w:sz w:val="22"/>
                    </w:rPr>
                  </w:pPr>
                  <w:r>
                    <w:rPr>
                      <w:rFonts w:hint="eastAsia" w:cs="Arial" w:asciiTheme="minorEastAsia" w:hAnsiTheme="minorEastAsia" w:eastAsiaTheme="minorEastAsia"/>
                      <w:b/>
                      <w:bCs/>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一般公共服务支出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7.83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群众团体事务</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7.83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工会事务</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7.83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社会保障和就业支出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318.00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318.00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行政事业单位养老支出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301.47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301.47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事业单位离退休</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252.27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252.27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机关事业单位基本养老保险缴费支出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49.20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49.20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抚恤</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16.54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16.54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死亡抚恤</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16.54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16.54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卫生健康支出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21.47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21.47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行政事业单位医疗</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21.47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21.47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事业单位医疗</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21.47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21.47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节能环保支出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21103</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污染防治</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2110301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大气</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50.00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交通运输支出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9,242.79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9,242.79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公路水路运输</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9,242.79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9,242.79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2140104</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公路建设</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743.48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743.48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2140106</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公路养护</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6,984.75</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6,984.75</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交通运输信息化建设</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39.00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39.00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2140139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取消政府还贷二级公路收费专项支出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1,039.99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1,039.99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2140199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xml:space="preserve">  其他公路水路运输支出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435.57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435.57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3705" w:type="dxa"/>
                  <w:gridSpan w:val="11"/>
                  <w:tcBorders>
                    <w:top w:val="nil"/>
                    <w:left w:val="nil"/>
                    <w:bottom w:val="nil"/>
                    <w:right w:val="nil"/>
                  </w:tcBorders>
                  <w:shd w:val="clear" w:color="auto" w:fill="auto"/>
                  <w:noWrap/>
                  <w:vAlign w:val="center"/>
                </w:tcPr>
                <w:p>
                  <w:pPr>
                    <w:widowControl/>
                    <w:jc w:val="left"/>
                    <w:rPr>
                      <w:rFonts w:cs="Arial" w:asciiTheme="minorEastAsia" w:hAnsiTheme="minorEastAsia" w:eastAsiaTheme="minorEastAsia"/>
                      <w:color w:val="000000"/>
                      <w:kern w:val="0"/>
                      <w:sz w:val="22"/>
                    </w:rPr>
                  </w:pPr>
                  <w:r>
                    <w:rPr>
                      <w:rFonts w:hint="eastAsia" w:cs="Arial" w:asciiTheme="minorEastAsia" w:hAnsiTheme="minorEastAsia" w:eastAsiaTheme="minorEastAsia"/>
                      <w:color w:val="000000"/>
                      <w:kern w:val="0"/>
                      <w:sz w:val="22"/>
                    </w:rPr>
                    <w:t>注：本表反映</w:t>
                  </w:r>
                  <w:r>
                    <w:rPr>
                      <w:rFonts w:hint="eastAsia" w:cs="Arial" w:asciiTheme="minorEastAsia" w:hAnsiTheme="minorEastAsia" w:eastAsiaTheme="minorEastAsia"/>
                      <w:color w:val="000000"/>
                      <w:kern w:val="0"/>
                      <w:sz w:val="22"/>
                      <w:lang w:val="en-US" w:eastAsia="zh-CN"/>
                    </w:rPr>
                    <w:t>单位</w:t>
                  </w:r>
                  <w:r>
                    <w:rPr>
                      <w:rFonts w:hint="eastAsia" w:cs="Arial" w:asciiTheme="minorEastAsia" w:hAnsiTheme="minorEastAsia" w:eastAsiaTheme="minorEastAsia"/>
                      <w:color w:val="000000"/>
                      <w:kern w:val="0"/>
                      <w:sz w:val="22"/>
                    </w:rPr>
                    <w:t>本年度取得的各项收入情况。本表金额转换为万元时，因四舍五入可能存在尾差。</w:t>
                  </w:r>
                </w:p>
              </w:tc>
              <w:tc>
                <w:tcPr>
                  <w:tcW w:w="236" w:type="dxa"/>
                  <w:vAlign w:val="center"/>
                </w:tcPr>
                <w:p>
                  <w:pPr>
                    <w:widowControl/>
                    <w:jc w:val="left"/>
                    <w:rPr>
                      <w:rFonts w:ascii="Times New Roman" w:hAnsi="Times New Roman" w:eastAsia="Times New Roman"/>
                      <w:kern w:val="0"/>
                      <w:sz w:val="20"/>
                      <w:szCs w:val="20"/>
                    </w:rPr>
                  </w:pPr>
                </w:p>
              </w:tc>
            </w:tr>
          </w:tbl>
          <w:p>
            <w:pPr>
              <w:widowControl/>
              <w:jc w:val="center"/>
              <w:rPr>
                <w:rFonts w:ascii="宋体" w:hAnsi="宋体" w:cs="Arial"/>
                <w:color w:val="000000"/>
                <w:kern w:val="0"/>
                <w:sz w:val="30"/>
                <w:szCs w:val="30"/>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305" w:type="dxa"/>
        <w:tblInd w:w="90" w:type="dxa"/>
        <w:tblLayout w:type="fixed"/>
        <w:tblCellMar>
          <w:top w:w="0" w:type="dxa"/>
          <w:left w:w="108" w:type="dxa"/>
          <w:bottom w:w="0" w:type="dxa"/>
          <w:right w:w="108" w:type="dxa"/>
        </w:tblCellMar>
      </w:tblPr>
      <w:tblGrid>
        <w:gridCol w:w="1810"/>
        <w:gridCol w:w="603"/>
        <w:gridCol w:w="593"/>
        <w:gridCol w:w="4035"/>
        <w:gridCol w:w="1248"/>
        <w:gridCol w:w="1444"/>
        <w:gridCol w:w="1504"/>
        <w:gridCol w:w="797"/>
        <w:gridCol w:w="746"/>
        <w:gridCol w:w="525"/>
      </w:tblGrid>
      <w:tr>
        <w:tblPrEx>
          <w:tblLayout w:type="fixed"/>
          <w:tblCellMar>
            <w:top w:w="0" w:type="dxa"/>
            <w:left w:w="108" w:type="dxa"/>
            <w:bottom w:w="0" w:type="dxa"/>
            <w:right w:w="108" w:type="dxa"/>
          </w:tblCellMar>
        </w:tblPrEx>
        <w:trPr>
          <w:trHeight w:val="300" w:hRule="atLeast"/>
        </w:trPr>
        <w:tc>
          <w:tcPr>
            <w:tcW w:w="13305" w:type="dxa"/>
            <w:gridSpan w:val="10"/>
            <w:tcBorders>
              <w:top w:val="nil"/>
              <w:left w:val="nil"/>
              <w:bottom w:val="nil"/>
              <w:right w:val="nil"/>
            </w:tcBorders>
            <w:noWrap/>
            <w:vAlign w:val="bottom"/>
          </w:tcPr>
          <w:tbl>
            <w:tblPr>
              <w:tblStyle w:val="8"/>
              <w:tblW w:w="13422" w:type="dxa"/>
              <w:tblInd w:w="0" w:type="dxa"/>
              <w:tblLayout w:type="fixed"/>
              <w:tblCellMar>
                <w:top w:w="0" w:type="dxa"/>
                <w:left w:w="108" w:type="dxa"/>
                <w:bottom w:w="0" w:type="dxa"/>
                <w:right w:w="108" w:type="dxa"/>
              </w:tblCellMar>
            </w:tblPr>
            <w:tblGrid>
              <w:gridCol w:w="328"/>
              <w:gridCol w:w="253"/>
              <w:gridCol w:w="603"/>
              <w:gridCol w:w="3118"/>
              <w:gridCol w:w="1418"/>
              <w:gridCol w:w="1275"/>
              <w:gridCol w:w="1418"/>
              <w:gridCol w:w="1701"/>
              <w:gridCol w:w="1417"/>
              <w:gridCol w:w="1651"/>
              <w:gridCol w:w="240"/>
            </w:tblGrid>
            <w:tr>
              <w:tblPrEx>
                <w:tblLayout w:type="fixed"/>
                <w:tblCellMar>
                  <w:top w:w="0" w:type="dxa"/>
                  <w:left w:w="108" w:type="dxa"/>
                  <w:bottom w:w="0" w:type="dxa"/>
                  <w:right w:w="108" w:type="dxa"/>
                </w:tblCellMar>
              </w:tblPrEx>
              <w:trPr>
                <w:gridAfter w:val="1"/>
                <w:wAfter w:w="240" w:type="dxa"/>
                <w:trHeight w:val="390" w:hRule="atLeast"/>
              </w:trPr>
              <w:tc>
                <w:tcPr>
                  <w:tcW w:w="13182" w:type="dxa"/>
                  <w:gridSpan w:val="10"/>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Layout w:type="fixed"/>
                <w:tblCellMar>
                  <w:top w:w="0" w:type="dxa"/>
                  <w:left w:w="108" w:type="dxa"/>
                  <w:bottom w:w="0" w:type="dxa"/>
                  <w:right w:w="108" w:type="dxa"/>
                </w:tblCellMar>
              </w:tblPrEx>
              <w:trPr>
                <w:gridAfter w:val="1"/>
                <w:wAfter w:w="240" w:type="dxa"/>
                <w:trHeight w:val="255" w:hRule="atLeast"/>
              </w:trPr>
              <w:tc>
                <w:tcPr>
                  <w:tcW w:w="328"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tc>
              <w:tc>
                <w:tcPr>
                  <w:tcW w:w="253"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603"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311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1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275"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1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70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17"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651"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公开03表</w:t>
                  </w:r>
                </w:p>
              </w:tc>
            </w:tr>
            <w:tr>
              <w:tblPrEx>
                <w:tblLayout w:type="fixed"/>
                <w:tblCellMar>
                  <w:top w:w="0" w:type="dxa"/>
                  <w:left w:w="108" w:type="dxa"/>
                  <w:bottom w:w="0" w:type="dxa"/>
                  <w:right w:w="108" w:type="dxa"/>
                </w:tblCellMar>
              </w:tblPrEx>
              <w:trPr>
                <w:gridAfter w:val="1"/>
                <w:wAfter w:w="240" w:type="dxa"/>
                <w:trHeight w:val="255" w:hRule="atLeast"/>
              </w:trPr>
              <w:tc>
                <w:tcPr>
                  <w:tcW w:w="4302"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单位</w:t>
                  </w:r>
                  <w:r>
                    <w:rPr>
                      <w:rFonts w:hint="eastAsia" w:ascii="宋体" w:hAnsi="宋体" w:cs="Arial"/>
                      <w:color w:val="000000"/>
                      <w:kern w:val="0"/>
                      <w:sz w:val="18"/>
                      <w:szCs w:val="18"/>
                    </w:rPr>
                    <w:t>：许昌市公路事业发展中心</w:t>
                  </w:r>
                </w:p>
              </w:tc>
              <w:tc>
                <w:tcPr>
                  <w:tcW w:w="1418"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p>
              </w:tc>
              <w:tc>
                <w:tcPr>
                  <w:tcW w:w="1275"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18"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70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17"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651"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Layout w:type="fixed"/>
                <w:tblCellMar>
                  <w:top w:w="0" w:type="dxa"/>
                  <w:left w:w="108" w:type="dxa"/>
                  <w:bottom w:w="0" w:type="dxa"/>
                  <w:right w:w="108" w:type="dxa"/>
                </w:tblCellMar>
              </w:tblPrEx>
              <w:trPr>
                <w:gridAfter w:val="1"/>
                <w:wAfter w:w="240" w:type="dxa"/>
                <w:trHeight w:val="308" w:hRule="atLeast"/>
              </w:trPr>
              <w:tc>
                <w:tcPr>
                  <w:tcW w:w="43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27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70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41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65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Layout w:type="fixed"/>
                <w:tblCellMar>
                  <w:top w:w="0" w:type="dxa"/>
                  <w:left w:w="108" w:type="dxa"/>
                  <w:bottom w:w="0" w:type="dxa"/>
                  <w:right w:w="108" w:type="dxa"/>
                </w:tblCellMar>
              </w:tblPrEx>
              <w:trPr>
                <w:gridAfter w:val="1"/>
                <w:wAfter w:w="240" w:type="dxa"/>
                <w:trHeight w:val="312" w:hRule="atLeast"/>
              </w:trPr>
              <w:tc>
                <w:tcPr>
                  <w:tcW w:w="1184"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118"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118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0"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118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4302"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4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6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4302"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12,760.00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1,884.74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10,875.26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413.11</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413.11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396.57</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396.57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51.11</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51.11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252.27</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252.27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93.20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93.20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节能环保支出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21103</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污染防治</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2110301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大气</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交通运输支出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12,250.53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1,425.26</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10,825.26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公路水路运输</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11,569.00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1,425.26</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10,143.73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13.38</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13.38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2140104</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公路建设</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1,766.59</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1,766.59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2140106</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公路养护</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7,039.35</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7,039.35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交通运输信息化建设</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2140139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取消政府还贷二级公路收费专项支出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1,632.42</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1,411.88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220.53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2140199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其他公路水路运输支出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1,078.26</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1,078.26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21406</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车辆购置税支出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626.57</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626.57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2140601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车辆购置税用于公路等基础设施建设支出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626.57</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626.57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21499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其他交通运输支出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54.95</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54.95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2149999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其他交通运输支出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54.95</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54.95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0"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3182" w:type="dxa"/>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本年度各项支出情况。本表金额转换为万元时，因四舍五入可能存在尾差。</w:t>
                  </w:r>
                </w:p>
              </w:tc>
              <w:tc>
                <w:tcPr>
                  <w:tcW w:w="240" w:type="dxa"/>
                  <w:vAlign w:val="center"/>
                </w:tcPr>
                <w:p>
                  <w:pPr>
                    <w:widowControl/>
                    <w:jc w:val="left"/>
                    <w:rPr>
                      <w:rFonts w:ascii="Times New Roman" w:hAnsi="Times New Roman" w:eastAsia="Times New Roman"/>
                      <w:kern w:val="0"/>
                      <w:sz w:val="20"/>
                      <w:szCs w:val="20"/>
                    </w:rPr>
                  </w:pPr>
                </w:p>
              </w:tc>
            </w:tr>
          </w:tbl>
          <w:p>
            <w:pPr>
              <w:widowControl/>
              <w:jc w:val="center"/>
              <w:rPr>
                <w:rFonts w:ascii="宋体" w:hAnsi="宋体" w:cs="Arial"/>
                <w:color w:val="000000"/>
                <w:kern w:val="0"/>
                <w:sz w:val="30"/>
                <w:szCs w:val="30"/>
              </w:rPr>
            </w:pPr>
          </w:p>
        </w:tc>
      </w:tr>
      <w:tr>
        <w:tblPrEx>
          <w:tblLayout w:type="fixed"/>
          <w:tblCellMar>
            <w:top w:w="0" w:type="dxa"/>
            <w:left w:w="108" w:type="dxa"/>
            <w:bottom w:w="0" w:type="dxa"/>
            <w:right w:w="108" w:type="dxa"/>
          </w:tblCellMar>
        </w:tblPrEx>
        <w:trPr>
          <w:trHeight w:val="300" w:hRule="atLeast"/>
        </w:trPr>
        <w:tc>
          <w:tcPr>
            <w:tcW w:w="181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0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9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03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4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4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0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79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74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25" w:type="dxa"/>
            <w:tcBorders>
              <w:top w:val="nil"/>
              <w:left w:val="nil"/>
              <w:bottom w:val="nil"/>
              <w:right w:val="nil"/>
            </w:tcBorders>
            <w:noWrap/>
            <w:vAlign w:val="bottom"/>
          </w:tcPr>
          <w:p>
            <w:pPr>
              <w:widowControl/>
              <w:jc w:val="right"/>
              <w:rPr>
                <w:rFonts w:ascii="宋体" w:hAnsi="宋体" w:cs="Arial"/>
                <w:color w:val="000000"/>
                <w:kern w:val="0"/>
                <w:sz w:val="20"/>
                <w:szCs w:val="20"/>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8"/>
        <w:tblW w:w="14120" w:type="dxa"/>
        <w:tblInd w:w="108" w:type="dxa"/>
        <w:tblLayout w:type="fixed"/>
        <w:tblCellMar>
          <w:top w:w="0" w:type="dxa"/>
          <w:left w:w="108" w:type="dxa"/>
          <w:bottom w:w="0" w:type="dxa"/>
          <w:right w:w="108" w:type="dxa"/>
        </w:tblCellMar>
      </w:tblPr>
      <w:tblGrid>
        <w:gridCol w:w="3119"/>
        <w:gridCol w:w="503"/>
        <w:gridCol w:w="1339"/>
        <w:gridCol w:w="6"/>
        <w:gridCol w:w="3255"/>
        <w:gridCol w:w="503"/>
        <w:gridCol w:w="1206"/>
        <w:gridCol w:w="1267"/>
        <w:gridCol w:w="1170"/>
        <w:gridCol w:w="1524"/>
        <w:gridCol w:w="6"/>
        <w:gridCol w:w="216"/>
        <w:gridCol w:w="6"/>
      </w:tblGrid>
      <w:tr>
        <w:tblPrEx>
          <w:tblLayout w:type="fixed"/>
          <w:tblCellMar>
            <w:top w:w="0" w:type="dxa"/>
            <w:left w:w="108" w:type="dxa"/>
            <w:bottom w:w="0" w:type="dxa"/>
            <w:right w:w="108" w:type="dxa"/>
          </w:tblCellMar>
        </w:tblPrEx>
        <w:trPr>
          <w:gridAfter w:val="2"/>
          <w:wAfter w:w="222" w:type="dxa"/>
          <w:trHeight w:val="390" w:hRule="atLeast"/>
        </w:trPr>
        <w:tc>
          <w:tcPr>
            <w:tcW w:w="13898" w:type="dxa"/>
            <w:gridSpan w:val="11"/>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blPrEx>
          <w:tblLayout w:type="fixed"/>
          <w:tblCellMar>
            <w:top w:w="0" w:type="dxa"/>
            <w:left w:w="108" w:type="dxa"/>
            <w:bottom w:w="0" w:type="dxa"/>
            <w:right w:w="108" w:type="dxa"/>
          </w:tblCellMar>
        </w:tblPrEx>
        <w:trPr>
          <w:gridAfter w:val="3"/>
          <w:wAfter w:w="228" w:type="dxa"/>
          <w:trHeight w:val="255" w:hRule="atLeast"/>
        </w:trPr>
        <w:tc>
          <w:tcPr>
            <w:tcW w:w="3119"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tc>
        <w:tc>
          <w:tcPr>
            <w:tcW w:w="503"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339"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3261"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503"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20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267"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17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524"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gridAfter w:val="3"/>
          <w:wAfter w:w="228" w:type="dxa"/>
          <w:trHeight w:val="255" w:hRule="atLeast"/>
        </w:trPr>
        <w:tc>
          <w:tcPr>
            <w:tcW w:w="3119"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单位</w:t>
            </w:r>
            <w:r>
              <w:rPr>
                <w:rFonts w:hint="eastAsia" w:ascii="宋体" w:hAnsi="宋体" w:cs="Arial"/>
                <w:color w:val="000000"/>
                <w:kern w:val="0"/>
                <w:sz w:val="18"/>
                <w:szCs w:val="18"/>
              </w:rPr>
              <w:t>：许昌市公路事业发展中心</w:t>
            </w:r>
          </w:p>
        </w:tc>
        <w:tc>
          <w:tcPr>
            <w:tcW w:w="503"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p>
        </w:tc>
        <w:tc>
          <w:tcPr>
            <w:tcW w:w="1339"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3261"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503"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20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267"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17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524"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Layout w:type="fixed"/>
          <w:tblCellMar>
            <w:top w:w="0" w:type="dxa"/>
            <w:left w:w="108" w:type="dxa"/>
            <w:bottom w:w="0" w:type="dxa"/>
            <w:right w:w="108" w:type="dxa"/>
          </w:tblCellMar>
        </w:tblPrEx>
        <w:trPr>
          <w:gridAfter w:val="2"/>
          <w:wAfter w:w="222" w:type="dxa"/>
          <w:trHeight w:val="308"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931" w:type="dxa"/>
            <w:gridSpan w:val="7"/>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Layout w:type="fixed"/>
          <w:tblCellMar>
            <w:top w:w="0" w:type="dxa"/>
            <w:left w:w="108" w:type="dxa"/>
            <w:bottom w:w="0" w:type="dxa"/>
            <w:right w:w="108" w:type="dxa"/>
          </w:tblCellMar>
        </w:tblPrEx>
        <w:trPr>
          <w:gridAfter w:val="3"/>
          <w:wAfter w:w="228" w:type="dxa"/>
          <w:trHeight w:val="312" w:hRule="atLeast"/>
        </w:trPr>
        <w:tc>
          <w:tcPr>
            <w:tcW w:w="31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0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33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261"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0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0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6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117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152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Layout w:type="fixed"/>
          <w:tblCellMar>
            <w:top w:w="0" w:type="dxa"/>
            <w:left w:w="108" w:type="dxa"/>
            <w:bottom w:w="0" w:type="dxa"/>
            <w:right w:w="108" w:type="dxa"/>
          </w:tblCellMar>
        </w:tblPrEx>
        <w:trPr>
          <w:gridAfter w:val="1"/>
          <w:wAfter w:w="6" w:type="dxa"/>
          <w:trHeight w:val="615" w:hRule="atLeast"/>
        </w:trPr>
        <w:tc>
          <w:tcPr>
            <w:tcW w:w="31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26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0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2" w:type="dxa"/>
            <w:gridSpan w:val="2"/>
            <w:tcBorders>
              <w:top w:val="nil"/>
              <w:left w:val="nil"/>
              <w:bottom w:val="nil"/>
              <w:right w:val="nil"/>
            </w:tcBorders>
            <w:shd w:val="clear" w:color="auto" w:fill="auto"/>
            <w:noWrap/>
            <w:vAlign w:val="bottom"/>
          </w:tcPr>
          <w:p>
            <w:pPr>
              <w:widowControl/>
              <w:jc w:val="center"/>
              <w:rPr>
                <w:rFonts w:ascii="宋体" w:hAnsi="宋体" w:cs="Arial"/>
                <w:color w:val="000000"/>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9,640.09</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413.11</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413.11</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12,250.53</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12,250.53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9,640.09</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12,760.00</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12,760.00</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3,119.91</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3,119.91</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03"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12,760.00</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12,760.00</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12,760.00</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gridSpan w:val="2"/>
            <w:vAlign w:val="center"/>
          </w:tcPr>
          <w:p>
            <w:pPr>
              <w:widowControl/>
              <w:jc w:val="left"/>
              <w:rPr>
                <w:rFonts w:ascii="Times New Roman" w:hAnsi="Times New Roman" w:eastAsia="Times New Roman"/>
                <w:kern w:val="0"/>
                <w:sz w:val="22"/>
              </w:rPr>
            </w:pPr>
          </w:p>
        </w:tc>
      </w:tr>
      <w:tr>
        <w:tblPrEx>
          <w:tblLayout w:type="fixed"/>
          <w:tblCellMar>
            <w:top w:w="0" w:type="dxa"/>
            <w:left w:w="108" w:type="dxa"/>
            <w:bottom w:w="0" w:type="dxa"/>
            <w:right w:w="108" w:type="dxa"/>
          </w:tblCellMar>
        </w:tblPrEx>
        <w:trPr>
          <w:trHeight w:val="585" w:hRule="atLeast"/>
        </w:trPr>
        <w:tc>
          <w:tcPr>
            <w:tcW w:w="13898" w:type="dxa"/>
            <w:gridSpan w:val="11"/>
            <w:tcBorders>
              <w:top w:val="nil"/>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c>
          <w:tcPr>
            <w:tcW w:w="222" w:type="dxa"/>
            <w:gridSpan w:val="2"/>
            <w:vAlign w:val="center"/>
          </w:tcPr>
          <w:p>
            <w:pPr>
              <w:widowControl/>
              <w:jc w:val="left"/>
              <w:rPr>
                <w:rFonts w:ascii="Times New Roman" w:hAnsi="Times New Roman" w:eastAsia="Times New Roman"/>
                <w:kern w:val="0"/>
                <w:sz w:val="20"/>
                <w:szCs w:val="20"/>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8"/>
        <w:tblW w:w="13041" w:type="dxa"/>
        <w:tblInd w:w="108" w:type="dxa"/>
        <w:tblLayout w:type="fixed"/>
        <w:tblCellMar>
          <w:top w:w="0" w:type="dxa"/>
          <w:left w:w="108" w:type="dxa"/>
          <w:bottom w:w="0" w:type="dxa"/>
          <w:right w:w="108" w:type="dxa"/>
        </w:tblCellMar>
      </w:tblPr>
      <w:tblGrid>
        <w:gridCol w:w="400"/>
        <w:gridCol w:w="313"/>
        <w:gridCol w:w="1413"/>
        <w:gridCol w:w="4252"/>
        <w:gridCol w:w="1701"/>
        <w:gridCol w:w="2410"/>
        <w:gridCol w:w="2552"/>
      </w:tblGrid>
      <w:tr>
        <w:tblPrEx>
          <w:tblLayout w:type="fixed"/>
          <w:tblCellMar>
            <w:top w:w="0" w:type="dxa"/>
            <w:left w:w="108" w:type="dxa"/>
            <w:bottom w:w="0" w:type="dxa"/>
            <w:right w:w="108" w:type="dxa"/>
          </w:tblCellMar>
        </w:tblPrEx>
        <w:trPr>
          <w:trHeight w:val="390" w:hRule="atLeast"/>
        </w:trPr>
        <w:tc>
          <w:tcPr>
            <w:tcW w:w="13041" w:type="dxa"/>
            <w:gridSpan w:val="7"/>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Layout w:type="fixed"/>
          <w:tblCellMar>
            <w:top w:w="0" w:type="dxa"/>
            <w:left w:w="108" w:type="dxa"/>
            <w:bottom w:w="0" w:type="dxa"/>
            <w:right w:w="108" w:type="dxa"/>
          </w:tblCellMar>
        </w:tblPrEx>
        <w:trPr>
          <w:trHeight w:val="255" w:hRule="atLeast"/>
        </w:trPr>
        <w:tc>
          <w:tcPr>
            <w:tcW w:w="400"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18"/>
                <w:szCs w:val="18"/>
              </w:rPr>
            </w:pPr>
          </w:p>
        </w:tc>
        <w:tc>
          <w:tcPr>
            <w:tcW w:w="313"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13"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425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701"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241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2552"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Layout w:type="fixed"/>
          <w:tblCellMar>
            <w:top w:w="0" w:type="dxa"/>
            <w:left w:w="108" w:type="dxa"/>
            <w:bottom w:w="0" w:type="dxa"/>
            <w:right w:w="108" w:type="dxa"/>
          </w:tblCellMar>
        </w:tblPrEx>
        <w:trPr>
          <w:trHeight w:val="255" w:hRule="atLeast"/>
        </w:trPr>
        <w:tc>
          <w:tcPr>
            <w:tcW w:w="6378"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单位</w:t>
            </w:r>
            <w:r>
              <w:rPr>
                <w:rFonts w:hint="eastAsia" w:ascii="宋体" w:hAnsi="宋体" w:cs="Arial"/>
                <w:color w:val="000000"/>
                <w:kern w:val="0"/>
                <w:sz w:val="18"/>
                <w:szCs w:val="18"/>
              </w:rPr>
              <w:t>：许昌市公路事业发展中心</w:t>
            </w:r>
          </w:p>
        </w:tc>
        <w:tc>
          <w:tcPr>
            <w:tcW w:w="1701"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p>
        </w:tc>
        <w:tc>
          <w:tcPr>
            <w:tcW w:w="241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2552"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Layout w:type="fixed"/>
          <w:tblCellMar>
            <w:top w:w="0" w:type="dxa"/>
            <w:left w:w="108" w:type="dxa"/>
            <w:bottom w:w="0" w:type="dxa"/>
            <w:right w:w="108" w:type="dxa"/>
          </w:tblCellMar>
        </w:tblPrEx>
        <w:trPr>
          <w:trHeight w:val="593" w:hRule="atLeast"/>
        </w:trPr>
        <w:tc>
          <w:tcPr>
            <w:tcW w:w="63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66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Layout w:type="fixed"/>
          <w:tblCellMar>
            <w:top w:w="0" w:type="dxa"/>
            <w:left w:w="108" w:type="dxa"/>
            <w:bottom w:w="0" w:type="dxa"/>
            <w:right w:w="108" w:type="dxa"/>
          </w:tblCellMar>
        </w:tblPrEx>
        <w:trPr>
          <w:trHeight w:val="312" w:hRule="atLeast"/>
        </w:trPr>
        <w:tc>
          <w:tcPr>
            <w:tcW w:w="212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252"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70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4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55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Layout w:type="fixed"/>
          <w:tblCellMar>
            <w:top w:w="0" w:type="dxa"/>
            <w:left w:w="108" w:type="dxa"/>
            <w:bottom w:w="0" w:type="dxa"/>
            <w:right w:w="108" w:type="dxa"/>
          </w:tblCellMar>
        </w:tblPrEx>
        <w:trPr>
          <w:trHeight w:val="312" w:hRule="atLeast"/>
        </w:trPr>
        <w:tc>
          <w:tcPr>
            <w:tcW w:w="212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2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5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12" w:hRule="atLeast"/>
        </w:trPr>
        <w:tc>
          <w:tcPr>
            <w:tcW w:w="212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2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5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637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Layout w:type="fixed"/>
          <w:tblCellMar>
            <w:top w:w="0" w:type="dxa"/>
            <w:left w:w="108" w:type="dxa"/>
            <w:bottom w:w="0" w:type="dxa"/>
            <w:right w:w="108" w:type="dxa"/>
          </w:tblCellMar>
        </w:tblPrEx>
        <w:trPr>
          <w:trHeight w:val="308" w:hRule="atLeast"/>
        </w:trPr>
        <w:tc>
          <w:tcPr>
            <w:tcW w:w="637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12,760.00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1,884.74</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10,875.26</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413.11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413.11</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396.57</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396.57</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51.11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51.11</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252.27</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252.27</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93.20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93.20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16.54</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16.54</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16.54</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16.54</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38.53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节能环保支出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21103</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污染防治</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2110301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大气</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50.00</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交通运输支出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12,250.53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1,425.26</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10,825.26</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公路水路运输</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11,569.00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1,425.26</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10,143.73</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13.38</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13.38</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2140104</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公路建设</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1,766.59</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1,766.59</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2140106</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公路养护</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7,039.35</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7,039.35</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2140109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交通运输信息化建设</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39.00</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2140139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取消政府还贷二级公路收费专项支出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1,632.42</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1,411.88</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220.53</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2140199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其他公路水路运输支出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1,078.26</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1,078.26</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21406</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车辆购置税支出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626.57</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626.57</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2140601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车辆购置税用于公路等基础设施建设支出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626.57</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626.57</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21499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其他交通运输支出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54.95</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54.95</w:t>
            </w:r>
          </w:p>
        </w:tc>
      </w:tr>
      <w:tr>
        <w:tblPrEx>
          <w:tblLayout w:type="fixed"/>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2149999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其他交通运输支出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54.95</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54.95</w:t>
            </w:r>
          </w:p>
        </w:tc>
      </w:tr>
      <w:tr>
        <w:tblPrEx>
          <w:tblLayout w:type="fixed"/>
          <w:tblCellMar>
            <w:top w:w="0" w:type="dxa"/>
            <w:left w:w="108" w:type="dxa"/>
            <w:bottom w:w="0" w:type="dxa"/>
            <w:right w:w="108" w:type="dxa"/>
          </w:tblCellMar>
        </w:tblPrEx>
        <w:trPr>
          <w:trHeight w:val="308" w:hRule="atLeast"/>
        </w:trPr>
        <w:tc>
          <w:tcPr>
            <w:tcW w:w="13041" w:type="dxa"/>
            <w:gridSpan w:val="7"/>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398" w:type="dxa"/>
        <w:tblInd w:w="108" w:type="dxa"/>
        <w:tblLayout w:type="fixed"/>
        <w:tblCellMar>
          <w:top w:w="0" w:type="dxa"/>
          <w:left w:w="108" w:type="dxa"/>
          <w:bottom w:w="0" w:type="dxa"/>
          <w:right w:w="108" w:type="dxa"/>
        </w:tblCellMar>
      </w:tblPr>
      <w:tblGrid>
        <w:gridCol w:w="766"/>
        <w:gridCol w:w="2920"/>
        <w:gridCol w:w="1417"/>
        <w:gridCol w:w="766"/>
        <w:gridCol w:w="1824"/>
        <w:gridCol w:w="1134"/>
        <w:gridCol w:w="766"/>
        <w:gridCol w:w="3023"/>
        <w:gridCol w:w="1418"/>
        <w:gridCol w:w="313"/>
        <w:gridCol w:w="51"/>
      </w:tblGrid>
      <w:tr>
        <w:tblPrEx>
          <w:tblLayout w:type="fixed"/>
          <w:tblCellMar>
            <w:top w:w="0" w:type="dxa"/>
            <w:left w:w="108" w:type="dxa"/>
            <w:bottom w:w="0" w:type="dxa"/>
            <w:right w:w="108" w:type="dxa"/>
          </w:tblCellMar>
        </w:tblPrEx>
        <w:trPr>
          <w:gridAfter w:val="2"/>
          <w:wAfter w:w="364" w:type="dxa"/>
          <w:trHeight w:val="390" w:hRule="atLeast"/>
        </w:trPr>
        <w:tc>
          <w:tcPr>
            <w:tcW w:w="14034" w:type="dxa"/>
            <w:gridSpan w:val="9"/>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r>
      <w:tr>
        <w:tblPrEx>
          <w:tblLayout w:type="fixed"/>
          <w:tblCellMar>
            <w:top w:w="0" w:type="dxa"/>
            <w:left w:w="108" w:type="dxa"/>
            <w:bottom w:w="0" w:type="dxa"/>
            <w:right w:w="108" w:type="dxa"/>
          </w:tblCellMar>
        </w:tblPrEx>
        <w:trPr>
          <w:gridAfter w:val="2"/>
          <w:wAfter w:w="364" w:type="dxa"/>
          <w:trHeight w:val="255" w:hRule="atLeast"/>
        </w:trPr>
        <w:tc>
          <w:tcPr>
            <w:tcW w:w="766"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18"/>
                <w:szCs w:val="18"/>
              </w:rPr>
            </w:pPr>
          </w:p>
        </w:tc>
        <w:tc>
          <w:tcPr>
            <w:tcW w:w="29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17"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76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82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76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3023"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18"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Layout w:type="fixed"/>
          <w:tblCellMar>
            <w:top w:w="0" w:type="dxa"/>
            <w:left w:w="108" w:type="dxa"/>
            <w:bottom w:w="0" w:type="dxa"/>
            <w:right w:w="108" w:type="dxa"/>
          </w:tblCellMar>
        </w:tblPrEx>
        <w:trPr>
          <w:gridAfter w:val="2"/>
          <w:wAfter w:w="364" w:type="dxa"/>
          <w:trHeight w:val="255" w:hRule="atLeast"/>
        </w:trPr>
        <w:tc>
          <w:tcPr>
            <w:tcW w:w="3686" w:type="dxa"/>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单位</w:t>
            </w:r>
            <w:r>
              <w:rPr>
                <w:rFonts w:hint="eastAsia" w:ascii="宋体" w:hAnsi="宋体" w:cs="Arial"/>
                <w:color w:val="000000"/>
                <w:kern w:val="0"/>
                <w:sz w:val="18"/>
                <w:szCs w:val="18"/>
              </w:rPr>
              <w:t>：许昌市公路事业发展中心</w:t>
            </w:r>
          </w:p>
        </w:tc>
        <w:tc>
          <w:tcPr>
            <w:tcW w:w="1417"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p>
        </w:tc>
        <w:tc>
          <w:tcPr>
            <w:tcW w:w="76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82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76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3023"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18"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Layout w:type="fixed"/>
          <w:tblCellMar>
            <w:top w:w="0" w:type="dxa"/>
            <w:left w:w="108" w:type="dxa"/>
            <w:bottom w:w="0" w:type="dxa"/>
            <w:right w:w="108" w:type="dxa"/>
          </w:tblCellMar>
        </w:tblPrEx>
        <w:trPr>
          <w:gridAfter w:val="2"/>
          <w:wAfter w:w="364" w:type="dxa"/>
          <w:trHeight w:val="308" w:hRule="atLeast"/>
        </w:trPr>
        <w:tc>
          <w:tcPr>
            <w:tcW w:w="5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8931"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Layout w:type="fixed"/>
          <w:tblCellMar>
            <w:top w:w="0" w:type="dxa"/>
            <w:left w:w="108" w:type="dxa"/>
            <w:bottom w:w="0" w:type="dxa"/>
            <w:right w:w="108" w:type="dxa"/>
          </w:tblCellMar>
        </w:tblPrEx>
        <w:trPr>
          <w:gridAfter w:val="2"/>
          <w:wAfter w:w="364" w:type="dxa"/>
          <w:trHeight w:val="312" w:hRule="atLeast"/>
        </w:trPr>
        <w:tc>
          <w:tcPr>
            <w:tcW w:w="7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9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1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182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1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02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1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Layout w:type="fixed"/>
          <w:tblCellMar>
            <w:top w:w="0" w:type="dxa"/>
            <w:left w:w="108" w:type="dxa"/>
            <w:bottom w:w="0" w:type="dxa"/>
            <w:right w:w="108" w:type="dxa"/>
          </w:tblCellMar>
        </w:tblPrEx>
        <w:trPr>
          <w:gridAfter w:val="1"/>
          <w:wAfter w:w="51" w:type="dxa"/>
          <w:trHeight w:val="308"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9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0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3"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2"/>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1,275.97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166.30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495.37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23.18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280.08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149.73</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0.79</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94.96</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0.79</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93.20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8.39</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5.19</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3.26</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39.05</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31.91</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6.09</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8.83</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79.39</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29.57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32.90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441.68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0.14</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1.31</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304.52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16.54</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13.10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9.72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107.52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gridAfter w:val="1"/>
          <w:wAfter w:w="51" w:type="dxa"/>
          <w:trHeight w:val="308" w:hRule="atLeast"/>
        </w:trPr>
        <w:tc>
          <w:tcPr>
            <w:tcW w:w="368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1,717.65</w:t>
            </w:r>
          </w:p>
        </w:tc>
        <w:tc>
          <w:tcPr>
            <w:tcW w:w="7513" w:type="dxa"/>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167.09</w:t>
            </w:r>
          </w:p>
        </w:tc>
        <w:tc>
          <w:tcPr>
            <w:tcW w:w="313"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4034" w:type="dxa"/>
            <w:gridSpan w:val="9"/>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c>
          <w:tcPr>
            <w:tcW w:w="364" w:type="dxa"/>
            <w:gridSpan w:val="2"/>
            <w:vAlign w:val="center"/>
          </w:tcPr>
          <w:p>
            <w:pPr>
              <w:widowControl/>
              <w:jc w:val="left"/>
              <w:rPr>
                <w:rFonts w:ascii="Times New Roman" w:hAnsi="Times New Roman" w:eastAsia="Times New Roman"/>
                <w:kern w:val="0"/>
                <w:sz w:val="20"/>
                <w:szCs w:val="20"/>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8"/>
        <w:tblW w:w="14325" w:type="dxa"/>
        <w:tblInd w:w="108" w:type="dxa"/>
        <w:tblLayout w:type="fixed"/>
        <w:tblCellMar>
          <w:top w:w="0" w:type="dxa"/>
          <w:left w:w="108" w:type="dxa"/>
          <w:bottom w:w="0" w:type="dxa"/>
          <w:right w:w="108" w:type="dxa"/>
        </w:tblCellMar>
      </w:tblPr>
      <w:tblGrid>
        <w:gridCol w:w="993"/>
        <w:gridCol w:w="1134"/>
        <w:gridCol w:w="1134"/>
        <w:gridCol w:w="1134"/>
        <w:gridCol w:w="1134"/>
        <w:gridCol w:w="992"/>
        <w:gridCol w:w="992"/>
        <w:gridCol w:w="1420"/>
        <w:gridCol w:w="1132"/>
        <w:gridCol w:w="1420"/>
        <w:gridCol w:w="1420"/>
        <w:gridCol w:w="11"/>
        <w:gridCol w:w="1409"/>
      </w:tblGrid>
      <w:tr>
        <w:tblPrEx>
          <w:tblLayout w:type="fixed"/>
          <w:tblCellMar>
            <w:top w:w="0" w:type="dxa"/>
            <w:left w:w="108" w:type="dxa"/>
            <w:bottom w:w="0" w:type="dxa"/>
            <w:right w:w="108" w:type="dxa"/>
          </w:tblCellMar>
        </w:tblPrEx>
        <w:trPr>
          <w:trHeight w:val="540" w:hRule="atLeast"/>
        </w:trPr>
        <w:tc>
          <w:tcPr>
            <w:tcW w:w="14325" w:type="dxa"/>
            <w:gridSpan w:val="13"/>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一般公共预算财政拨款“三公”经费支出决算表</w:t>
            </w:r>
          </w:p>
        </w:tc>
      </w:tr>
      <w:tr>
        <w:tblPrEx>
          <w:tblLayout w:type="fixed"/>
          <w:tblCellMar>
            <w:top w:w="0" w:type="dxa"/>
            <w:left w:w="108" w:type="dxa"/>
            <w:bottom w:w="0" w:type="dxa"/>
            <w:right w:w="108" w:type="dxa"/>
          </w:tblCellMar>
        </w:tblPrEx>
        <w:trPr>
          <w:trHeight w:val="255" w:hRule="atLeast"/>
        </w:trPr>
        <w:tc>
          <w:tcPr>
            <w:tcW w:w="993"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99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99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4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13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4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2840" w:type="dxa"/>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Layout w:type="fixed"/>
          <w:tblCellMar>
            <w:top w:w="0" w:type="dxa"/>
            <w:left w:w="108" w:type="dxa"/>
            <w:bottom w:w="0" w:type="dxa"/>
            <w:right w:w="108" w:type="dxa"/>
          </w:tblCellMar>
        </w:tblPrEx>
        <w:trPr>
          <w:trHeight w:val="255" w:hRule="atLeast"/>
        </w:trPr>
        <w:tc>
          <w:tcPr>
            <w:tcW w:w="3261" w:type="dxa"/>
            <w:gridSpan w:val="3"/>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单位</w:t>
            </w:r>
            <w:r>
              <w:rPr>
                <w:rFonts w:hint="eastAsia" w:ascii="宋体" w:hAnsi="宋体" w:cs="Arial"/>
                <w:color w:val="000000"/>
                <w:kern w:val="0"/>
                <w:sz w:val="18"/>
                <w:szCs w:val="18"/>
              </w:rPr>
              <w:t>：许昌市公路事业发展中心</w:t>
            </w:r>
          </w:p>
        </w:tc>
        <w:tc>
          <w:tcPr>
            <w:tcW w:w="1134"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99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99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13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4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2840" w:type="dxa"/>
            <w:gridSpan w:val="3"/>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Layout w:type="fixed"/>
          <w:tblCellMar>
            <w:top w:w="0" w:type="dxa"/>
            <w:left w:w="108" w:type="dxa"/>
            <w:bottom w:w="0" w:type="dxa"/>
            <w:right w:w="108" w:type="dxa"/>
          </w:tblCellMar>
        </w:tblPrEx>
        <w:trPr>
          <w:trHeight w:val="308" w:hRule="atLeast"/>
        </w:trPr>
        <w:tc>
          <w:tcPr>
            <w:tcW w:w="65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78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Layout w:type="fixed"/>
          <w:tblCellMar>
            <w:top w:w="0" w:type="dxa"/>
            <w:left w:w="108" w:type="dxa"/>
            <w:bottom w:w="0" w:type="dxa"/>
            <w:right w:w="108" w:type="dxa"/>
          </w:tblCellMar>
        </w:tblPrEx>
        <w:trPr>
          <w:trHeight w:val="308" w:hRule="atLeast"/>
        </w:trPr>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40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983"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4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Layout w:type="fixed"/>
          <w:tblCellMar>
            <w:top w:w="0" w:type="dxa"/>
            <w:left w:w="108" w:type="dxa"/>
            <w:bottom w:w="0" w:type="dxa"/>
            <w:right w:w="108" w:type="dxa"/>
          </w:tblCellMar>
        </w:tblPrEx>
        <w:trPr>
          <w:trHeight w:val="615" w:hRule="atLeast"/>
        </w:trPr>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992"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92"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420"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9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4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Layout w:type="fixed"/>
          <w:tblCellMar>
            <w:top w:w="0" w:type="dxa"/>
            <w:left w:w="108" w:type="dxa"/>
            <w:bottom w:w="0" w:type="dxa"/>
            <w:right w:w="108" w:type="dxa"/>
          </w:tblCellMar>
        </w:tblPrEx>
        <w:trPr>
          <w:trHeight w:val="308" w:hRule="atLeast"/>
        </w:trPr>
        <w:tc>
          <w:tcPr>
            <w:tcW w:w="993"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11.80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9.72</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9.62</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9.62</w:t>
            </w:r>
          </w:p>
        </w:tc>
        <w:tc>
          <w:tcPr>
            <w:tcW w:w="142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0.10</w:t>
            </w:r>
          </w:p>
        </w:tc>
      </w:tr>
      <w:tr>
        <w:tblPrEx>
          <w:tblLayout w:type="fixed"/>
          <w:tblCellMar>
            <w:top w:w="0" w:type="dxa"/>
            <w:left w:w="108" w:type="dxa"/>
            <w:bottom w:w="0" w:type="dxa"/>
            <w:right w:w="108" w:type="dxa"/>
          </w:tblCellMar>
        </w:tblPrEx>
        <w:trPr>
          <w:trHeight w:val="615" w:hRule="atLeast"/>
        </w:trPr>
        <w:tc>
          <w:tcPr>
            <w:tcW w:w="14325" w:type="dxa"/>
            <w:gridSpan w:val="13"/>
            <w:tcBorders>
              <w:top w:val="nil"/>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highlight w:val="yellow"/>
        </w:rPr>
      </w:pPr>
    </w:p>
    <w:p>
      <w:pPr>
        <w:rPr>
          <w:rFonts w:ascii="仿宋_GB2312" w:hAnsi="仿宋_GB2312" w:eastAsia="仿宋_GB2312" w:cs="仿宋_GB2312"/>
          <w:sz w:val="32"/>
          <w:szCs w:val="32"/>
          <w:highlight w:val="yellow"/>
        </w:rPr>
      </w:pPr>
    </w:p>
    <w:p>
      <w:pPr>
        <w:rPr>
          <w:rFonts w:ascii="仿宋_GB2312" w:hAnsi="仿宋_GB2312" w:eastAsia="仿宋_GB2312" w:cs="仿宋_GB2312"/>
          <w:sz w:val="32"/>
          <w:szCs w:val="32"/>
          <w:highlight w:val="yellow"/>
        </w:rPr>
      </w:pPr>
    </w:p>
    <w:p>
      <w:pPr>
        <w:rPr>
          <w:rFonts w:ascii="仿宋_GB2312" w:hAnsi="仿宋_GB2312" w:eastAsia="仿宋_GB2312" w:cs="仿宋_GB2312"/>
          <w:sz w:val="32"/>
          <w:szCs w:val="32"/>
          <w:highlight w:val="yellow"/>
        </w:rPr>
      </w:pPr>
    </w:p>
    <w:p>
      <w:pPr>
        <w:rPr>
          <w:rFonts w:ascii="仿宋_GB2312" w:hAnsi="仿宋_GB2312" w:eastAsia="仿宋_GB2312" w:cs="仿宋_GB2312"/>
          <w:sz w:val="32"/>
          <w:szCs w:val="32"/>
          <w:highlight w:val="yellow"/>
        </w:rPr>
      </w:pPr>
    </w:p>
    <w:p>
      <w:pPr>
        <w:rPr>
          <w:rFonts w:ascii="仿宋_GB2312" w:hAnsi="仿宋_GB2312" w:eastAsia="仿宋_GB2312" w:cs="仿宋_GB2312"/>
          <w:sz w:val="32"/>
          <w:szCs w:val="32"/>
          <w:highlight w:val="yellow"/>
        </w:rPr>
      </w:pPr>
    </w:p>
    <w:tbl>
      <w:tblPr>
        <w:tblStyle w:val="8"/>
        <w:tblW w:w="13689" w:type="dxa"/>
        <w:tblInd w:w="108" w:type="dxa"/>
        <w:tblLayout w:type="fixed"/>
        <w:tblCellMar>
          <w:top w:w="0" w:type="dxa"/>
          <w:left w:w="108" w:type="dxa"/>
          <w:bottom w:w="0" w:type="dxa"/>
          <w:right w:w="108" w:type="dxa"/>
        </w:tblCellMar>
      </w:tblPr>
      <w:tblGrid>
        <w:gridCol w:w="222"/>
        <w:gridCol w:w="222"/>
        <w:gridCol w:w="690"/>
        <w:gridCol w:w="993"/>
        <w:gridCol w:w="1275"/>
        <w:gridCol w:w="1134"/>
        <w:gridCol w:w="1962"/>
        <w:gridCol w:w="1962"/>
        <w:gridCol w:w="1962"/>
        <w:gridCol w:w="3045"/>
        <w:gridCol w:w="222"/>
      </w:tblGrid>
      <w:tr>
        <w:tblPrEx>
          <w:tblLayout w:type="fixed"/>
          <w:tblCellMar>
            <w:top w:w="0" w:type="dxa"/>
            <w:left w:w="108" w:type="dxa"/>
            <w:bottom w:w="0" w:type="dxa"/>
            <w:right w:w="108" w:type="dxa"/>
          </w:tblCellMar>
        </w:tblPrEx>
        <w:trPr>
          <w:gridAfter w:val="1"/>
          <w:wAfter w:w="222" w:type="dxa"/>
          <w:trHeight w:val="390" w:hRule="atLeast"/>
        </w:trPr>
        <w:tc>
          <w:tcPr>
            <w:tcW w:w="13467" w:type="dxa"/>
            <w:gridSpan w:val="10"/>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Layout w:type="fixed"/>
          <w:tblCellMar>
            <w:top w:w="0" w:type="dxa"/>
            <w:left w:w="108" w:type="dxa"/>
            <w:bottom w:w="0" w:type="dxa"/>
            <w:right w:w="108" w:type="dxa"/>
          </w:tblCellMar>
        </w:tblPrEx>
        <w:trPr>
          <w:gridAfter w:val="1"/>
          <w:wAfter w:w="222" w:type="dxa"/>
          <w:trHeight w:val="255" w:hRule="atLeast"/>
        </w:trPr>
        <w:tc>
          <w:tcPr>
            <w:tcW w:w="222"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18"/>
                <w:szCs w:val="18"/>
              </w:rPr>
            </w:pPr>
          </w:p>
        </w:tc>
        <w:tc>
          <w:tcPr>
            <w:tcW w:w="22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69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993"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275"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3045"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公开08表</w:t>
            </w:r>
          </w:p>
        </w:tc>
      </w:tr>
      <w:tr>
        <w:tblPrEx>
          <w:tblLayout w:type="fixed"/>
          <w:tblCellMar>
            <w:top w:w="0" w:type="dxa"/>
            <w:left w:w="108" w:type="dxa"/>
            <w:bottom w:w="0" w:type="dxa"/>
            <w:right w:w="108" w:type="dxa"/>
          </w:tblCellMar>
        </w:tblPrEx>
        <w:trPr>
          <w:gridAfter w:val="1"/>
          <w:wAfter w:w="222" w:type="dxa"/>
          <w:trHeight w:val="255" w:hRule="atLeast"/>
        </w:trPr>
        <w:tc>
          <w:tcPr>
            <w:tcW w:w="4536" w:type="dxa"/>
            <w:gridSpan w:val="6"/>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r>
              <w:rPr>
                <w:rFonts w:hint="eastAsia" w:ascii="宋体" w:hAnsi="宋体" w:cs="Arial"/>
                <w:color w:val="000000"/>
                <w:kern w:val="0"/>
                <w:sz w:val="18"/>
                <w:szCs w:val="18"/>
                <w:lang w:val="en-US" w:eastAsia="zh-CN"/>
              </w:rPr>
              <w:t>单位</w:t>
            </w:r>
            <w:r>
              <w:rPr>
                <w:rFonts w:hint="eastAsia" w:ascii="宋体" w:hAnsi="宋体" w:cs="Arial"/>
                <w:color w:val="000000"/>
                <w:kern w:val="0"/>
                <w:sz w:val="18"/>
                <w:szCs w:val="18"/>
              </w:rPr>
              <w:t>：许昌市公路事业发展中心</w:t>
            </w: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18"/>
                <w:szCs w:val="18"/>
              </w:rPr>
            </w:pPr>
          </w:p>
        </w:tc>
        <w:tc>
          <w:tcPr>
            <w:tcW w:w="3045"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Layout w:type="fixed"/>
          <w:tblCellMar>
            <w:top w:w="0" w:type="dxa"/>
            <w:left w:w="108" w:type="dxa"/>
            <w:bottom w:w="0" w:type="dxa"/>
            <w:right w:w="108" w:type="dxa"/>
          </w:tblCellMar>
        </w:tblPrEx>
        <w:trPr>
          <w:gridAfter w:val="1"/>
          <w:wAfter w:w="222" w:type="dxa"/>
          <w:trHeight w:val="308" w:hRule="atLeast"/>
        </w:trPr>
        <w:tc>
          <w:tcPr>
            <w:tcW w:w="21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27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88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304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Layout w:type="fixed"/>
          <w:tblCellMar>
            <w:top w:w="0" w:type="dxa"/>
            <w:left w:w="108" w:type="dxa"/>
            <w:bottom w:w="0" w:type="dxa"/>
            <w:right w:w="108" w:type="dxa"/>
          </w:tblCellMar>
        </w:tblPrEx>
        <w:trPr>
          <w:gridAfter w:val="1"/>
          <w:wAfter w:w="222" w:type="dxa"/>
          <w:trHeight w:val="312" w:hRule="atLeast"/>
        </w:trPr>
        <w:tc>
          <w:tcPr>
            <w:tcW w:w="1134"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993"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6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96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96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30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113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0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2"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113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0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2"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222"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22"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2" w:type="dxa"/>
            <w:vAlign w:val="center"/>
          </w:tcPr>
          <w:p>
            <w:pPr>
              <w:widowControl/>
              <w:jc w:val="left"/>
              <w:rPr>
                <w:rFonts w:ascii="Times New Roman" w:hAnsi="Times New Roman" w:eastAsia="Times New Roman"/>
                <w:kern w:val="0"/>
                <w:sz w:val="20"/>
                <w:szCs w:val="20"/>
              </w:rPr>
            </w:pPr>
          </w:p>
        </w:tc>
      </w:tr>
      <w:tr>
        <w:tblPrEx>
          <w:tblLayout w:type="fixed"/>
          <w:tblCellMar>
            <w:top w:w="0" w:type="dxa"/>
            <w:left w:w="108" w:type="dxa"/>
            <w:bottom w:w="0" w:type="dxa"/>
            <w:right w:w="108" w:type="dxa"/>
          </w:tblCellMar>
        </w:tblPrEx>
        <w:trPr>
          <w:trHeight w:val="308" w:hRule="atLeast"/>
        </w:trPr>
        <w:tc>
          <w:tcPr>
            <w:tcW w:w="13467" w:type="dxa"/>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本年度政府性基金预算财政拨款收入、支出及结转和结余情况。本表金额转换为万元时，因四舍五入可能存在尾差。</w:t>
            </w:r>
          </w:p>
        </w:tc>
        <w:tc>
          <w:tcPr>
            <w:tcW w:w="222" w:type="dxa"/>
            <w:vAlign w:val="center"/>
          </w:tcPr>
          <w:p>
            <w:pPr>
              <w:widowControl/>
              <w:jc w:val="left"/>
              <w:rPr>
                <w:rFonts w:ascii="Times New Roman" w:hAnsi="Times New Roman" w:eastAsia="Times New Roman"/>
                <w:kern w:val="0"/>
                <w:sz w:val="20"/>
                <w:szCs w:val="20"/>
              </w:rPr>
            </w:pPr>
          </w:p>
        </w:tc>
      </w:tr>
    </w:tbl>
    <w:p>
      <w:pPr>
        <w:rPr>
          <w:rFonts w:ascii="仿宋_GB2312" w:hAnsi="仿宋_GB2312" w:eastAsia="仿宋_GB2312" w:cs="仿宋_GB2312"/>
          <w:sz w:val="32"/>
          <w:szCs w:val="32"/>
          <w:highlight w:val="yellow"/>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年度收、支总计均为</w:t>
      </w:r>
      <w:r>
        <w:rPr>
          <w:rFonts w:ascii="仿宋_GB2312" w:hAnsi="仿宋_GB2312" w:eastAsia="仿宋_GB2312" w:cs="仿宋_GB2312"/>
          <w:sz w:val="32"/>
          <w:szCs w:val="32"/>
        </w:rPr>
        <w:t>12760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万元。与上年度相比，收、支总计各减少2</w:t>
      </w:r>
      <w:r>
        <w:rPr>
          <w:rFonts w:ascii="仿宋_GB2312" w:hAnsi="仿宋_GB2312" w:eastAsia="仿宋_GB2312" w:cs="仿宋_GB2312"/>
          <w:sz w:val="32"/>
          <w:szCs w:val="32"/>
        </w:rPr>
        <w:t>8906.12</w:t>
      </w:r>
      <w:r>
        <w:rPr>
          <w:rFonts w:hint="eastAsia" w:ascii="仿宋_GB2312" w:hAnsi="仿宋_GB2312" w:eastAsia="仿宋_GB2312" w:cs="仿宋_GB2312"/>
          <w:sz w:val="32"/>
          <w:szCs w:val="32"/>
        </w:rPr>
        <w:t>万元，减少6</w:t>
      </w:r>
      <w:r>
        <w:rPr>
          <w:rFonts w:ascii="仿宋_GB2312" w:hAnsi="仿宋_GB2312" w:eastAsia="仿宋_GB2312" w:cs="仿宋_GB2312"/>
          <w:sz w:val="32"/>
          <w:szCs w:val="32"/>
        </w:rPr>
        <w:t>9.38</w:t>
      </w:r>
      <w:r>
        <w:rPr>
          <w:rFonts w:hint="eastAsia" w:ascii="仿宋_GB2312" w:hAnsi="仿宋_GB2312" w:eastAsia="仿宋_GB2312" w:cs="仿宋_GB2312"/>
          <w:sz w:val="32"/>
          <w:szCs w:val="32"/>
        </w:rPr>
        <w:t>%。主要原因是本年度我单位工程改建项目减少。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9640.09</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9640.09</w:t>
      </w:r>
      <w:r>
        <w:rPr>
          <w:rFonts w:hint="eastAsia" w:ascii="仿宋_GB2312" w:hAnsi="仿宋_GB2312" w:eastAsia="仿宋_GB2312" w:cs="仿宋_GB2312"/>
          <w:sz w:val="32"/>
          <w:szCs w:val="32"/>
        </w:rPr>
        <w:t>万元，占100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%；上级补助收入0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%；事业收入0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%；经营收入0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%；附属单位上缴收入0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%；其他收入0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12760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1884.74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14.77</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10875.26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85.23</w:t>
      </w:r>
      <w:r>
        <w:rPr>
          <w:rFonts w:hint="eastAsia" w:ascii="仿宋_GB2312" w:hAnsi="仿宋_GB2312" w:eastAsia="仿宋_GB2312" w:cs="仿宋_GB2312"/>
          <w:sz w:val="32"/>
          <w:szCs w:val="32"/>
        </w:rPr>
        <w:t>%；上缴上级支出0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%；经营支出0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%；对附属单位补助支出0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年度财政拨款收、支总计均为</w:t>
      </w:r>
      <w:r>
        <w:rPr>
          <w:rFonts w:ascii="仿宋_GB2312" w:hAnsi="仿宋_GB2312" w:eastAsia="仿宋_GB2312" w:cs="仿宋_GB2312"/>
          <w:sz w:val="32"/>
          <w:szCs w:val="32"/>
        </w:rPr>
        <w:t>12760</w:t>
      </w:r>
      <w:r>
        <w:rPr>
          <w:rFonts w:hint="eastAsia" w:ascii="仿宋_GB2312" w:hAnsi="仿宋_GB2312" w:eastAsia="仿宋_GB2312" w:cs="仿宋_GB2312"/>
          <w:sz w:val="32"/>
          <w:szCs w:val="32"/>
        </w:rPr>
        <w:t>万元。与上年度相比，财政拨款收、支总计各减少2</w:t>
      </w:r>
      <w:r>
        <w:rPr>
          <w:rFonts w:ascii="仿宋_GB2312" w:hAnsi="仿宋_GB2312" w:eastAsia="仿宋_GB2312" w:cs="仿宋_GB2312"/>
          <w:sz w:val="32"/>
          <w:szCs w:val="32"/>
        </w:rPr>
        <w:t>8906.12</w:t>
      </w:r>
      <w:r>
        <w:rPr>
          <w:rFonts w:hint="eastAsia" w:ascii="仿宋_GB2312" w:hAnsi="仿宋_GB2312" w:eastAsia="仿宋_GB2312" w:cs="仿宋_GB2312"/>
          <w:sz w:val="32"/>
          <w:szCs w:val="32"/>
        </w:rPr>
        <w:t>万元，减少</w:t>
      </w:r>
      <w:r>
        <w:rPr>
          <w:rFonts w:ascii="仿宋_GB2312" w:hAnsi="仿宋_GB2312" w:eastAsia="仿宋_GB2312" w:cs="仿宋_GB2312"/>
          <w:sz w:val="32"/>
          <w:szCs w:val="32"/>
        </w:rPr>
        <w:t>69.38</w:t>
      </w:r>
      <w:r>
        <w:rPr>
          <w:rFonts w:hint="eastAsia" w:ascii="仿宋_GB2312" w:hAnsi="仿宋_GB2312" w:eastAsia="仿宋_GB2312" w:cs="仿宋_GB2312"/>
          <w:sz w:val="32"/>
          <w:szCs w:val="32"/>
        </w:rPr>
        <w:t>%。主要原因是本年度我单位工程改建项目减少。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12760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万元，占本年支出合计的100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%。与上年度相比，一般公共预算财政拨款支出减少</w:t>
      </w:r>
      <w:r>
        <w:rPr>
          <w:rFonts w:ascii="仿宋_GB2312" w:hAnsi="仿宋_GB2312" w:eastAsia="仿宋_GB2312" w:cs="仿宋_GB2312"/>
          <w:sz w:val="32"/>
          <w:szCs w:val="32"/>
        </w:rPr>
        <w:t>19420.03</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60.35</w:t>
      </w:r>
      <w:r>
        <w:rPr>
          <w:rFonts w:hint="eastAsia" w:ascii="仿宋_GB2312" w:hAnsi="仿宋_GB2312" w:eastAsia="仿宋_GB2312" w:cs="仿宋_GB2312"/>
          <w:sz w:val="32"/>
          <w:szCs w:val="32"/>
        </w:rPr>
        <w:t>%。主要原因是本年度待结算项目较多。</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12760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万元，主要用于以下方面：一般公共服务（类）支出7.8</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万元，占0.0</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%；社会保障和就业类（类）支出</w:t>
      </w:r>
      <w:r>
        <w:rPr>
          <w:rFonts w:ascii="仿宋_GB2312" w:hAnsi="仿宋_GB2312" w:eastAsia="仿宋_GB2312" w:cs="仿宋_GB2312"/>
          <w:sz w:val="32"/>
          <w:szCs w:val="32"/>
        </w:rPr>
        <w:t>413.11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3.24</w:t>
      </w:r>
      <w:r>
        <w:rPr>
          <w:rFonts w:hint="eastAsia" w:ascii="仿宋_GB2312" w:hAnsi="仿宋_GB2312" w:eastAsia="仿宋_GB2312" w:cs="仿宋_GB2312"/>
          <w:sz w:val="32"/>
          <w:szCs w:val="32"/>
        </w:rPr>
        <w:t>%；卫生健康（类）支出</w:t>
      </w:r>
      <w:r>
        <w:rPr>
          <w:rFonts w:ascii="仿宋_GB2312" w:hAnsi="仿宋_GB2312" w:eastAsia="仿宋_GB2312" w:cs="仿宋_GB2312"/>
          <w:sz w:val="32"/>
          <w:szCs w:val="32"/>
        </w:rPr>
        <w:t>38.53</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%；节能环保（类）支出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万元，占0.3</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%；交通运输（类）支出</w:t>
      </w:r>
      <w:r>
        <w:rPr>
          <w:rFonts w:ascii="仿宋_GB2312" w:hAnsi="仿宋_GB2312" w:eastAsia="仿宋_GB2312" w:cs="仿宋_GB2312"/>
          <w:sz w:val="32"/>
          <w:szCs w:val="32"/>
        </w:rPr>
        <w:t>12250.53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96.01</w:t>
      </w:r>
      <w:r>
        <w:rPr>
          <w:rFonts w:hint="eastAsia" w:ascii="仿宋_GB2312" w:hAnsi="仿宋_GB2312" w:eastAsia="仿宋_GB2312" w:cs="仿宋_GB2312"/>
          <w:sz w:val="32"/>
          <w:szCs w:val="32"/>
        </w:rPr>
        <w:t>%。</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年度一般公共预算财政拨款支出年初预算为</w:t>
      </w:r>
      <w:r>
        <w:rPr>
          <w:rFonts w:ascii="仿宋_GB2312" w:hAnsi="仿宋_GB2312" w:eastAsia="仿宋_GB2312" w:cs="仿宋_GB2312"/>
          <w:sz w:val="32"/>
          <w:szCs w:val="32"/>
        </w:rPr>
        <w:t>1729.22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12760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737.90</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w:t>
      </w:r>
      <w:r>
        <w:rPr>
          <w:rFonts w:hint="eastAsia" w:ascii="仿宋_GB2312" w:hAnsi="仿宋_GB2312" w:eastAsia="仿宋_GB2312" w:cs="仿宋_GB2312"/>
          <w:b/>
          <w:bCs/>
          <w:sz w:val="32"/>
          <w:szCs w:val="32"/>
          <w:lang w:val="en-US" w:eastAsia="zh-CN"/>
        </w:rPr>
        <w:t>支出</w:t>
      </w:r>
      <w:r>
        <w:rPr>
          <w:rFonts w:hint="eastAsia" w:ascii="仿宋_GB2312" w:hAnsi="仿宋_GB2312" w:eastAsia="仿宋_GB2312" w:cs="仿宋_GB2312"/>
          <w:b/>
          <w:bCs/>
          <w:sz w:val="32"/>
          <w:szCs w:val="32"/>
        </w:rPr>
        <w:t>（类）群众团体事务（款）工会事务（项）。</w:t>
      </w:r>
      <w:r>
        <w:rPr>
          <w:rFonts w:hint="eastAsia" w:ascii="仿宋_GB2312" w:hAnsi="仿宋_GB2312" w:eastAsia="仿宋_GB2312" w:cs="仿宋_GB2312"/>
          <w:sz w:val="32"/>
          <w:szCs w:val="32"/>
        </w:rPr>
        <w:t>年初预算为7.8</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万元，支出决算为7.8</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万元，完成年初预算的100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养老支出（款）行政单位离退休（项）。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51.11</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51.11</w:t>
      </w:r>
      <w:r>
        <w:rPr>
          <w:rFonts w:hint="eastAsia" w:ascii="仿宋_GB2312" w:hAnsi="仿宋_GB2312" w:eastAsia="仿宋_GB2312" w:cs="仿宋_GB2312"/>
          <w:sz w:val="32"/>
          <w:szCs w:val="32"/>
        </w:rPr>
        <w:t>万元，完成年初预算的100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．社会保障和就业支出（类）行政事业</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养老支出（款）事业单位离退休（项）。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253.37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252.27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99.57</w:t>
      </w:r>
      <w:r>
        <w:rPr>
          <w:rFonts w:hint="eastAsia" w:ascii="仿宋_GB2312" w:hAnsi="仿宋_GB2312" w:eastAsia="仿宋_GB2312" w:cs="仿宋_GB2312"/>
          <w:sz w:val="32"/>
          <w:szCs w:val="32"/>
        </w:rPr>
        <w:t>%。决算数与年初预算数存在差异的主要原因是本年度有在职职工转退休的人员。</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．社会保障和就业支出（类）行政事业</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养老支出（款）机关事业单位基本养老保险缴费支出（项）。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91.30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93.2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万元，完成年初预算的10</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%。决算数与年初预算数存在差异的主要原因是主要原因是本年度有在职职工转退休的人员。</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．社会保障和就业支出（类）抚恤（款）死亡抚恤（项）。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16.54</w:t>
      </w:r>
      <w:r>
        <w:rPr>
          <w:rFonts w:hint="eastAsia" w:ascii="仿宋_GB2312" w:hAnsi="仿宋_GB2312" w:eastAsia="仿宋_GB2312" w:cs="仿宋_GB2312"/>
          <w:sz w:val="32"/>
          <w:szCs w:val="32"/>
        </w:rPr>
        <w:t>万元。决算数与年初预算数存在差异的主要原因是年初未安排该项支出的预算，属于发生后追加预算。</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44.78</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38.53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86.04</w:t>
      </w:r>
      <w:r>
        <w:rPr>
          <w:rFonts w:hint="eastAsia" w:ascii="仿宋_GB2312" w:hAnsi="仿宋_GB2312" w:eastAsia="仿宋_GB2312" w:cs="仿宋_GB2312"/>
          <w:sz w:val="32"/>
          <w:szCs w:val="32"/>
        </w:rPr>
        <w:t>%。决算数与年初预算数存在差异的主要原因是本年度发生医疗费用较少。</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．节能环保支出（类）污染防治（款）大气（项）。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万元。决算数与年初预算数存在差异的主要原因是年初未安排该项支出，属于发生后追加预算。</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交通运输支出（类）公路水路运输（款）行政运行（项）。</w:t>
      </w:r>
      <w:r>
        <w:rPr>
          <w:rFonts w:hint="eastAsia" w:ascii="仿宋_GB2312" w:hAnsi="仿宋_GB2312" w:eastAsia="仿宋_GB2312" w:cs="仿宋_GB2312"/>
          <w:color w:val="000000"/>
          <w:sz w:val="32"/>
          <w:szCs w:val="32"/>
        </w:rPr>
        <w:t>年初预算为</w:t>
      </w:r>
      <w:r>
        <w:rPr>
          <w:rFonts w:ascii="仿宋_GB2312" w:hAnsi="仿宋_GB2312" w:eastAsia="仿宋_GB2312" w:cs="仿宋_GB2312"/>
          <w:color w:val="000000"/>
          <w:sz w:val="32"/>
          <w:szCs w:val="32"/>
        </w:rPr>
        <w:t>13.38</w:t>
      </w:r>
      <w:r>
        <w:rPr>
          <w:rFonts w:hint="eastAsia" w:ascii="仿宋_GB2312" w:hAnsi="仿宋_GB2312" w:eastAsia="仿宋_GB2312" w:cs="仿宋_GB2312"/>
          <w:color w:val="000000"/>
          <w:sz w:val="32"/>
          <w:szCs w:val="32"/>
        </w:rPr>
        <w:t>万元，支出决算为</w:t>
      </w:r>
      <w:r>
        <w:rPr>
          <w:rFonts w:ascii="仿宋_GB2312" w:hAnsi="仿宋_GB2312" w:eastAsia="仿宋_GB2312" w:cs="仿宋_GB2312"/>
          <w:sz w:val="32"/>
          <w:szCs w:val="32"/>
        </w:rPr>
        <w:t>13.38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9</w:t>
      </w:r>
      <w:r>
        <w:rPr>
          <w:rFonts w:hint="eastAsia" w:ascii="仿宋_GB2312" w:hAnsi="仿宋_GB2312" w:eastAsia="仿宋_GB2312" w:cs="仿宋_GB2312"/>
          <w:b/>
          <w:bCs/>
          <w:sz w:val="32"/>
          <w:szCs w:val="32"/>
        </w:rPr>
        <w:t>．交通运输支出（类）公路水路运输（款）公路建设（项）。</w:t>
      </w:r>
      <w:r>
        <w:rPr>
          <w:rFonts w:hint="eastAsia" w:ascii="仿宋_GB2312" w:hAnsi="仿宋_GB2312" w:eastAsia="仿宋_GB2312" w:cs="仿宋_GB2312"/>
          <w:color w:val="000000"/>
          <w:sz w:val="32"/>
          <w:szCs w:val="32"/>
        </w:rPr>
        <w:t>年初预算为</w:t>
      </w:r>
      <w:r>
        <w:rPr>
          <w:rFonts w:ascii="仿宋_GB2312" w:hAnsi="仿宋_GB2312" w:eastAsia="仿宋_GB2312" w:cs="仿宋_GB2312"/>
          <w:color w:val="000000"/>
          <w:sz w:val="32"/>
          <w:szCs w:val="32"/>
        </w:rPr>
        <w:t>0.00</w:t>
      </w:r>
      <w:r>
        <w:rPr>
          <w:rFonts w:hint="eastAsia" w:ascii="仿宋_GB2312" w:hAnsi="仿宋_GB2312" w:eastAsia="仿宋_GB2312" w:cs="仿宋_GB2312"/>
          <w:color w:val="000000"/>
          <w:sz w:val="32"/>
          <w:szCs w:val="32"/>
        </w:rPr>
        <w:t>万元，支出决算为</w:t>
      </w:r>
      <w:r>
        <w:rPr>
          <w:rFonts w:ascii="仿宋_GB2312" w:hAnsi="仿宋_GB2312" w:eastAsia="仿宋_GB2312" w:cs="仿宋_GB2312"/>
          <w:sz w:val="32"/>
          <w:szCs w:val="32"/>
        </w:rPr>
        <w:t>1766.59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决</w:t>
      </w:r>
      <w:r>
        <w:rPr>
          <w:rFonts w:hint="eastAsia" w:ascii="仿宋_GB2312" w:hAnsi="仿宋_GB2312" w:eastAsia="仿宋_GB2312" w:cs="仿宋_GB2312"/>
          <w:sz w:val="32"/>
          <w:szCs w:val="32"/>
        </w:rPr>
        <w:t>算数与年初预算数存在差异的原因</w:t>
      </w:r>
      <w:r>
        <w:rPr>
          <w:rFonts w:hint="eastAsia" w:ascii="仿宋_GB2312" w:hAnsi="仿宋_GB2312" w:eastAsia="仿宋_GB2312" w:cs="仿宋_GB2312"/>
          <w:color w:val="000000"/>
          <w:sz w:val="32"/>
          <w:szCs w:val="32"/>
        </w:rPr>
        <w:t>是我单位工程改建项目绝大部分为省级预算资金，未纳入本年市级财政年初预算</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10</w:t>
      </w:r>
      <w:r>
        <w:rPr>
          <w:rFonts w:hint="eastAsia" w:ascii="仿宋_GB2312" w:hAnsi="仿宋_GB2312" w:eastAsia="仿宋_GB2312" w:cs="仿宋_GB2312"/>
          <w:b/>
          <w:bCs/>
          <w:sz w:val="32"/>
          <w:szCs w:val="32"/>
        </w:rPr>
        <w:t>．交通运输支出（类）公路水路运输（款）公路养护（项）。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7039.35</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决</w:t>
      </w:r>
      <w:r>
        <w:rPr>
          <w:rFonts w:hint="eastAsia" w:ascii="仿宋_GB2312" w:hAnsi="仿宋_GB2312" w:eastAsia="仿宋_GB2312" w:cs="仿宋_GB2312"/>
          <w:sz w:val="32"/>
          <w:szCs w:val="32"/>
        </w:rPr>
        <w:t>算数与年初预算数存在差异的原因</w:t>
      </w:r>
      <w:r>
        <w:rPr>
          <w:rFonts w:hint="eastAsia" w:ascii="仿宋_GB2312" w:hAnsi="仿宋_GB2312" w:eastAsia="仿宋_GB2312" w:cs="仿宋_GB2312"/>
          <w:color w:val="000000"/>
          <w:sz w:val="32"/>
          <w:szCs w:val="32"/>
        </w:rPr>
        <w:t>是我单位工程养护在建项目绝大部分为省级预算资金，未纳入本年市级财政年初预算</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11</w:t>
      </w:r>
      <w:r>
        <w:rPr>
          <w:rFonts w:hint="eastAsia" w:ascii="仿宋_GB2312" w:hAnsi="仿宋_GB2312" w:eastAsia="仿宋_GB2312" w:cs="仿宋_GB2312"/>
          <w:b/>
          <w:bCs/>
          <w:sz w:val="32"/>
          <w:szCs w:val="32"/>
        </w:rPr>
        <w:t>．交通运输支出（类）公路水路运输（款）交通运输信息化建设（项）。</w:t>
      </w:r>
      <w:r>
        <w:rPr>
          <w:rFonts w:hint="eastAsia" w:ascii="仿宋_GB2312" w:hAnsi="仿宋_GB2312" w:eastAsia="仿宋_GB2312" w:cs="仿宋_GB2312"/>
          <w:sz w:val="32"/>
          <w:szCs w:val="32"/>
        </w:rPr>
        <w:t>年初预算为39.00万元，支出决算为</w:t>
      </w:r>
      <w:r>
        <w:rPr>
          <w:rFonts w:ascii="仿宋_GB2312" w:hAnsi="仿宋_GB2312" w:eastAsia="仿宋_GB2312" w:cs="仿宋_GB2312"/>
          <w:sz w:val="32"/>
          <w:szCs w:val="32"/>
        </w:rPr>
        <w:t>39.00</w:t>
      </w:r>
      <w:r>
        <w:rPr>
          <w:rFonts w:hint="eastAsia" w:ascii="仿宋_GB2312" w:hAnsi="仿宋_GB2312" w:eastAsia="仿宋_GB2312" w:cs="仿宋_GB2312"/>
          <w:sz w:val="32"/>
          <w:szCs w:val="32"/>
        </w:rPr>
        <w:t>万元，完成年初预算的100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12</w:t>
      </w:r>
      <w:r>
        <w:rPr>
          <w:rFonts w:hint="eastAsia" w:ascii="仿宋_GB2312" w:hAnsi="仿宋_GB2312" w:eastAsia="仿宋_GB2312" w:cs="仿宋_GB2312"/>
          <w:b/>
          <w:bCs/>
          <w:sz w:val="32"/>
          <w:szCs w:val="32"/>
        </w:rPr>
        <w:t>．交通运输支出（类）公路水路运输（款）取消政府还贷二级公路收费专项支出（项）。</w:t>
      </w:r>
      <w:r>
        <w:rPr>
          <w:rFonts w:hint="eastAsia" w:ascii="仿宋_GB2312" w:hAnsi="仿宋_GB2312" w:eastAsia="仿宋_GB2312" w:cs="仿宋_GB2312"/>
          <w:color w:val="000000"/>
          <w:sz w:val="32"/>
          <w:szCs w:val="32"/>
        </w:rPr>
        <w:t>年初预算为</w:t>
      </w:r>
      <w:r>
        <w:rPr>
          <w:rFonts w:ascii="仿宋_GB2312" w:hAnsi="仿宋_GB2312" w:eastAsia="仿宋_GB2312" w:cs="仿宋_GB2312"/>
          <w:color w:val="000000"/>
          <w:sz w:val="32"/>
          <w:szCs w:val="32"/>
        </w:rPr>
        <w:t>546.93</w:t>
      </w:r>
      <w:r>
        <w:rPr>
          <w:rFonts w:hint="eastAsia" w:ascii="仿宋_GB2312" w:hAnsi="仿宋_GB2312" w:eastAsia="仿宋_GB2312" w:cs="仿宋_GB2312"/>
          <w:color w:val="000000"/>
          <w:sz w:val="32"/>
          <w:szCs w:val="32"/>
        </w:rPr>
        <w:t>万元，支出决算为</w:t>
      </w:r>
      <w:r>
        <w:rPr>
          <w:rFonts w:ascii="仿宋_GB2312" w:hAnsi="仿宋_GB2312" w:eastAsia="仿宋_GB2312" w:cs="仿宋_GB2312"/>
          <w:color w:val="000000"/>
          <w:sz w:val="32"/>
          <w:szCs w:val="32"/>
        </w:rPr>
        <w:t>1632.42</w:t>
      </w:r>
      <w:r>
        <w:rPr>
          <w:rFonts w:hint="eastAsia" w:ascii="仿宋_GB2312" w:hAnsi="仿宋_GB2312" w:eastAsia="仿宋_GB2312" w:cs="仿宋_GB2312"/>
          <w:color w:val="000000"/>
          <w:sz w:val="32"/>
          <w:szCs w:val="32"/>
        </w:rPr>
        <w:t>万元，完成年初预算的</w:t>
      </w:r>
      <w:r>
        <w:rPr>
          <w:rFonts w:ascii="仿宋_GB2312" w:hAnsi="仿宋_GB2312" w:eastAsia="仿宋_GB2312" w:cs="仿宋_GB2312"/>
          <w:color w:val="000000"/>
          <w:sz w:val="32"/>
          <w:szCs w:val="32"/>
        </w:rPr>
        <w:t>298.47</w:t>
      </w:r>
      <w:r>
        <w:rPr>
          <w:rFonts w:hint="eastAsia" w:ascii="仿宋_GB2312" w:hAnsi="仿宋_GB2312" w:eastAsia="仿宋_GB2312" w:cs="仿宋_GB2312"/>
          <w:color w:val="000000"/>
          <w:sz w:val="32"/>
          <w:szCs w:val="32"/>
        </w:rPr>
        <w:t>%。决</w:t>
      </w:r>
      <w:r>
        <w:rPr>
          <w:rFonts w:hint="eastAsia" w:ascii="仿宋_GB2312" w:hAnsi="仿宋_GB2312" w:eastAsia="仿宋_GB2312" w:cs="仿宋_GB2312"/>
          <w:sz w:val="32"/>
          <w:szCs w:val="32"/>
        </w:rPr>
        <w:t>算数与年初预算数存在差异的原因</w:t>
      </w:r>
      <w:r>
        <w:rPr>
          <w:rFonts w:hint="eastAsia" w:ascii="仿宋_GB2312" w:hAnsi="仿宋_GB2312" w:eastAsia="仿宋_GB2312" w:cs="仿宋_GB2312"/>
          <w:color w:val="000000"/>
          <w:sz w:val="32"/>
          <w:szCs w:val="32"/>
        </w:rPr>
        <w:t>是我单位工程项目绝大部分为省级预算资金，未纳入本年市级财政年初预算</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.交通运输支出（类）公路水路运输（款）其他公路水路运输支出（项）</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年初预算为</w:t>
      </w:r>
      <w:r>
        <w:rPr>
          <w:rFonts w:ascii="仿宋_GB2312" w:hAnsi="仿宋_GB2312" w:eastAsia="仿宋_GB2312" w:cs="仿宋_GB2312"/>
          <w:color w:val="000000"/>
          <w:sz w:val="32"/>
          <w:szCs w:val="32"/>
        </w:rPr>
        <w:t>0.00</w:t>
      </w:r>
      <w:r>
        <w:rPr>
          <w:rFonts w:hint="eastAsia" w:ascii="仿宋_GB2312" w:hAnsi="仿宋_GB2312" w:eastAsia="仿宋_GB2312" w:cs="仿宋_GB2312"/>
          <w:color w:val="000000"/>
          <w:sz w:val="32"/>
          <w:szCs w:val="32"/>
        </w:rPr>
        <w:t>万元，支</w:t>
      </w:r>
      <w:r>
        <w:rPr>
          <w:rFonts w:hint="eastAsia" w:ascii="仿宋_GB2312" w:hAnsi="仿宋_GB2312" w:eastAsia="仿宋_GB2312" w:cs="仿宋_GB2312"/>
          <w:sz w:val="32"/>
          <w:szCs w:val="32"/>
        </w:rPr>
        <w:t>出决算为</w:t>
      </w:r>
      <w:r>
        <w:rPr>
          <w:rFonts w:ascii="仿宋_GB2312" w:hAnsi="仿宋_GB2312" w:eastAsia="仿宋_GB2312" w:cs="仿宋_GB2312"/>
          <w:sz w:val="32"/>
          <w:szCs w:val="32"/>
        </w:rPr>
        <w:t>1078.26</w:t>
      </w:r>
      <w:r>
        <w:rPr>
          <w:rFonts w:hint="eastAsia" w:ascii="仿宋_GB2312" w:hAnsi="仿宋_GB2312" w:eastAsia="仿宋_GB2312" w:cs="仿宋_GB2312"/>
          <w:sz w:val="32"/>
          <w:szCs w:val="32"/>
        </w:rPr>
        <w:t>万元。决算数与年初预算数存在差异的原因</w:t>
      </w:r>
      <w:r>
        <w:rPr>
          <w:rFonts w:hint="eastAsia" w:ascii="仿宋_GB2312" w:hAnsi="仿宋_GB2312" w:eastAsia="仿宋_GB2312" w:cs="仿宋_GB2312"/>
          <w:color w:val="000000"/>
          <w:sz w:val="32"/>
          <w:szCs w:val="32"/>
        </w:rPr>
        <w:t>是我单位工程项目资金大部分为省级预算资金，未纳入本年市级财政年初预算。</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.交通运输支出（类）车辆购置税支出（款）车辆购置税用于公路等基础设施建设支出（项）</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年初预算为</w:t>
      </w:r>
      <w:r>
        <w:rPr>
          <w:rFonts w:ascii="仿宋_GB2312" w:hAnsi="仿宋_GB2312" w:eastAsia="仿宋_GB2312" w:cs="仿宋_GB2312"/>
          <w:color w:val="000000"/>
          <w:sz w:val="32"/>
          <w:szCs w:val="32"/>
        </w:rPr>
        <w:t>626.57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626.57</w:t>
      </w:r>
      <w:r>
        <w:rPr>
          <w:rFonts w:hint="eastAsia" w:ascii="仿宋_GB2312" w:hAnsi="仿宋_GB2312" w:eastAsia="仿宋_GB2312" w:cs="仿宋_GB2312"/>
          <w:sz w:val="32"/>
          <w:szCs w:val="32"/>
        </w:rPr>
        <w:t>万元，完成年初预算的100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.交通运输支出（类）其他交通运输支出（款）其他交通运输支出（项）</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年初预算为</w:t>
      </w:r>
      <w:r>
        <w:rPr>
          <w:rFonts w:ascii="仿宋_GB2312" w:hAnsi="仿宋_GB2312" w:eastAsia="仿宋_GB2312" w:cs="仿宋_GB2312"/>
          <w:color w:val="000000"/>
          <w:sz w:val="32"/>
          <w:szCs w:val="32"/>
        </w:rPr>
        <w:t>54.95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54.95</w:t>
      </w:r>
      <w:r>
        <w:rPr>
          <w:rFonts w:hint="eastAsia" w:ascii="仿宋_GB2312" w:hAnsi="仿宋_GB2312" w:eastAsia="仿宋_GB2312" w:cs="仿宋_GB2312"/>
          <w:sz w:val="32"/>
          <w:szCs w:val="32"/>
        </w:rPr>
        <w:t>万元，完成年初预算的100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%。决算数与年初预算数不存在差异。</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年度一般公共预算财政拨款基本支出</w:t>
      </w:r>
      <w:r>
        <w:rPr>
          <w:rFonts w:ascii="仿宋_GB2312" w:hAnsi="仿宋_GB2312" w:eastAsia="仿宋_GB2312" w:cs="仿宋_GB2312"/>
          <w:sz w:val="32"/>
          <w:szCs w:val="32"/>
        </w:rPr>
        <w:t>1884.74</w:t>
      </w:r>
      <w:r>
        <w:rPr>
          <w:rFonts w:hint="eastAsia" w:ascii="仿宋_GB2312" w:hAnsi="仿宋_GB2312" w:eastAsia="仿宋_GB2312" w:cs="仿宋_GB2312"/>
          <w:sz w:val="32"/>
          <w:szCs w:val="32"/>
        </w:rPr>
        <w:t>万元。其中：人员经费</w:t>
      </w:r>
      <w:r>
        <w:rPr>
          <w:rFonts w:ascii="仿宋_GB2312" w:hAnsi="仿宋_GB2312" w:eastAsia="仿宋_GB2312" w:cs="仿宋_GB2312"/>
          <w:sz w:val="32"/>
          <w:szCs w:val="32"/>
        </w:rPr>
        <w:t>1717.65</w:t>
      </w:r>
      <w:r>
        <w:rPr>
          <w:rFonts w:hint="eastAsia" w:ascii="仿宋_GB2312" w:hAnsi="仿宋_GB2312" w:eastAsia="仿宋_GB2312" w:cs="仿宋_GB2312"/>
          <w:sz w:val="32"/>
          <w:szCs w:val="32"/>
        </w:rPr>
        <w:t>万元，主要包括：基本工资、津贴补贴、奖金、绩效工资、机关事业单位基本养老保险缴费、职业年金缴费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职工基本医疗保险缴费、其他社会保障缴费、住房公积金、其他工资福利支出、退休费、抚恤金、生活补助、其他对个人和家庭的补助支出；公用经费</w:t>
      </w:r>
      <w:r>
        <w:rPr>
          <w:rFonts w:ascii="仿宋_GB2312" w:hAnsi="仿宋_GB2312" w:eastAsia="仿宋_GB2312" w:cs="仿宋_GB2312"/>
          <w:sz w:val="32"/>
          <w:szCs w:val="32"/>
        </w:rPr>
        <w:t>167.09</w:t>
      </w:r>
      <w:r>
        <w:rPr>
          <w:rFonts w:hint="eastAsia" w:ascii="仿宋_GB2312" w:hAnsi="仿宋_GB2312" w:eastAsia="仿宋_GB2312" w:cs="仿宋_GB2312"/>
          <w:sz w:val="32"/>
          <w:szCs w:val="32"/>
        </w:rPr>
        <w:t>万元，主要包括：办公费、印刷费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手续费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水费、电费、邮电费、取暖费、物业管理费、差旅费、维修（护）费、租赁费、会议费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培训费、公务接待费、劳务费、工会经费、福利费、公务用车运行维护费、其他商品和服务支出、办公设备购置。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年度“三公”经费财政拨款支出预算为11.80万元，支出决算为</w:t>
      </w:r>
      <w:r>
        <w:rPr>
          <w:rFonts w:ascii="仿宋_GB2312" w:hAnsi="仿宋_GB2312" w:eastAsia="仿宋_GB2312" w:cs="仿宋_GB2312"/>
          <w:sz w:val="32"/>
          <w:szCs w:val="32"/>
        </w:rPr>
        <w:t>9.72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82.37</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年度“三公”经费支出决算数与预算数存在差异的主要原因是厉行节约，严格控制三公经费的支出。</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年度“三公”经费财政拨款支出决算中，因公出国（境）费支出决算0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万元；公务用车购置及运行费支出决算</w:t>
      </w:r>
      <w:r>
        <w:rPr>
          <w:rFonts w:ascii="仿宋_GB2312" w:hAnsi="仿宋_GB2312" w:eastAsia="仿宋_GB2312" w:cs="仿宋_GB2312"/>
          <w:sz w:val="32"/>
          <w:szCs w:val="32"/>
        </w:rPr>
        <w:t>9.62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96.20</w:t>
      </w:r>
      <w:r>
        <w:rPr>
          <w:rFonts w:hint="eastAsia" w:ascii="仿宋_GB2312" w:hAnsi="仿宋_GB2312" w:eastAsia="仿宋_GB2312" w:cs="仿宋_GB2312"/>
          <w:sz w:val="32"/>
          <w:szCs w:val="32"/>
        </w:rPr>
        <w:t>%，占9</w:t>
      </w:r>
      <w:r>
        <w:rPr>
          <w:rFonts w:ascii="仿宋_GB2312" w:hAnsi="仿宋_GB2312" w:eastAsia="仿宋_GB2312" w:cs="仿宋_GB2312"/>
          <w:sz w:val="32"/>
          <w:szCs w:val="32"/>
        </w:rPr>
        <w:t>8.97</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0.10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5.56</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1.03</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万元。决算数与预算数不存在差异。全年因公出国（境）团组0个，累计0人次。</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预算为10.00万元，支出决算为</w:t>
      </w:r>
      <w:r>
        <w:rPr>
          <w:rFonts w:ascii="仿宋_GB2312" w:hAnsi="仿宋_GB2312" w:eastAsia="仿宋_GB2312" w:cs="仿宋_GB2312"/>
          <w:sz w:val="32"/>
          <w:szCs w:val="32"/>
        </w:rPr>
        <w:t>9.62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决算数与预算数存在差异的主要原因是厉行节约，严格控制公务用车运行费</w:t>
      </w:r>
      <w:r>
        <w:rPr>
          <w:rFonts w:hint="eastAsia" w:ascii="仿宋_GB2312" w:hAnsi="仿宋_GB2312" w:eastAsia="仿宋_GB2312" w:cs="仿宋_GB2312"/>
          <w:color w:val="000000"/>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万元，购置车辆0辆。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ascii="仿宋_GB2312" w:hAnsi="仿宋_GB2312" w:eastAsia="仿宋_GB2312" w:cs="仿宋_GB2312"/>
          <w:sz w:val="32"/>
          <w:szCs w:val="32"/>
        </w:rPr>
        <w:t>9.62</w:t>
      </w:r>
      <w:r>
        <w:rPr>
          <w:rFonts w:hint="eastAsia" w:ascii="仿宋_GB2312" w:hAnsi="仿宋_GB2312" w:eastAsia="仿宋_GB2312" w:cs="仿宋_GB2312"/>
          <w:sz w:val="32"/>
          <w:szCs w:val="32"/>
        </w:rPr>
        <w:t>万元。主要用于工程、养护、公路安全及路政巡查等。202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年期末，</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开支财政拨款的公务用车保有量为10辆。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预算为1.80万元，支出决算为</w:t>
      </w:r>
      <w:r>
        <w:rPr>
          <w:rFonts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5.56</w:t>
      </w:r>
      <w:r>
        <w:rPr>
          <w:rFonts w:hint="eastAsia" w:ascii="仿宋_GB2312" w:hAnsi="仿宋_GB2312" w:eastAsia="仿宋_GB2312" w:cs="仿宋_GB2312"/>
          <w:sz w:val="32"/>
          <w:szCs w:val="32"/>
        </w:rPr>
        <w:t>%。决算数与预算数存在差异的主要原因是我单位严格按照公务接待管理办法执行，控制公务接待费的支出。其中：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万元。主要用于上级检查公务接待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年共接待国内来访团组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个、来宾</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年度政府性基金预算财政拨款支出年初预算为0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万元。不存在项目年末结转和结余资金数额较大。情况说明：我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keepNext w:val="0"/>
        <w:keepLines w:val="0"/>
        <w:widowControl w:val="0"/>
        <w:suppressLineNumbers w:val="0"/>
        <w:spacing w:before="0" w:beforeAutospacing="0" w:after="0" w:afterAutospacing="0"/>
        <w:ind w:left="0" w:right="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年度政府采购支出总额</w:t>
      </w:r>
      <w:r>
        <w:rPr>
          <w:rFonts w:ascii="仿宋_GB2312" w:hAnsi="仿宋_GB2312" w:eastAsia="仿宋_GB2312" w:cs="仿宋_GB2312"/>
          <w:sz w:val="32"/>
          <w:szCs w:val="32"/>
        </w:rPr>
        <w:t>232.00</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62.00</w:t>
      </w:r>
      <w:r>
        <w:rPr>
          <w:rFonts w:hint="eastAsia" w:ascii="仿宋_GB2312" w:hAnsi="仿宋_GB2312" w:eastAsia="仿宋_GB2312" w:cs="仿宋_GB2312"/>
          <w:sz w:val="32"/>
          <w:szCs w:val="32"/>
        </w:rPr>
        <w:t>万元、政府采购工程支出0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170.00</w:t>
      </w:r>
      <w:r>
        <w:rPr>
          <w:rFonts w:hint="eastAsia" w:ascii="仿宋_GB2312" w:hAnsi="仿宋_GB2312" w:eastAsia="仿宋_GB2312" w:cs="仿宋_GB2312"/>
          <w:sz w:val="32"/>
          <w:szCs w:val="32"/>
        </w:rPr>
        <w:t>万元。授予中小企业合同金额0.00万元，</w:t>
      </w:r>
      <w:r>
        <w:rPr>
          <w:rFonts w:hint="eastAsia" w:ascii="仿宋_GB2312" w:hAnsi="Times New Roman" w:eastAsia="仿宋_GB2312" w:cs="仿宋_GB2312"/>
          <w:kern w:val="2"/>
          <w:sz w:val="32"/>
          <w:szCs w:val="32"/>
          <w:lang w:val="en-US" w:eastAsia="zh-CN" w:bidi="ar"/>
        </w:rPr>
        <w:t>占政府采购支出总额的0.00%，</w:t>
      </w:r>
      <w:r>
        <w:rPr>
          <w:rFonts w:hint="eastAsia" w:ascii="仿宋_GB2312" w:hAnsi="仿宋_GB2312" w:eastAsia="仿宋_GB2312" w:cs="仿宋_GB2312"/>
          <w:sz w:val="32"/>
          <w:szCs w:val="32"/>
        </w:rPr>
        <w:t>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辆，其中：省级领导干部用车0辆、主要领导干部用车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辆、机要通信用车0辆、应急保障车0辆、执法执勤用车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辆、特种专业技术用车0辆、离退休干部用车0辆、其他用车</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年度我单位纳入预算绩效管理的支出总额为</w:t>
      </w:r>
      <w:r>
        <w:rPr>
          <w:rFonts w:ascii="仿宋_GB2312" w:hAnsi="仿宋_GB2312" w:eastAsia="仿宋_GB2312" w:cs="仿宋_GB2312"/>
          <w:sz w:val="32"/>
          <w:szCs w:val="32"/>
        </w:rPr>
        <w:t>12760.00</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1884.74</w:t>
      </w:r>
      <w:r>
        <w:rPr>
          <w:rFonts w:hint="eastAsia" w:ascii="仿宋_GB2312" w:hAnsi="仿宋_GB2312" w:eastAsia="仿宋_GB2312" w:cs="仿宋_GB2312"/>
          <w:sz w:val="32"/>
          <w:szCs w:val="32"/>
        </w:rPr>
        <w:t>万元；支出项目8个，支出金额</w:t>
      </w:r>
      <w:r>
        <w:rPr>
          <w:rFonts w:ascii="仿宋_GB2312" w:hAnsi="仿宋_GB2312" w:eastAsia="仿宋_GB2312" w:cs="仿宋_GB2312"/>
          <w:sz w:val="32"/>
          <w:szCs w:val="32"/>
        </w:rPr>
        <w:t>10875.26</w:t>
      </w:r>
      <w:r>
        <w:rPr>
          <w:rFonts w:hint="eastAsia" w:ascii="仿宋_GB2312" w:hAnsi="仿宋_GB2312" w:eastAsia="仿宋_GB2312" w:cs="仿宋_GB2312"/>
          <w:sz w:val="32"/>
          <w:szCs w:val="32"/>
        </w:rPr>
        <w:t>万元。开展项目绩效自评项目</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个，自评金额</w:t>
      </w:r>
      <w:r>
        <w:rPr>
          <w:rFonts w:ascii="仿宋_GB2312" w:hAnsi="仿宋_GB2312" w:eastAsia="仿宋_GB2312" w:cs="仿宋_GB2312"/>
          <w:sz w:val="32"/>
          <w:szCs w:val="32"/>
        </w:rPr>
        <w:t>1365.76</w:t>
      </w:r>
      <w:r>
        <w:rPr>
          <w:rFonts w:hint="eastAsia" w:ascii="仿宋_GB2312" w:hAnsi="仿宋_GB2312" w:eastAsia="仿宋_GB2312" w:cs="仿宋_GB2312"/>
          <w:sz w:val="32"/>
          <w:szCs w:val="32"/>
        </w:rPr>
        <w:t>万元；纳入重点绩效评价0个，评价金额0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绩效管理工作的开展情况，主要表现在以下几个方面：一、加强制度建设。在实施意见的指导下，修订了《许昌市公路事业发展中心财务管理制度》明确了工作任务、细化了工作措施，确定了时间节点，为公路系统全面实施预算绩效管理奠定了基础；二、开展了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整体支出绩效自评和项目支出绩效自评，对存在问题的项目进行分析原因，研究提出改进措施，提高</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绩效水平。</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整体绩效目标完成较好，履职效能、管理效率、运行成本、服务满意、可持续性各项指标完成度较高。二是项目绩效自评情况。我单位共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个项目批复了绩效目标，项目金额</w:t>
      </w:r>
      <w:r>
        <w:rPr>
          <w:rFonts w:ascii="仿宋_GB2312" w:hAnsi="仿宋_GB2312" w:eastAsia="仿宋_GB2312" w:cs="仿宋_GB2312"/>
          <w:sz w:val="32"/>
          <w:szCs w:val="32"/>
        </w:rPr>
        <w:t>1365.76</w:t>
      </w:r>
      <w:r>
        <w:rPr>
          <w:rFonts w:hint="eastAsia" w:ascii="仿宋_GB2312" w:hAnsi="仿宋_GB2312" w:eastAsia="仿宋_GB2312" w:cs="仿宋_GB2312"/>
          <w:sz w:val="32"/>
          <w:szCs w:val="32"/>
        </w:rPr>
        <w:t>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分。其中：5个项目评价等级为“优”、0个项目评价等级为“良”、0个项目评价等级为“中”、0个项目评价等级为“差”。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年度我单位没有开展重点绩效评价的项目。</w:t>
      </w:r>
    </w:p>
    <w:p>
      <w:pPr>
        <w:widowControl/>
        <w:jc w:val="left"/>
        <w:rPr>
          <w:rFonts w:ascii="仿宋_GB2312" w:hAnsi="仿宋_GB2312" w:eastAsia="仿宋_GB2312" w:cs="仿宋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PPqeIuqAQAAQgMAAA4A&#10;AAAAAAAAAQAgAAAAHgEAAGRycy9lMm9Eb2MueG1sUEsFBgAAAAAGAAYAWQEAAD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DwbtqLqAEAAEIDAAAOAAAA&#10;AAAAAAEAIAAAAB4BAABkcnMvZTJvRG9jLnhtbFBLBQYAAAAABgAGAFkBAAA4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MVTCXeqAQAAQgMAAA4A&#10;AAAAAAAAAQAgAAAAHgEAAGRycy9lMm9Eb2MueG1sUEsFBgAAAAAGAAYAWQEAAD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7274170D"/>
    <w:multiLevelType w:val="multilevel"/>
    <w:tmpl w:val="7274170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zdjMGUyYTcxMGY3MTQ4YmZlOWUzYjdiMDM5YzMifQ=="/>
  </w:docVars>
  <w:rsids>
    <w:rsidRoot w:val="00172A27"/>
    <w:rsid w:val="00001561"/>
    <w:rsid w:val="0001109C"/>
    <w:rsid w:val="0001121A"/>
    <w:rsid w:val="00047459"/>
    <w:rsid w:val="00057475"/>
    <w:rsid w:val="00060754"/>
    <w:rsid w:val="00060E94"/>
    <w:rsid w:val="00071EE2"/>
    <w:rsid w:val="00072179"/>
    <w:rsid w:val="0008677E"/>
    <w:rsid w:val="000A5DC3"/>
    <w:rsid w:val="000B1585"/>
    <w:rsid w:val="000E4E06"/>
    <w:rsid w:val="00115618"/>
    <w:rsid w:val="001215AA"/>
    <w:rsid w:val="00130ED0"/>
    <w:rsid w:val="001354F3"/>
    <w:rsid w:val="00172A27"/>
    <w:rsid w:val="00174C28"/>
    <w:rsid w:val="001A3F20"/>
    <w:rsid w:val="001F40BF"/>
    <w:rsid w:val="00207353"/>
    <w:rsid w:val="00260772"/>
    <w:rsid w:val="002865EA"/>
    <w:rsid w:val="00295BF0"/>
    <w:rsid w:val="002A3432"/>
    <w:rsid w:val="002A4CAD"/>
    <w:rsid w:val="002C63F1"/>
    <w:rsid w:val="002D1A7D"/>
    <w:rsid w:val="002D7272"/>
    <w:rsid w:val="00301325"/>
    <w:rsid w:val="00307A72"/>
    <w:rsid w:val="003901AF"/>
    <w:rsid w:val="00397CBC"/>
    <w:rsid w:val="003A6F33"/>
    <w:rsid w:val="003D13F3"/>
    <w:rsid w:val="003E1877"/>
    <w:rsid w:val="0040162D"/>
    <w:rsid w:val="00414391"/>
    <w:rsid w:val="00421EE7"/>
    <w:rsid w:val="00445AFE"/>
    <w:rsid w:val="0045155C"/>
    <w:rsid w:val="00451CA5"/>
    <w:rsid w:val="00453F51"/>
    <w:rsid w:val="004D6F53"/>
    <w:rsid w:val="0050240A"/>
    <w:rsid w:val="0050342B"/>
    <w:rsid w:val="005119C2"/>
    <w:rsid w:val="0051526F"/>
    <w:rsid w:val="0052077C"/>
    <w:rsid w:val="00544475"/>
    <w:rsid w:val="00546496"/>
    <w:rsid w:val="00572718"/>
    <w:rsid w:val="00592E50"/>
    <w:rsid w:val="00595DD7"/>
    <w:rsid w:val="005B13C8"/>
    <w:rsid w:val="005C35F2"/>
    <w:rsid w:val="005D2C82"/>
    <w:rsid w:val="006150D9"/>
    <w:rsid w:val="00615D28"/>
    <w:rsid w:val="00644C91"/>
    <w:rsid w:val="00652BB2"/>
    <w:rsid w:val="00654F94"/>
    <w:rsid w:val="006868B8"/>
    <w:rsid w:val="0069344F"/>
    <w:rsid w:val="006B4F19"/>
    <w:rsid w:val="006E42B8"/>
    <w:rsid w:val="006F351D"/>
    <w:rsid w:val="006F4382"/>
    <w:rsid w:val="006F6A79"/>
    <w:rsid w:val="007032BB"/>
    <w:rsid w:val="00751FC8"/>
    <w:rsid w:val="007B0B1D"/>
    <w:rsid w:val="007B3C35"/>
    <w:rsid w:val="007C558B"/>
    <w:rsid w:val="007D38E8"/>
    <w:rsid w:val="007E5B03"/>
    <w:rsid w:val="00871FEB"/>
    <w:rsid w:val="00877B7E"/>
    <w:rsid w:val="00881000"/>
    <w:rsid w:val="008952F0"/>
    <w:rsid w:val="008A2FDF"/>
    <w:rsid w:val="008A5A1A"/>
    <w:rsid w:val="008B1893"/>
    <w:rsid w:val="008B2C76"/>
    <w:rsid w:val="008C446F"/>
    <w:rsid w:val="008C6AF9"/>
    <w:rsid w:val="008D6395"/>
    <w:rsid w:val="008E029C"/>
    <w:rsid w:val="009014B9"/>
    <w:rsid w:val="009026C4"/>
    <w:rsid w:val="00912EE5"/>
    <w:rsid w:val="009356C0"/>
    <w:rsid w:val="009377A6"/>
    <w:rsid w:val="00954043"/>
    <w:rsid w:val="009648F1"/>
    <w:rsid w:val="0096597A"/>
    <w:rsid w:val="00975CD6"/>
    <w:rsid w:val="0098150E"/>
    <w:rsid w:val="009835F4"/>
    <w:rsid w:val="00985CE8"/>
    <w:rsid w:val="009B385A"/>
    <w:rsid w:val="009C2FFA"/>
    <w:rsid w:val="009F14F9"/>
    <w:rsid w:val="009F50F0"/>
    <w:rsid w:val="00A05498"/>
    <w:rsid w:val="00A34A90"/>
    <w:rsid w:val="00A530BA"/>
    <w:rsid w:val="00A53679"/>
    <w:rsid w:val="00A57EFC"/>
    <w:rsid w:val="00A61852"/>
    <w:rsid w:val="00A66E2B"/>
    <w:rsid w:val="00A741F7"/>
    <w:rsid w:val="00A92327"/>
    <w:rsid w:val="00AA58F6"/>
    <w:rsid w:val="00AA772E"/>
    <w:rsid w:val="00AB5965"/>
    <w:rsid w:val="00AC0513"/>
    <w:rsid w:val="00AD0C77"/>
    <w:rsid w:val="00AD532A"/>
    <w:rsid w:val="00AF4610"/>
    <w:rsid w:val="00B2078C"/>
    <w:rsid w:val="00B221CC"/>
    <w:rsid w:val="00B31850"/>
    <w:rsid w:val="00B34306"/>
    <w:rsid w:val="00B34DE4"/>
    <w:rsid w:val="00B353E2"/>
    <w:rsid w:val="00B505AD"/>
    <w:rsid w:val="00B94FA6"/>
    <w:rsid w:val="00BB5058"/>
    <w:rsid w:val="00BB5E67"/>
    <w:rsid w:val="00BC32EA"/>
    <w:rsid w:val="00BC44ED"/>
    <w:rsid w:val="00BC7B08"/>
    <w:rsid w:val="00BF0A1A"/>
    <w:rsid w:val="00C00B52"/>
    <w:rsid w:val="00C141FB"/>
    <w:rsid w:val="00C243D3"/>
    <w:rsid w:val="00C265A1"/>
    <w:rsid w:val="00C56D0D"/>
    <w:rsid w:val="00C639E3"/>
    <w:rsid w:val="00CB382E"/>
    <w:rsid w:val="00CC5FBE"/>
    <w:rsid w:val="00CC6D59"/>
    <w:rsid w:val="00CD53B7"/>
    <w:rsid w:val="00CE169C"/>
    <w:rsid w:val="00CE64E0"/>
    <w:rsid w:val="00CF0D91"/>
    <w:rsid w:val="00CF5A6B"/>
    <w:rsid w:val="00D0773A"/>
    <w:rsid w:val="00D20AE8"/>
    <w:rsid w:val="00D3260F"/>
    <w:rsid w:val="00D40AD9"/>
    <w:rsid w:val="00D43242"/>
    <w:rsid w:val="00D4743F"/>
    <w:rsid w:val="00D47634"/>
    <w:rsid w:val="00D47FA1"/>
    <w:rsid w:val="00D66EF0"/>
    <w:rsid w:val="00D77EBE"/>
    <w:rsid w:val="00D927A3"/>
    <w:rsid w:val="00D9771F"/>
    <w:rsid w:val="00DB7963"/>
    <w:rsid w:val="00DD6DF0"/>
    <w:rsid w:val="00DE7F49"/>
    <w:rsid w:val="00DF4C5B"/>
    <w:rsid w:val="00E23F95"/>
    <w:rsid w:val="00E509E8"/>
    <w:rsid w:val="00E55CF1"/>
    <w:rsid w:val="00E77139"/>
    <w:rsid w:val="00EB04A3"/>
    <w:rsid w:val="00EC37CC"/>
    <w:rsid w:val="00ED6E1E"/>
    <w:rsid w:val="00F04B89"/>
    <w:rsid w:val="00F12618"/>
    <w:rsid w:val="00F22484"/>
    <w:rsid w:val="00F32C55"/>
    <w:rsid w:val="00F666A0"/>
    <w:rsid w:val="00F94F0A"/>
    <w:rsid w:val="00FB3046"/>
    <w:rsid w:val="00FC36F3"/>
    <w:rsid w:val="00FD1545"/>
    <w:rsid w:val="00FD2DA2"/>
    <w:rsid w:val="036A2E36"/>
    <w:rsid w:val="03B9432C"/>
    <w:rsid w:val="094B0B67"/>
    <w:rsid w:val="0C8F30DE"/>
    <w:rsid w:val="0CD35958"/>
    <w:rsid w:val="0DC30B09"/>
    <w:rsid w:val="0DCF6946"/>
    <w:rsid w:val="0FA80C7B"/>
    <w:rsid w:val="12106D82"/>
    <w:rsid w:val="12B9795D"/>
    <w:rsid w:val="15496716"/>
    <w:rsid w:val="164173BA"/>
    <w:rsid w:val="1E867615"/>
    <w:rsid w:val="1FBD37BE"/>
    <w:rsid w:val="216D7694"/>
    <w:rsid w:val="2361370F"/>
    <w:rsid w:val="25137275"/>
    <w:rsid w:val="25272D0B"/>
    <w:rsid w:val="25406AEA"/>
    <w:rsid w:val="259F2613"/>
    <w:rsid w:val="2A9E3820"/>
    <w:rsid w:val="2B755E2C"/>
    <w:rsid w:val="2E11147B"/>
    <w:rsid w:val="2F687771"/>
    <w:rsid w:val="338E063B"/>
    <w:rsid w:val="3726634A"/>
    <w:rsid w:val="38B60778"/>
    <w:rsid w:val="38D6275D"/>
    <w:rsid w:val="3C763C9D"/>
    <w:rsid w:val="3EA860C5"/>
    <w:rsid w:val="3EE32ACD"/>
    <w:rsid w:val="3F93660B"/>
    <w:rsid w:val="4039792E"/>
    <w:rsid w:val="445C7127"/>
    <w:rsid w:val="4AE44D17"/>
    <w:rsid w:val="4DBA5440"/>
    <w:rsid w:val="50EE7858"/>
    <w:rsid w:val="51214FEA"/>
    <w:rsid w:val="575D0240"/>
    <w:rsid w:val="580651D8"/>
    <w:rsid w:val="5AC3474A"/>
    <w:rsid w:val="5AFA69FF"/>
    <w:rsid w:val="5C080C49"/>
    <w:rsid w:val="5D193D42"/>
    <w:rsid w:val="5D737097"/>
    <w:rsid w:val="68993194"/>
    <w:rsid w:val="6A422D23"/>
    <w:rsid w:val="6C096618"/>
    <w:rsid w:val="6C7445E4"/>
    <w:rsid w:val="6D1B05CF"/>
    <w:rsid w:val="6F6B5F73"/>
    <w:rsid w:val="703E4596"/>
    <w:rsid w:val="72E353CB"/>
    <w:rsid w:val="73F900FF"/>
    <w:rsid w:val="764F1D9E"/>
    <w:rsid w:val="76527BD9"/>
    <w:rsid w:val="76C33B7F"/>
    <w:rsid w:val="76F9687D"/>
    <w:rsid w:val="7A3F3569"/>
    <w:rsid w:val="7DDB0A0F"/>
    <w:rsid w:val="7FC37D98"/>
    <w:rsid w:val="DF6F1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styleId="12">
    <w:name w:val="footnote reference"/>
    <w:qFormat/>
    <w:uiPriority w:val="0"/>
    <w:rPr>
      <w:vertAlign w:val="superscript"/>
    </w:rPr>
  </w:style>
  <w:style w:type="character" w:customStyle="1" w:styleId="13">
    <w:name w:val="批注框文本 字符"/>
    <w:link w:val="4"/>
    <w:qFormat/>
    <w:uiPriority w:val="0"/>
    <w:rPr>
      <w:kern w:val="2"/>
      <w:sz w:val="18"/>
      <w:szCs w:val="18"/>
    </w:rPr>
  </w:style>
  <w:style w:type="character" w:customStyle="1" w:styleId="14">
    <w:name w:val="页脚 字符"/>
    <w:link w:val="5"/>
    <w:qFormat/>
    <w:uiPriority w:val="0"/>
    <w:rPr>
      <w:kern w:val="2"/>
      <w:sz w:val="18"/>
      <w:szCs w:val="18"/>
    </w:rPr>
  </w:style>
  <w:style w:type="character" w:customStyle="1" w:styleId="15">
    <w:name w:val="页眉 字符"/>
    <w:link w:val="6"/>
    <w:qFormat/>
    <w:uiPriority w:val="0"/>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4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21"/>
    <w:qFormat/>
    <w:uiPriority w:val="0"/>
    <w:rPr>
      <w:rFonts w:hint="eastAsia" w:ascii="宋体" w:hAnsi="宋体" w:eastAsia="宋体" w:cs="宋体"/>
      <w:color w:val="000000"/>
      <w:sz w:val="22"/>
      <w:szCs w:val="22"/>
      <w:u w:val="none"/>
    </w:rPr>
  </w:style>
  <w:style w:type="paragraph" w:customStyle="1" w:styleId="21">
    <w:name w:val="标题1"/>
    <w:basedOn w:val="2"/>
    <w:qFormat/>
    <w:uiPriority w:val="0"/>
    <w:pPr>
      <w:spacing w:before="0" w:after="0" w:line="240" w:lineRule="auto"/>
      <w:jc w:val="center"/>
    </w:pPr>
    <w:rPr>
      <w:rFonts w:ascii="华文中宋" w:hAnsi="华文中宋" w:eastAsia="华文中宋"/>
      <w:sz w:val="36"/>
      <w:szCs w:val="36"/>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34</Pages>
  <Words>9406</Words>
  <Characters>12098</Characters>
  <Lines>109</Lines>
  <Paragraphs>30</Paragraphs>
  <TotalTime>80</TotalTime>
  <ScaleCrop>false</ScaleCrop>
  <LinksUpToDate>false</LinksUpToDate>
  <CharactersWithSpaces>12966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2021-09-03T02:57:00Z</dcterms:created>
  <dc:creator>管理者</dc:creator>
  <cp:lastModifiedBy>Administrator</cp:lastModifiedBy>
  <cp:lastPrinted>2018-07-25T10:50:00Z</cp:lastPrinted>
  <dcterms:modified xsi:type="dcterms:W3CDTF">2023-05-09T07:04:30Z</dcterms:modified>
  <dc:title>2020年度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ACE27C5BB61A4CFBA1182E9841215617</vt:lpwstr>
  </property>
</Properties>
</file>