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许昌市住房保障中心单位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许昌市住房保障中心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许昌市住房保障中心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（一）负责经济适用房、廉租住房、公共租赁住房等保障房的建设、分配、管理工作； </w:t>
      </w:r>
    </w:p>
    <w:p>
      <w:pPr>
        <w:widowControl/>
        <w:ind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（二）负责市区内国有公房的登记、出租、经营、维修、变更、保值工作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许昌市住房保障中心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sz w:val="32"/>
          <w:szCs w:val="32"/>
          <w:highlight w:val="none"/>
          <w:lang w:val="en-US" w:eastAsia="zh-CN"/>
        </w:rPr>
        <w:t>办公室、计财科、工程科、监察科、档案管理科、公房管理科、廉租补贴科、资格审查科、分配管理科等</w:t>
      </w:r>
      <w:r>
        <w:rPr>
          <w:rFonts w:hint="eastAsia" w:ascii="仿宋_GB2312" w:hAnsi="仿宋_GB2312" w:eastAsia="仿宋_GB2312" w:cs="仿宋_GB2312"/>
          <w:kern w:val="0"/>
          <w:sz w:val="32"/>
          <w:szCs w:val="32"/>
          <w:highlight w:val="none"/>
        </w:rPr>
        <w:t>共</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个。</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许昌市住房保障中心单位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1.许昌市住房保障中心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5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22"/>
        <w:gridCol w:w="1117"/>
        <w:gridCol w:w="2880"/>
        <w:gridCol w:w="2380"/>
        <w:gridCol w:w="1700"/>
        <w:gridCol w:w="103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5409" w:type="dxa"/>
            <w:gridSpan w:val="7"/>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9899" w:type="dxa"/>
            <w:gridSpan w:val="4"/>
            <w:vAlign w:val="bottom"/>
          </w:tcPr>
          <w:p>
            <w:pPr>
              <w:jc w:val="center"/>
              <w:rPr>
                <w:rFonts w:hint="eastAsia" w:ascii="Arial" w:hAnsi="Arial" w:cs="Arial"/>
                <w:i w:val="0"/>
                <w:color w:val="000000"/>
                <w:sz w:val="18"/>
                <w:szCs w:val="18"/>
                <w:u w:val="none"/>
              </w:rPr>
            </w:pPr>
          </w:p>
        </w:tc>
        <w:tc>
          <w:tcPr>
            <w:tcW w:w="5510"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9899" w:type="dxa"/>
            <w:gridSpan w:val="4"/>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5510"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751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890"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8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27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1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3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528.29</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000000"/>
                <w:sz w:val="20"/>
                <w:szCs w:val="20"/>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543.33</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88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546.69</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88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4080" w:type="dxa"/>
            <w:gridSpan w:val="2"/>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17"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5409" w:type="dxa"/>
            <w:gridSpan w:val="7"/>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5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6"/>
        <w:gridCol w:w="3733"/>
        <w:gridCol w:w="1765"/>
        <w:gridCol w:w="1650"/>
        <w:gridCol w:w="1515"/>
        <w:gridCol w:w="1275"/>
        <w:gridCol w:w="1305"/>
        <w:gridCol w:w="1305"/>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237"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804" w:type="dxa"/>
            <w:gridSpan w:val="8"/>
            <w:vAlign w:val="bottom"/>
          </w:tcPr>
          <w:p>
            <w:pPr>
              <w:jc w:val="center"/>
              <w:rPr>
                <w:rFonts w:hint="eastAsia" w:ascii="宋体" w:hAnsi="宋体" w:eastAsia="宋体" w:cs="宋体"/>
                <w:i w:val="0"/>
                <w:color w:val="000000"/>
                <w:sz w:val="20"/>
                <w:szCs w:val="20"/>
                <w:u w:val="none"/>
              </w:rPr>
            </w:pPr>
          </w:p>
        </w:tc>
        <w:tc>
          <w:tcPr>
            <w:tcW w:w="1433" w:type="dxa"/>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804" w:type="dxa"/>
            <w:gridSpan w:val="8"/>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1433" w:type="dxa"/>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5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51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27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33"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3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73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5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73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543.33</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543.33</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工会事务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保障性住房租金补贴</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2150399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其他建筑业支出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5237" w:type="dxa"/>
            <w:gridSpan w:val="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5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49"/>
        <w:gridCol w:w="4980"/>
        <w:gridCol w:w="2205"/>
        <w:gridCol w:w="1305"/>
        <w:gridCol w:w="1230"/>
        <w:gridCol w:w="1455"/>
        <w:gridCol w:w="1320"/>
        <w:gridCol w:w="1343"/>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402"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044" w:type="dxa"/>
            <w:gridSpan w:val="7"/>
            <w:vAlign w:val="bottom"/>
          </w:tcPr>
          <w:p>
            <w:pPr>
              <w:jc w:val="center"/>
              <w:rPr>
                <w:rFonts w:hint="eastAsia" w:ascii="Arial" w:hAnsi="Arial" w:cs="Arial"/>
                <w:i w:val="0"/>
                <w:color w:val="000000"/>
                <w:sz w:val="20"/>
                <w:szCs w:val="20"/>
                <w:u w:val="none"/>
              </w:rPr>
            </w:pPr>
          </w:p>
        </w:tc>
        <w:tc>
          <w:tcPr>
            <w:tcW w:w="1358"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4044" w:type="dxa"/>
            <w:gridSpan w:val="7"/>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1358"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2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3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2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58" w:type="dxa"/>
            <w:gridSpan w:val="2"/>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98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9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4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9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8"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1,090.02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604.13</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485.89</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工会事务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保障性住房租金补贴</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2150399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其他建筑业支出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其他政府性基金安排的支出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387"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53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44"/>
        <w:gridCol w:w="570"/>
        <w:gridCol w:w="1320"/>
        <w:gridCol w:w="3450"/>
        <w:gridCol w:w="585"/>
        <w:gridCol w:w="1575"/>
        <w:gridCol w:w="1575"/>
        <w:gridCol w:w="1725"/>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372"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019" w:type="dxa"/>
            <w:gridSpan w:val="7"/>
            <w:vAlign w:val="bottom"/>
          </w:tcPr>
          <w:p>
            <w:pPr>
              <w:jc w:val="center"/>
              <w:rPr>
                <w:rFonts w:hint="eastAsia" w:ascii="Arial" w:hAnsi="Arial" w:cs="Arial"/>
                <w:i w:val="0"/>
                <w:color w:val="000000"/>
                <w:sz w:val="20"/>
                <w:szCs w:val="20"/>
                <w:u w:val="none"/>
              </w:rPr>
            </w:pPr>
          </w:p>
        </w:tc>
        <w:tc>
          <w:tcPr>
            <w:tcW w:w="3353"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019" w:type="dxa"/>
            <w:gridSpan w:val="7"/>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3353"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8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10538"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294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2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7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62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4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7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2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4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2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70"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2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528.29</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628"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000000"/>
                <w:sz w:val="20"/>
                <w:szCs w:val="20"/>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543.33</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884.62</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205.39</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546.69</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356.33</w:t>
            </w: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2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884.62</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205.39</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5372" w:type="dxa"/>
            <w:gridSpan w:val="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454" w:right="720" w:bottom="454" w:left="720" w:header="720" w:footer="720" w:gutter="0"/>
          <w:pgNumType w:fmt="numberInDash"/>
          <w:cols w:space="720" w:num="1"/>
          <w:rtlGutter w:val="0"/>
          <w:docGrid w:type="lines" w:linePitch="312" w:charSpace="0"/>
        </w:sectPr>
      </w:pPr>
    </w:p>
    <w:tbl>
      <w:tblPr>
        <w:tblStyle w:val="5"/>
        <w:tblW w:w="15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29"/>
        <w:gridCol w:w="4485"/>
        <w:gridCol w:w="1250"/>
        <w:gridCol w:w="2125"/>
        <w:gridCol w:w="2805"/>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357" w:type="dxa"/>
            <w:gridSpan w:val="6"/>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64" w:type="dxa"/>
            <w:gridSpan w:val="3"/>
            <w:vAlign w:val="bottom"/>
          </w:tcPr>
          <w:p>
            <w:pPr>
              <w:jc w:val="center"/>
              <w:rPr>
                <w:rFonts w:hint="eastAsia" w:ascii="Arial" w:hAnsi="Arial" w:cs="Arial"/>
                <w:i w:val="0"/>
                <w:color w:val="000000"/>
                <w:sz w:val="18"/>
                <w:szCs w:val="18"/>
                <w:u w:val="none"/>
              </w:rPr>
            </w:pPr>
          </w:p>
        </w:tc>
        <w:tc>
          <w:tcPr>
            <w:tcW w:w="7593"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64" w:type="dxa"/>
            <w:gridSpan w:val="3"/>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7593"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843"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4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37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80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6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202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7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02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7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6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37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6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884.62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604.13</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工会事务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106.44</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2150399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其他建筑业支出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357"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454" w:right="720" w:bottom="720" w:left="720" w:header="720" w:footer="720" w:gutter="0"/>
          <w:pgNumType w:fmt="numberInDash"/>
          <w:cols w:space="720" w:num="1"/>
          <w:rtlGutter w:val="0"/>
          <w:docGrid w:type="lines" w:linePitch="312" w:charSpace="0"/>
        </w:sectPr>
      </w:pPr>
    </w:p>
    <w:tbl>
      <w:tblPr>
        <w:tblStyle w:val="5"/>
        <w:tblW w:w="14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4"/>
        <w:gridCol w:w="3345"/>
        <w:gridCol w:w="1230"/>
        <w:gridCol w:w="675"/>
        <w:gridCol w:w="620"/>
        <w:gridCol w:w="2185"/>
        <w:gridCol w:w="1155"/>
        <w:gridCol w:w="630"/>
        <w:gridCol w:w="2535"/>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280" w:type="dxa"/>
            <w:gridSpan w:val="1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w:t>
            </w:r>
            <w:r>
              <w:rPr>
                <w:rFonts w:hint="eastAsia" w:ascii="宋体" w:hAnsi="宋体" w:cs="宋体"/>
                <w:i w:val="0"/>
                <w:color w:val="000000"/>
                <w:kern w:val="0"/>
                <w:sz w:val="30"/>
                <w:szCs w:val="30"/>
                <w:u w:val="none"/>
                <w:lang w:val="en-US" w:eastAsia="zh-CN" w:bidi="ar"/>
              </w:rPr>
              <w:t>明细</w:t>
            </w:r>
            <w:r>
              <w:rPr>
                <w:rFonts w:hint="eastAsia" w:ascii="宋体" w:hAnsi="宋体" w:eastAsia="宋体" w:cs="宋体"/>
                <w:i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009" w:type="dxa"/>
            <w:gridSpan w:val="9"/>
            <w:vAlign w:val="bottom"/>
          </w:tcPr>
          <w:p>
            <w:pPr>
              <w:jc w:val="center"/>
              <w:rPr>
                <w:rFonts w:hint="eastAsia" w:ascii="Arial" w:hAnsi="Arial" w:cs="Arial"/>
                <w:i w:val="0"/>
                <w:color w:val="000000"/>
                <w:sz w:val="20"/>
                <w:szCs w:val="20"/>
                <w:u w:val="none"/>
              </w:rPr>
            </w:pPr>
          </w:p>
        </w:tc>
        <w:tc>
          <w:tcPr>
            <w:tcW w:w="1271" w:type="dxa"/>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04" w:type="dxa"/>
            <w:gridSpan w:val="5"/>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7776" w:type="dxa"/>
            <w:gridSpan w:val="5"/>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2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071" w:type="dxa"/>
            <w:gridSpan w:val="7"/>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4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0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5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3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7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3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4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6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0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5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6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53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488.14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27.28</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155.26</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18.77</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拆迁补偿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73.45</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赠与</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代缴社会保险费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34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397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576.86</w:t>
            </w:r>
          </w:p>
        </w:tc>
        <w:tc>
          <w:tcPr>
            <w:tcW w:w="7800" w:type="dxa"/>
            <w:gridSpan w:val="6"/>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7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4280" w:type="dxa"/>
            <w:gridSpan w:val="1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7"/>
        <w:gridCol w:w="945"/>
        <w:gridCol w:w="975"/>
        <w:gridCol w:w="960"/>
        <w:gridCol w:w="945"/>
        <w:gridCol w:w="900"/>
        <w:gridCol w:w="1110"/>
        <w:gridCol w:w="1034"/>
        <w:gridCol w:w="950"/>
        <w:gridCol w:w="1826"/>
        <w:gridCol w:w="70"/>
        <w:gridCol w:w="17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807" w:type="dxa"/>
            <w:gridSpan w:val="13"/>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0712" w:type="dxa"/>
            <w:gridSpan w:val="11"/>
            <w:vAlign w:val="bottom"/>
          </w:tcPr>
          <w:p>
            <w:pPr>
              <w:jc w:val="center"/>
              <w:rPr>
                <w:rFonts w:hint="eastAsia" w:ascii="Arial" w:hAnsi="Arial" w:cs="Arial"/>
                <w:i w:val="0"/>
                <w:color w:val="000000"/>
                <w:sz w:val="20"/>
                <w:szCs w:val="20"/>
                <w:u w:val="none"/>
              </w:rPr>
            </w:pPr>
          </w:p>
        </w:tc>
        <w:tc>
          <w:tcPr>
            <w:tcW w:w="3095"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12" w:type="dxa"/>
            <w:gridSpan w:val="11"/>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3095"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57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8085" w:type="dxa"/>
            <w:gridSpan w:val="7"/>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997"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4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880"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90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1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591" w:type="dxa"/>
            <w:gridSpan w:val="4"/>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3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4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9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3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2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81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3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97"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0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1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2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1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97"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6.00</w:t>
            </w:r>
          </w:p>
        </w:tc>
        <w:tc>
          <w:tcPr>
            <w:tcW w:w="94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6.00</w:t>
            </w:r>
          </w:p>
        </w:tc>
        <w:tc>
          <w:tcPr>
            <w:tcW w:w="96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4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6.00</w:t>
            </w:r>
          </w:p>
        </w:tc>
        <w:tc>
          <w:tcPr>
            <w:tcW w:w="90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1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03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82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81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35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807" w:type="dxa"/>
            <w:gridSpan w:val="13"/>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36"/>
        <w:gridCol w:w="4750"/>
        <w:gridCol w:w="1723"/>
        <w:gridCol w:w="1485"/>
        <w:gridCol w:w="713"/>
        <w:gridCol w:w="682"/>
        <w:gridCol w:w="1275"/>
        <w:gridCol w:w="121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3984"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679" w:type="dxa"/>
            <w:gridSpan w:val="8"/>
            <w:vAlign w:val="bottom"/>
          </w:tcPr>
          <w:p>
            <w:pPr>
              <w:jc w:val="center"/>
              <w:rPr>
                <w:rFonts w:hint="eastAsia" w:ascii="Arial" w:hAnsi="Arial" w:cs="Arial"/>
                <w:i w:val="0"/>
                <w:color w:val="000000"/>
                <w:sz w:val="18"/>
                <w:szCs w:val="18"/>
                <w:u w:val="none"/>
              </w:rPr>
            </w:pPr>
          </w:p>
        </w:tc>
        <w:tc>
          <w:tcPr>
            <w:tcW w:w="1305" w:type="dxa"/>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7" w:type="dxa"/>
            <w:gridSpan w:val="5"/>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：许昌市住房保障中心</w:t>
            </w:r>
          </w:p>
        </w:tc>
        <w:tc>
          <w:tcPr>
            <w:tcW w:w="4477" w:type="dxa"/>
            <w:gridSpan w:val="4"/>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23"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8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885"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7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7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7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2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205.39</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205.39</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2120813</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保障性住房租金补贴</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2290401</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其他政府性基金安排的支出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3984"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1090.02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651.01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37.39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当年财政拨款收入减少、统筹使用上年结转结余资金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543.33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543.33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1090.02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604.13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55.42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485.89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44.58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1090.02</w:t>
      </w:r>
      <w:r>
        <w:rPr>
          <w:rFonts w:hint="eastAsia" w:ascii="仿宋_GB2312" w:hAnsi="仿宋_GB2312" w:eastAsia="仿宋_GB2312" w:cs="仿宋_GB2312"/>
          <w:sz w:val="32"/>
          <w:szCs w:val="32"/>
          <w:highlight w:val="none"/>
        </w:rPr>
        <w:t>万元。与上年度相比，财政拨款收、支总计</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651.01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37.39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当年财政拨款收入减少、统筹使用上年结转结余资金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884.62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81.16</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154.43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减少办理房产证费用、退休人员增加2人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884.62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106.44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支出6.86万元，占 0.78%；城乡社区（类）支出9.28万元，占1.05%；资源勘探工业信息等（类）支出759.12万元，占85.81%</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1061.29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884.62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83.35</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事业单位离退休费</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95.07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是根据单位实际情况支付退休人员相关经费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37.43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机关事业单位职业年金缴费支出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21.23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是统筹使用上年结转资金。</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38.11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是统筹使用上年结转资金。</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val="en-US" w:eastAsia="zh-CN"/>
        </w:rPr>
        <w:t>城乡社区支出（类）城乡社区公共设施（款）其他城乡社区公共设施支出（项）。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9.28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是当年追加廉租户取暖补贴支出。</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lang w:val="en-US" w:eastAsia="zh-CN"/>
        </w:rPr>
        <w:t>资源勘探工业信息等（类）建筑业（款）其他建筑业支出（项）。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914.03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759.12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83.05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是统筹使用上年结转资金。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604.13</w:t>
      </w:r>
      <w:r>
        <w:rPr>
          <w:rFonts w:hint="eastAsia" w:ascii="仿宋_GB2312" w:hAnsi="仿宋_GB2312" w:eastAsia="仿宋_GB2312" w:cs="仿宋_GB2312"/>
          <w:sz w:val="32"/>
          <w:szCs w:val="32"/>
          <w:highlight w:val="none"/>
        </w:rPr>
        <w:t>万元。其</w:t>
      </w:r>
      <w:r>
        <w:rPr>
          <w:rFonts w:hint="eastAsia" w:ascii="仿宋_GB2312" w:hAnsi="仿宋_GB2312" w:eastAsia="仿宋_GB2312" w:cs="仿宋_GB2312"/>
          <w:color w:val="000000"/>
          <w:sz w:val="32"/>
          <w:szCs w:val="32"/>
          <w:highlight w:val="none"/>
        </w:rPr>
        <w:t>中：人员经费</w:t>
      </w:r>
      <w:r>
        <w:rPr>
          <w:rFonts w:hint="eastAsia" w:ascii="仿宋_GB2312" w:hAnsi="仿宋_GB2312" w:eastAsia="仿宋_GB2312" w:cs="仿宋_GB2312"/>
          <w:color w:val="000000"/>
          <w:sz w:val="32"/>
          <w:szCs w:val="32"/>
          <w:highlight w:val="none"/>
          <w:lang w:val="en-US" w:eastAsia="zh-CN"/>
        </w:rPr>
        <w:t>576.86</w:t>
      </w:r>
      <w:r>
        <w:rPr>
          <w:rFonts w:hint="eastAsia" w:ascii="仿宋_GB2312" w:hAnsi="仿宋_GB2312" w:eastAsia="仿宋_GB2312" w:cs="仿宋_GB2312"/>
          <w:color w:val="000000"/>
          <w:sz w:val="32"/>
          <w:szCs w:val="32"/>
          <w:highlight w:val="none"/>
        </w:rPr>
        <w:t>万元，主要包括：基本工资、津贴补贴、绩效工资、</w:t>
      </w:r>
      <w:r>
        <w:rPr>
          <w:rFonts w:hint="eastAsia" w:ascii="仿宋_GB2312" w:hAnsi="仿宋_GB2312" w:eastAsia="仿宋_GB2312" w:cs="仿宋_GB2312"/>
          <w:color w:val="000000"/>
          <w:sz w:val="32"/>
          <w:szCs w:val="32"/>
          <w:highlight w:val="none"/>
          <w:lang w:val="en-US" w:eastAsia="zh-CN"/>
        </w:rPr>
        <w:t>奖金、</w:t>
      </w:r>
      <w:r>
        <w:rPr>
          <w:rFonts w:hint="eastAsia" w:ascii="仿宋_GB2312" w:hAnsi="仿宋_GB2312" w:eastAsia="仿宋_GB2312" w:cs="仿宋_GB2312"/>
          <w:color w:val="000000"/>
          <w:sz w:val="32"/>
          <w:szCs w:val="32"/>
          <w:highlight w:val="none"/>
        </w:rPr>
        <w:t>机关事业单位基本养老保险缴费、职业年金缴费、其他社会保障缴费、</w:t>
      </w:r>
      <w:r>
        <w:rPr>
          <w:rFonts w:hint="eastAsia" w:ascii="仿宋_GB2312" w:hAnsi="仿宋_GB2312" w:eastAsia="仿宋_GB2312" w:cs="仿宋_GB2312"/>
          <w:color w:val="000000"/>
          <w:sz w:val="32"/>
          <w:szCs w:val="32"/>
          <w:highlight w:val="none"/>
          <w:lang w:val="en-US" w:eastAsia="zh-CN"/>
        </w:rPr>
        <w:t>职工基本医疗保险缴费、救济费、</w:t>
      </w:r>
      <w:r>
        <w:rPr>
          <w:rFonts w:hint="eastAsia" w:ascii="仿宋_GB2312" w:hAnsi="仿宋_GB2312" w:eastAsia="仿宋_GB2312" w:cs="仿宋_GB2312"/>
          <w:color w:val="000000"/>
          <w:sz w:val="32"/>
          <w:szCs w:val="32"/>
          <w:highlight w:val="none"/>
        </w:rPr>
        <w:t>退休费、生活补助、住房公积金；公用经费</w:t>
      </w:r>
      <w:r>
        <w:rPr>
          <w:rFonts w:hint="eastAsia" w:ascii="仿宋_GB2312" w:hAnsi="仿宋_GB2312" w:eastAsia="仿宋_GB2312" w:cs="仿宋_GB2312"/>
          <w:color w:val="000000"/>
          <w:sz w:val="32"/>
          <w:szCs w:val="32"/>
          <w:highlight w:val="none"/>
          <w:lang w:val="en-US" w:eastAsia="zh-CN"/>
        </w:rPr>
        <w:t>27.28</w:t>
      </w:r>
      <w:r>
        <w:rPr>
          <w:rFonts w:hint="eastAsia" w:ascii="仿宋_GB2312" w:hAnsi="仿宋_GB2312" w:eastAsia="仿宋_GB2312" w:cs="仿宋_GB2312"/>
          <w:color w:val="000000"/>
          <w:sz w:val="32"/>
          <w:szCs w:val="32"/>
          <w:highlight w:val="none"/>
        </w:rPr>
        <w:t>万元，主要包括：办公费、水费、电费、邮电费、物业管理费、差旅费、维修（护）费、培训费、劳务费、工会经费、福利费、公务用车运行维护费、其他商品和服务支出</w:t>
      </w:r>
      <w:r>
        <w:rPr>
          <w:rFonts w:hint="eastAsia" w:ascii="仿宋_GB2312" w:hAnsi="仿宋_GB2312" w:eastAsia="仿宋_GB2312" w:cs="仿宋_GB2312"/>
          <w:color w:val="000000"/>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40.33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w:t>
      </w:r>
      <w:r>
        <w:rPr>
          <w:rFonts w:hint="eastAsia" w:ascii="仿宋_GB2312" w:hAnsi="仿宋_GB2312" w:eastAsia="仿宋_GB2312" w:cs="仿宋_GB2312"/>
          <w:sz w:val="32"/>
          <w:szCs w:val="32"/>
          <w:highlight w:val="none"/>
          <w:lang w:eastAsia="zh-CN"/>
        </w:rPr>
        <w:t>的原因是厉行节约、严控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三公</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lang w:eastAsia="zh-CN"/>
        </w:rPr>
        <w:t>40.33%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numPr>
          <w:ilvl w:val="0"/>
          <w:numId w:val="0"/>
        </w:numPr>
        <w:spacing w:line="590" w:lineRule="exact"/>
        <w:rPr>
          <w:rFonts w:hint="default"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lang w:eastAsia="zh-CN"/>
        </w:rPr>
        <w:t>40.33</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eastAsia="zh-CN"/>
        </w:rPr>
        <w:t>的原因是厉行节约、严控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三公</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经费支出</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万元。主要用</w:t>
      </w:r>
      <w:r>
        <w:rPr>
          <w:rFonts w:hint="eastAsia" w:ascii="仿宋_GB2312" w:hAnsi="仿宋_GB2312" w:eastAsia="仿宋_GB2312" w:cs="仿宋_GB2312"/>
          <w:sz w:val="32"/>
          <w:szCs w:val="32"/>
          <w:highlight w:val="none"/>
          <w:lang w:val="en-US" w:eastAsia="zh-CN"/>
        </w:rPr>
        <w:t>于购买汽油、车辆维修、购买保险、通行费等支出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numPr>
          <w:ilvl w:val="0"/>
          <w:numId w:val="0"/>
        </w:numPr>
        <w:spacing w:line="590" w:lineRule="exact"/>
        <w:rPr>
          <w:rFonts w:hint="default"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3</w:t>
      </w:r>
      <w:bookmarkStart w:id="0" w:name="_GoBack"/>
      <w:bookmarkEnd w:id="0"/>
      <w:r>
        <w:rPr>
          <w:rFonts w:hint="default"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其中：</w:t>
      </w:r>
    </w:p>
    <w:p>
      <w:pPr>
        <w:widowControl/>
        <w:numPr>
          <w:ilvl w:val="0"/>
          <w:numId w:val="0"/>
        </w:numPr>
        <w:spacing w:line="590" w:lineRule="exact"/>
        <w:rPr>
          <w:rFonts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205.39</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主要用于</w:t>
      </w:r>
      <w:r>
        <w:rPr>
          <w:rFonts w:hint="eastAsia" w:ascii="仿宋_GB2312" w:hAnsi="仿宋_GB2312" w:eastAsia="仿宋_GB2312" w:cs="仿宋_GB2312"/>
          <w:sz w:val="32"/>
          <w:szCs w:val="32"/>
          <w:highlight w:val="none"/>
          <w:lang w:val="en-US" w:eastAsia="zh-CN"/>
        </w:rPr>
        <w:t>发放低收入家庭住房补贴和保障房后期维修维护及辅助性支出。不存在项目年末结转结余资金数额较大的项目。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260.13</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260.13</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组织单位相关科室人员学习文件精神，并依据文件内容制定单位内部《预算绩效管理实施办法》。拟定主要工作职责，由计财科负责预算绩效管理工作的实施。加强预算管理，优化资源配置。树立“花钱必问效、无效必问责”的绩效管理理念，使我单位的财政资金使用绩效和科学精细化管理水平得到提升。</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根据部门整体绩效评价指标规定的内容，经过综合整体绩效评价，2021年我单位整体绩效评价分数为100分。二是项目绩效自评情况。我单位对三个项目支出进行了绩效自评，自评覆盖率100%。由工程科、计财科、保障房管理科等科室人员成立绩效自评小组，进行资料收集和整理工作，根据整理的数据分项打分。资料来源为2021年部门预算数据、2021年部门决算数据、2021年财务账册等、工程维修项目维修清单、预结算报告、保障房管理考核情况等资料。我单位共有3个项目批复了绩效目标，项目金额</w:t>
      </w:r>
      <w:r>
        <w:rPr>
          <w:rFonts w:hint="default" w:ascii="仿宋_GB2312" w:hAnsi="仿宋_GB2312" w:eastAsia="仿宋_GB2312" w:cs="仿宋_GB2312"/>
          <w:color w:val="auto"/>
          <w:sz w:val="32"/>
          <w:szCs w:val="32"/>
          <w:highlight w:val="none"/>
          <w:lang w:eastAsia="zh-CN"/>
        </w:rPr>
        <w:t>85.50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WVhYTNlMWMzMTllMGM3MWM5OGUyZDFjNTQzMzA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A90DB0"/>
    <w:rsid w:val="0799329C"/>
    <w:rsid w:val="08397436"/>
    <w:rsid w:val="086F16A7"/>
    <w:rsid w:val="08DF4483"/>
    <w:rsid w:val="08F85810"/>
    <w:rsid w:val="09616F12"/>
    <w:rsid w:val="0A0F7225"/>
    <w:rsid w:val="0A1567FB"/>
    <w:rsid w:val="0A2B7D82"/>
    <w:rsid w:val="0ADC40E9"/>
    <w:rsid w:val="0AE607F4"/>
    <w:rsid w:val="0AFD0EBC"/>
    <w:rsid w:val="0B386127"/>
    <w:rsid w:val="0B451598"/>
    <w:rsid w:val="0BEC73F4"/>
    <w:rsid w:val="0C392698"/>
    <w:rsid w:val="0EF7E27A"/>
    <w:rsid w:val="0FB3423F"/>
    <w:rsid w:val="10BD36F6"/>
    <w:rsid w:val="11343F39"/>
    <w:rsid w:val="11553BE8"/>
    <w:rsid w:val="11BF0649"/>
    <w:rsid w:val="123E3E08"/>
    <w:rsid w:val="1319085D"/>
    <w:rsid w:val="133212F4"/>
    <w:rsid w:val="13D22E22"/>
    <w:rsid w:val="14C270BD"/>
    <w:rsid w:val="161C2DFF"/>
    <w:rsid w:val="16373578"/>
    <w:rsid w:val="16D3336B"/>
    <w:rsid w:val="16E9CA5A"/>
    <w:rsid w:val="17200028"/>
    <w:rsid w:val="17806C36"/>
    <w:rsid w:val="17A74F62"/>
    <w:rsid w:val="18A47774"/>
    <w:rsid w:val="1A8D28EB"/>
    <w:rsid w:val="1A9F2D78"/>
    <w:rsid w:val="1B2E6FD8"/>
    <w:rsid w:val="1B877D21"/>
    <w:rsid w:val="1BF65BDF"/>
    <w:rsid w:val="1C3C50F0"/>
    <w:rsid w:val="1C4319A9"/>
    <w:rsid w:val="1D0EC0E0"/>
    <w:rsid w:val="1D394FB4"/>
    <w:rsid w:val="1DFFA936"/>
    <w:rsid w:val="1E443B4B"/>
    <w:rsid w:val="1E994F4A"/>
    <w:rsid w:val="1EAF0224"/>
    <w:rsid w:val="1EF5E7E0"/>
    <w:rsid w:val="1F2230A4"/>
    <w:rsid w:val="20210932"/>
    <w:rsid w:val="202448E0"/>
    <w:rsid w:val="20F614FE"/>
    <w:rsid w:val="21302EEA"/>
    <w:rsid w:val="22376FB5"/>
    <w:rsid w:val="22BD0866"/>
    <w:rsid w:val="23E152D7"/>
    <w:rsid w:val="23EE2489"/>
    <w:rsid w:val="24F533AF"/>
    <w:rsid w:val="255D43C8"/>
    <w:rsid w:val="26714EF8"/>
    <w:rsid w:val="26876BDD"/>
    <w:rsid w:val="2714632A"/>
    <w:rsid w:val="27541E73"/>
    <w:rsid w:val="276F892E"/>
    <w:rsid w:val="279C3D60"/>
    <w:rsid w:val="27B0539E"/>
    <w:rsid w:val="28B210E0"/>
    <w:rsid w:val="29365CF8"/>
    <w:rsid w:val="299469B3"/>
    <w:rsid w:val="29B2010C"/>
    <w:rsid w:val="2A805789"/>
    <w:rsid w:val="2ADC0D75"/>
    <w:rsid w:val="2B4A0E52"/>
    <w:rsid w:val="2B7F24B9"/>
    <w:rsid w:val="2BEFF165"/>
    <w:rsid w:val="2C882884"/>
    <w:rsid w:val="2C975890"/>
    <w:rsid w:val="2DEF21BB"/>
    <w:rsid w:val="2E4A2F05"/>
    <w:rsid w:val="2ECC1061"/>
    <w:rsid w:val="2F9E4C2B"/>
    <w:rsid w:val="2FA476AD"/>
    <w:rsid w:val="2FF37CEF"/>
    <w:rsid w:val="2FF73891"/>
    <w:rsid w:val="303F7540"/>
    <w:rsid w:val="30C10818"/>
    <w:rsid w:val="31DD00BF"/>
    <w:rsid w:val="3293174C"/>
    <w:rsid w:val="32BB38D4"/>
    <w:rsid w:val="32C9376D"/>
    <w:rsid w:val="33780472"/>
    <w:rsid w:val="33AF0905"/>
    <w:rsid w:val="34FD4F89"/>
    <w:rsid w:val="355932F4"/>
    <w:rsid w:val="35611882"/>
    <w:rsid w:val="36746FC3"/>
    <w:rsid w:val="368763AE"/>
    <w:rsid w:val="370C2303"/>
    <w:rsid w:val="37F232A7"/>
    <w:rsid w:val="38064DE9"/>
    <w:rsid w:val="38676EE3"/>
    <w:rsid w:val="395D59E7"/>
    <w:rsid w:val="398BE223"/>
    <w:rsid w:val="3997626B"/>
    <w:rsid w:val="39A93932"/>
    <w:rsid w:val="39F604EF"/>
    <w:rsid w:val="39FFFCA5"/>
    <w:rsid w:val="3A915562"/>
    <w:rsid w:val="3AD91EF1"/>
    <w:rsid w:val="3B8D4765"/>
    <w:rsid w:val="3BFF899B"/>
    <w:rsid w:val="3C000DBA"/>
    <w:rsid w:val="3CFF93F7"/>
    <w:rsid w:val="3D1B4263"/>
    <w:rsid w:val="3DC045D3"/>
    <w:rsid w:val="3E504FFB"/>
    <w:rsid w:val="3E615CD0"/>
    <w:rsid w:val="3E9C47F6"/>
    <w:rsid w:val="3ED3CB13"/>
    <w:rsid w:val="3F6F9B5A"/>
    <w:rsid w:val="3F8B0112"/>
    <w:rsid w:val="3FAB3095"/>
    <w:rsid w:val="3FB7963C"/>
    <w:rsid w:val="3FCE72E4"/>
    <w:rsid w:val="3FE45947"/>
    <w:rsid w:val="41242965"/>
    <w:rsid w:val="4237359D"/>
    <w:rsid w:val="435671EA"/>
    <w:rsid w:val="43C0335D"/>
    <w:rsid w:val="43C80225"/>
    <w:rsid w:val="440809E9"/>
    <w:rsid w:val="442407A6"/>
    <w:rsid w:val="44805EA1"/>
    <w:rsid w:val="45710696"/>
    <w:rsid w:val="46142B1B"/>
    <w:rsid w:val="47E60DD0"/>
    <w:rsid w:val="48735039"/>
    <w:rsid w:val="48B01ACA"/>
    <w:rsid w:val="492C684B"/>
    <w:rsid w:val="49500594"/>
    <w:rsid w:val="49E7604E"/>
    <w:rsid w:val="4B437615"/>
    <w:rsid w:val="4BF67CDD"/>
    <w:rsid w:val="4CC62ED0"/>
    <w:rsid w:val="4D173441"/>
    <w:rsid w:val="4D603DD6"/>
    <w:rsid w:val="4E2652FB"/>
    <w:rsid w:val="4EBF010F"/>
    <w:rsid w:val="4F471EB0"/>
    <w:rsid w:val="4FD67341"/>
    <w:rsid w:val="51331326"/>
    <w:rsid w:val="51740A7F"/>
    <w:rsid w:val="51A5541E"/>
    <w:rsid w:val="51C96242"/>
    <w:rsid w:val="51ED3919"/>
    <w:rsid w:val="53906AE1"/>
    <w:rsid w:val="53F0636E"/>
    <w:rsid w:val="542A18AE"/>
    <w:rsid w:val="54F46F60"/>
    <w:rsid w:val="55A37BEA"/>
    <w:rsid w:val="5608061A"/>
    <w:rsid w:val="56362CD2"/>
    <w:rsid w:val="56E6467A"/>
    <w:rsid w:val="5784687B"/>
    <w:rsid w:val="57846959"/>
    <w:rsid w:val="578E6A87"/>
    <w:rsid w:val="57FBA0F9"/>
    <w:rsid w:val="59BCD506"/>
    <w:rsid w:val="59CF43BF"/>
    <w:rsid w:val="5AC2203A"/>
    <w:rsid w:val="5BFD7C6F"/>
    <w:rsid w:val="5CBB3334"/>
    <w:rsid w:val="5CFF22CA"/>
    <w:rsid w:val="5D115FAF"/>
    <w:rsid w:val="5E5E75F5"/>
    <w:rsid w:val="5EEB6596"/>
    <w:rsid w:val="5EFF27C3"/>
    <w:rsid w:val="5F8FB409"/>
    <w:rsid w:val="5FAFED1F"/>
    <w:rsid w:val="5FBFDE65"/>
    <w:rsid w:val="5FDEDFA4"/>
    <w:rsid w:val="5FF7FC97"/>
    <w:rsid w:val="5FFFC72F"/>
    <w:rsid w:val="606528E8"/>
    <w:rsid w:val="617778CA"/>
    <w:rsid w:val="62811722"/>
    <w:rsid w:val="62E75A72"/>
    <w:rsid w:val="64571880"/>
    <w:rsid w:val="649125B6"/>
    <w:rsid w:val="64DF4A2F"/>
    <w:rsid w:val="652F4C1A"/>
    <w:rsid w:val="656F1F8D"/>
    <w:rsid w:val="65FFC293"/>
    <w:rsid w:val="66593B4F"/>
    <w:rsid w:val="666D37F1"/>
    <w:rsid w:val="66FF4D1F"/>
    <w:rsid w:val="67087D8F"/>
    <w:rsid w:val="671F687E"/>
    <w:rsid w:val="675F6F61"/>
    <w:rsid w:val="679B2764"/>
    <w:rsid w:val="67F415F8"/>
    <w:rsid w:val="682640D1"/>
    <w:rsid w:val="684B73E5"/>
    <w:rsid w:val="69BE145A"/>
    <w:rsid w:val="69FB8688"/>
    <w:rsid w:val="6A047A2A"/>
    <w:rsid w:val="6AF615A8"/>
    <w:rsid w:val="6EAC637B"/>
    <w:rsid w:val="6EE55F6B"/>
    <w:rsid w:val="6EFB7548"/>
    <w:rsid w:val="6F3831C3"/>
    <w:rsid w:val="6F8B71C1"/>
    <w:rsid w:val="6FF91274"/>
    <w:rsid w:val="6FFF8FE2"/>
    <w:rsid w:val="70753482"/>
    <w:rsid w:val="707B522A"/>
    <w:rsid w:val="70D440A0"/>
    <w:rsid w:val="70EE606B"/>
    <w:rsid w:val="73194D05"/>
    <w:rsid w:val="73A83B0E"/>
    <w:rsid w:val="744D3EF9"/>
    <w:rsid w:val="74794411"/>
    <w:rsid w:val="757BC656"/>
    <w:rsid w:val="75867C40"/>
    <w:rsid w:val="75B10B26"/>
    <w:rsid w:val="75EF6A40"/>
    <w:rsid w:val="75F27938"/>
    <w:rsid w:val="75FF4B39"/>
    <w:rsid w:val="76432199"/>
    <w:rsid w:val="76F44829"/>
    <w:rsid w:val="77A267C0"/>
    <w:rsid w:val="77DBCF46"/>
    <w:rsid w:val="77EF9752"/>
    <w:rsid w:val="77F9A038"/>
    <w:rsid w:val="78882278"/>
    <w:rsid w:val="78B118A6"/>
    <w:rsid w:val="78B7A211"/>
    <w:rsid w:val="79135044"/>
    <w:rsid w:val="7937038E"/>
    <w:rsid w:val="79C954DC"/>
    <w:rsid w:val="79D51AB9"/>
    <w:rsid w:val="79FE1093"/>
    <w:rsid w:val="7A7D0F99"/>
    <w:rsid w:val="7AED9A17"/>
    <w:rsid w:val="7AEFC678"/>
    <w:rsid w:val="7B2DCBDE"/>
    <w:rsid w:val="7BAEA28D"/>
    <w:rsid w:val="7BB64793"/>
    <w:rsid w:val="7BEFE9BA"/>
    <w:rsid w:val="7BF323D1"/>
    <w:rsid w:val="7D20750E"/>
    <w:rsid w:val="7DF64F33"/>
    <w:rsid w:val="7E4A0E7C"/>
    <w:rsid w:val="7E7E31B2"/>
    <w:rsid w:val="7EBFAD70"/>
    <w:rsid w:val="7EDE471F"/>
    <w:rsid w:val="7EEAA161"/>
    <w:rsid w:val="7EF745D2"/>
    <w:rsid w:val="7EFD449D"/>
    <w:rsid w:val="7F273A2E"/>
    <w:rsid w:val="7F2B7D37"/>
    <w:rsid w:val="7F7F6297"/>
    <w:rsid w:val="7F9D93EF"/>
    <w:rsid w:val="7FB397A8"/>
    <w:rsid w:val="7FD7A313"/>
    <w:rsid w:val="7FDDBB4B"/>
    <w:rsid w:val="7FF59F9A"/>
    <w:rsid w:val="7FF7FF9A"/>
    <w:rsid w:val="7FFBEBBF"/>
    <w:rsid w:val="7FFED010"/>
    <w:rsid w:val="7FFF36A2"/>
    <w:rsid w:val="9DFF03E2"/>
    <w:rsid w:val="9F7FED17"/>
    <w:rsid w:val="9FD36194"/>
    <w:rsid w:val="9FF73CC8"/>
    <w:rsid w:val="9FFB5671"/>
    <w:rsid w:val="A17F9C18"/>
    <w:rsid w:val="A2D74783"/>
    <w:rsid w:val="A7CF3B5B"/>
    <w:rsid w:val="A8B80DFB"/>
    <w:rsid w:val="ADFF1693"/>
    <w:rsid w:val="AFFF0C22"/>
    <w:rsid w:val="B17FAB86"/>
    <w:rsid w:val="B77F82A4"/>
    <w:rsid w:val="B877AE95"/>
    <w:rsid w:val="BB7D41D9"/>
    <w:rsid w:val="BBCDB029"/>
    <w:rsid w:val="BD6E400C"/>
    <w:rsid w:val="BDF8FBBC"/>
    <w:rsid w:val="BEFF3110"/>
    <w:rsid w:val="BF5F6CEE"/>
    <w:rsid w:val="BF75759A"/>
    <w:rsid w:val="BFD72B6C"/>
    <w:rsid w:val="BFFFB059"/>
    <w:rsid w:val="C0DB448B"/>
    <w:rsid w:val="C5AF73E8"/>
    <w:rsid w:val="CD6DF98B"/>
    <w:rsid w:val="CDFF40B3"/>
    <w:rsid w:val="CFFFC79D"/>
    <w:rsid w:val="D5B45607"/>
    <w:rsid w:val="D76F7BC9"/>
    <w:rsid w:val="D7A9DB26"/>
    <w:rsid w:val="DC9FBA88"/>
    <w:rsid w:val="DEBF7A00"/>
    <w:rsid w:val="DF7D9536"/>
    <w:rsid w:val="DFF648C4"/>
    <w:rsid w:val="E75E2B33"/>
    <w:rsid w:val="EE3BBC39"/>
    <w:rsid w:val="EF5B535D"/>
    <w:rsid w:val="EF5EBB64"/>
    <w:rsid w:val="EFBFB7C8"/>
    <w:rsid w:val="EFFA4896"/>
    <w:rsid w:val="F28D3A9A"/>
    <w:rsid w:val="F2EF1EC8"/>
    <w:rsid w:val="F3E6145C"/>
    <w:rsid w:val="F46E21DC"/>
    <w:rsid w:val="F5FBFA78"/>
    <w:rsid w:val="F77A1D5D"/>
    <w:rsid w:val="F7EDC2B6"/>
    <w:rsid w:val="F7FA767C"/>
    <w:rsid w:val="F7FBB5FE"/>
    <w:rsid w:val="F8DFBB2B"/>
    <w:rsid w:val="F9330222"/>
    <w:rsid w:val="F95B0238"/>
    <w:rsid w:val="FACD0ECB"/>
    <w:rsid w:val="FBBB69CD"/>
    <w:rsid w:val="FBBD9153"/>
    <w:rsid w:val="FBC6F991"/>
    <w:rsid w:val="FBE5BD7A"/>
    <w:rsid w:val="FBFDD30C"/>
    <w:rsid w:val="FD6E75BD"/>
    <w:rsid w:val="FD7FC617"/>
    <w:rsid w:val="FDBF7867"/>
    <w:rsid w:val="FDDEA9A0"/>
    <w:rsid w:val="FDE5A36C"/>
    <w:rsid w:val="FDED10B5"/>
    <w:rsid w:val="FE7758DE"/>
    <w:rsid w:val="FE7F2011"/>
    <w:rsid w:val="FEBF4F87"/>
    <w:rsid w:val="FF622993"/>
    <w:rsid w:val="FF7F329B"/>
    <w:rsid w:val="FF9F7F70"/>
    <w:rsid w:val="FFCF30AF"/>
    <w:rsid w:val="FFDF8ACA"/>
    <w:rsid w:val="FFE71CB8"/>
    <w:rsid w:val="FFFB58D9"/>
    <w:rsid w:val="FFFBDFF8"/>
    <w:rsid w:val="FFFDC8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8304</Words>
  <Characters>10474</Characters>
  <Lines>60</Lines>
  <Paragraphs>16</Paragraphs>
  <TotalTime>212</TotalTime>
  <ScaleCrop>false</ScaleCrop>
  <LinksUpToDate>false</LinksUpToDate>
  <CharactersWithSpaces>10529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李阳</cp:lastModifiedBy>
  <cp:lastPrinted>2018-07-26T10:50:00Z</cp:lastPrinted>
  <dcterms:modified xsi:type="dcterms:W3CDTF">2023-05-23T08:57:40Z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4DF5151C2751455E8CC562FDDE78B3EB</vt:lpwstr>
  </property>
</Properties>
</file>