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许昌市传染病医院</w:t>
      </w:r>
      <w:r>
        <w:rPr>
          <w:rFonts w:hint="eastAsia" w:ascii="黑体" w:hAnsi="黑体" w:eastAsia="黑体" w:cs="黑体"/>
          <w:sz w:val="52"/>
          <w:szCs w:val="52"/>
          <w:highlight w:val="none"/>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sectPr>
          <w:pgSz w:w="11906" w:h="16838"/>
          <w:pgMar w:top="1440" w:right="1531" w:bottom="1440" w:left="1587" w:header="850" w:footer="992" w:gutter="0"/>
          <w:pgNumType w:fmt="numberInDash"/>
          <w:cols w:space="720" w:num="1"/>
          <w:docGrid w:type="lines" w:linePitch="317"/>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许昌市传染病医院</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bookmarkStart w:id="0" w:name="_GoBack"/>
      <w:bookmarkEnd w:id="0"/>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许昌市传染病医院</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许昌市传染病医院位于许繁路4号，是我市市级唯一的结核病定点医疗机构，承担着各县（市）结防机构的技术指导任务及市辖区的结核病人诊治任务</w:t>
      </w:r>
      <w:r>
        <w:rPr>
          <w:rFonts w:hint="eastAsia" w:ascii="仿宋_GB2312" w:hAnsi="宋体" w:eastAsia="仿宋_GB2312" w:cs="宋体"/>
          <w:kern w:val="0"/>
          <w:sz w:val="32"/>
          <w:szCs w:val="32"/>
          <w:highlight w:val="none"/>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许昌市传染病医院设有7个科室：内科、护理科、医学影像科、药剂科、检验科、财务科、办公室</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许昌市传染病医院</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widowControl/>
        <w:wordWrap/>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eastAsia="zh-CN"/>
        </w:rPr>
        <w:t>许昌市传染病医院</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sectPr>
          <w:footerReference r:id="rId4" w:type="default"/>
          <w:footerReference r:id="rId5" w:type="even"/>
          <w:pgSz w:w="11906" w:h="16838"/>
          <w:pgMar w:top="1440" w:right="1800" w:bottom="1440" w:left="1800" w:header="720" w:footer="720" w:gutter="0"/>
          <w:pgNumType w:fmt="numberInDash"/>
          <w:cols w:space="720" w:num="1"/>
          <w:docGrid w:type="lines" w:linePitch="312"/>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sectPr>
          <w:pgSz w:w="11906" w:h="16838"/>
          <w:pgMar w:top="1440" w:right="1800" w:bottom="1440" w:left="1800" w:header="720" w:footer="720" w:gutter="0"/>
          <w:pgNumType w:fmt="numberInDash"/>
          <w:cols w:space="720" w:num="1"/>
          <w:docGrid w:type="lines" w:linePitch="312"/>
        </w:sectPr>
      </w:pPr>
    </w:p>
    <w:tbl>
      <w:tblPr>
        <w:tblpPr w:leftFromText="180" w:rightFromText="180" w:vertAnchor="text" w:horzAnchor="page" w:tblpX="1695" w:tblpY="540"/>
        <w:tblOverlap w:val="never"/>
        <w:tblW w:w="127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39"/>
        <w:gridCol w:w="779"/>
        <w:gridCol w:w="1302"/>
        <w:gridCol w:w="4178"/>
        <w:gridCol w:w="779"/>
        <w:gridCol w:w="1303"/>
      </w:tblGrid>
      <w:tr>
        <w:trPr>
          <w:trHeight w:val="384" w:hRule="atLeast"/>
        </w:trPr>
        <w:tc>
          <w:tcPr>
            <w:tcW w:w="12780"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rPr>
          <w:trHeight w:val="264" w:hRule="atLeast"/>
        </w:trPr>
        <w:tc>
          <w:tcPr>
            <w:tcW w:w="4439"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77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0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260"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公开01表</w:t>
            </w:r>
          </w:p>
        </w:tc>
      </w:tr>
      <w:tr>
        <w:trPr>
          <w:trHeight w:val="264" w:hRule="atLeast"/>
        </w:trPr>
        <w:tc>
          <w:tcPr>
            <w:tcW w:w="6520"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：许昌市传染病医院</w:t>
            </w:r>
          </w:p>
        </w:tc>
        <w:tc>
          <w:tcPr>
            <w:tcW w:w="6260"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rPr>
          <w:trHeight w:val="235" w:hRule="atLeast"/>
        </w:trPr>
        <w:tc>
          <w:tcPr>
            <w:tcW w:w="65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6260"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30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41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30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779"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0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1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779"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0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1,568.62</w:t>
            </w: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30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30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39.67</w:t>
            </w: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30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1,618.64</w:t>
            </w: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30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2.78</w:t>
            </w: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3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1,568.62</w:t>
            </w:r>
          </w:p>
        </w:tc>
        <w:tc>
          <w:tcPr>
            <w:tcW w:w="41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30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1,663.09</w:t>
            </w: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3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3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97.04</w:t>
            </w:r>
          </w:p>
        </w:tc>
        <w:tc>
          <w:tcPr>
            <w:tcW w:w="417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30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2.57</w:t>
            </w: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30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7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303"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rPr>
          <w:trHeight w:val="235" w:hRule="atLeast"/>
        </w:trPr>
        <w:tc>
          <w:tcPr>
            <w:tcW w:w="4439"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779"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30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1,665.66</w:t>
            </w:r>
          </w:p>
        </w:tc>
        <w:tc>
          <w:tcPr>
            <w:tcW w:w="41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7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30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1,665.66</w:t>
            </w:r>
          </w:p>
        </w:tc>
      </w:tr>
      <w:tr>
        <w:trPr>
          <w:trHeight w:val="235" w:hRule="atLeast"/>
        </w:trPr>
        <w:tc>
          <w:tcPr>
            <w:tcW w:w="12780"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sectPr>
          <w:pgSz w:w="16838" w:h="11906" w:orient="landscape"/>
          <w:pgMar w:top="1800" w:right="1440" w:bottom="1800" w:left="1440" w:header="720" w:footer="720" w:gutter="0"/>
          <w:pgNumType w:fmt="numberInDash"/>
          <w:cols w:space="720" w:num="1"/>
          <w:docGrid w:type="lines" w:linePitch="312"/>
        </w:sectPr>
      </w:pPr>
    </w:p>
    <w:p>
      <w:pPr>
        <w:rPr>
          <w:rFonts w:hint="eastAsia" w:ascii="仿宋_GB2312" w:hAnsi="仿宋_GB2312" w:eastAsia="仿宋_GB2312" w:cs="仿宋_GB2312"/>
          <w:sz w:val="32"/>
          <w:szCs w:val="32"/>
          <w:highlight w:val="none"/>
        </w:rPr>
      </w:pPr>
    </w:p>
    <w:tbl>
      <w:tblPr>
        <w:tblW w:w="1300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6"/>
        <w:gridCol w:w="2416"/>
        <w:gridCol w:w="1380"/>
        <w:gridCol w:w="1380"/>
        <w:gridCol w:w="1380"/>
        <w:gridCol w:w="1308"/>
        <w:gridCol w:w="1164"/>
        <w:gridCol w:w="1806"/>
        <w:gridCol w:w="1188"/>
      </w:tblGrid>
      <w:tr>
        <w:trPr>
          <w:trHeight w:val="384" w:hRule="atLeast"/>
        </w:trPr>
        <w:tc>
          <w:tcPr>
            <w:tcW w:w="13008"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rPr>
          <w:trHeight w:val="264" w:hRule="atLeast"/>
        </w:trPr>
        <w:tc>
          <w:tcPr>
            <w:tcW w:w="13008" w:type="dxa"/>
            <w:gridSpan w:val="9"/>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公开02表</w:t>
            </w:r>
          </w:p>
        </w:tc>
      </w:tr>
      <w:tr>
        <w:trPr>
          <w:trHeight w:val="264" w:hRule="atLeast"/>
        </w:trPr>
        <w:tc>
          <w:tcPr>
            <w:tcW w:w="7542"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：许昌市传染病医院</w:t>
            </w:r>
          </w:p>
        </w:tc>
        <w:tc>
          <w:tcPr>
            <w:tcW w:w="5466" w:type="dxa"/>
            <w:gridSpan w:val="4"/>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rPr>
          <w:trHeight w:val="235" w:hRule="atLeast"/>
        </w:trPr>
        <w:tc>
          <w:tcPr>
            <w:tcW w:w="34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38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38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138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130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1164"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180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18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rPr>
          <w:trHeight w:val="235" w:hRule="atLeast"/>
        </w:trPr>
        <w:tc>
          <w:tcPr>
            <w:tcW w:w="98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24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235" w:hRule="atLeast"/>
        </w:trPr>
        <w:tc>
          <w:tcPr>
            <w:tcW w:w="98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235" w:hRule="atLeast"/>
        </w:trPr>
        <w:tc>
          <w:tcPr>
            <w:tcW w:w="98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8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64"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235" w:hRule="atLeast"/>
        </w:trPr>
        <w:tc>
          <w:tcPr>
            <w:tcW w:w="3402"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3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3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38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3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6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80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rPr>
          <w:trHeight w:val="235" w:hRule="atLeast"/>
        </w:trPr>
        <w:tc>
          <w:tcPr>
            <w:tcW w:w="3402"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1,568.62</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1,568.62</w:t>
            </w: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80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rPr>
          <w:trHeight w:val="372"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29.43</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29.43</w:t>
            </w: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29.43</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29.43</w:t>
            </w: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29.43</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29.43</w:t>
            </w: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1,537.19</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1,537.19</w:t>
            </w: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公立医院</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11.00</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11.00</w:t>
            </w: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2100203</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传染病医院</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2100299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其他公立医院支出</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9.20</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9.20</w:t>
            </w: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公共卫生</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1,526.19</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1,526.19</w:t>
            </w: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疾病预防控制机构</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1,498.62</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1,498.62</w:t>
            </w: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98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重大公共卫生服务</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27.57</w:t>
            </w:r>
          </w:p>
        </w:tc>
        <w:tc>
          <w:tcPr>
            <w:tcW w:w="138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27.57</w:t>
            </w:r>
          </w:p>
        </w:tc>
        <w:tc>
          <w:tcPr>
            <w:tcW w:w="138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8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3008"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41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9"/>
        <w:gridCol w:w="4771"/>
        <w:gridCol w:w="1816"/>
        <w:gridCol w:w="1407"/>
        <w:gridCol w:w="1628"/>
        <w:gridCol w:w="1117"/>
        <w:gridCol w:w="1008"/>
        <w:gridCol w:w="1177"/>
      </w:tblGrid>
      <w:tr>
        <w:trPr>
          <w:trHeight w:val="384" w:hRule="atLeast"/>
        </w:trPr>
        <w:tc>
          <w:tcPr>
            <w:tcW w:w="14113" w:type="dxa"/>
            <w:gridSpan w:val="8"/>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rPr>
          <w:trHeight w:val="264" w:hRule="atLeast"/>
        </w:trPr>
        <w:tc>
          <w:tcPr>
            <w:tcW w:w="14113" w:type="dxa"/>
            <w:gridSpan w:val="8"/>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公开03表</w:t>
            </w:r>
          </w:p>
        </w:tc>
      </w:tr>
      <w:tr>
        <w:trPr>
          <w:trHeight w:val="264" w:hRule="atLeast"/>
        </w:trPr>
        <w:tc>
          <w:tcPr>
            <w:tcW w:w="9183"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：许昌市传染病医院</w:t>
            </w:r>
          </w:p>
        </w:tc>
        <w:tc>
          <w:tcPr>
            <w:tcW w:w="4930" w:type="dxa"/>
            <w:gridSpan w:val="4"/>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rPr>
          <w:trHeight w:val="235" w:hRule="atLeast"/>
        </w:trPr>
        <w:tc>
          <w:tcPr>
            <w:tcW w:w="596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81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40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62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11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100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177"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rPr>
          <w:trHeight w:val="235" w:hRule="atLeast"/>
        </w:trPr>
        <w:tc>
          <w:tcPr>
            <w:tcW w:w="1189"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77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8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0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235" w:hRule="atLeast"/>
        </w:trPr>
        <w:tc>
          <w:tcPr>
            <w:tcW w:w="1189"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77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0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500" w:hRule="atLeast"/>
        </w:trPr>
        <w:tc>
          <w:tcPr>
            <w:tcW w:w="1189"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77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0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2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0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77"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235" w:hRule="atLeast"/>
        </w:trPr>
        <w:tc>
          <w:tcPr>
            <w:tcW w:w="5960"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8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4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6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1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7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rPr>
          <w:trHeight w:val="235" w:hRule="atLeast"/>
        </w:trPr>
        <w:tc>
          <w:tcPr>
            <w:tcW w:w="5960"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1,663.09</w:t>
            </w:r>
          </w:p>
        </w:tc>
        <w:tc>
          <w:tcPr>
            <w:tcW w:w="14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358.85</w:t>
            </w:r>
          </w:p>
        </w:tc>
        <w:tc>
          <w:tcPr>
            <w:tcW w:w="16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1,304.24</w:t>
            </w: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rPr>
          <w:trHeight w:val="235" w:hRule="atLeast"/>
        </w:trPr>
        <w:tc>
          <w:tcPr>
            <w:tcW w:w="118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77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14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16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8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77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14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16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8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77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14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16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8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77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39.67</w:t>
            </w:r>
          </w:p>
        </w:tc>
        <w:tc>
          <w:tcPr>
            <w:tcW w:w="14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39.67</w:t>
            </w:r>
          </w:p>
        </w:tc>
        <w:tc>
          <w:tcPr>
            <w:tcW w:w="16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8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77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39.67</w:t>
            </w:r>
          </w:p>
        </w:tc>
        <w:tc>
          <w:tcPr>
            <w:tcW w:w="14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39.67</w:t>
            </w:r>
          </w:p>
        </w:tc>
        <w:tc>
          <w:tcPr>
            <w:tcW w:w="16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8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477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29.43</w:t>
            </w:r>
          </w:p>
        </w:tc>
        <w:tc>
          <w:tcPr>
            <w:tcW w:w="14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29.43</w:t>
            </w:r>
          </w:p>
        </w:tc>
        <w:tc>
          <w:tcPr>
            <w:tcW w:w="16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8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77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10.23</w:t>
            </w:r>
          </w:p>
        </w:tc>
        <w:tc>
          <w:tcPr>
            <w:tcW w:w="14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10.23</w:t>
            </w:r>
          </w:p>
        </w:tc>
        <w:tc>
          <w:tcPr>
            <w:tcW w:w="16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8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77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1,618.64</w:t>
            </w:r>
          </w:p>
        </w:tc>
        <w:tc>
          <w:tcPr>
            <w:tcW w:w="14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317.18</w:t>
            </w:r>
          </w:p>
        </w:tc>
        <w:tc>
          <w:tcPr>
            <w:tcW w:w="16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1,301.47</w:t>
            </w: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8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21002</w:t>
            </w:r>
          </w:p>
        </w:tc>
        <w:tc>
          <w:tcPr>
            <w:tcW w:w="477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公立医院</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23.22</w:t>
            </w:r>
          </w:p>
        </w:tc>
        <w:tc>
          <w:tcPr>
            <w:tcW w:w="14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23.22</w:t>
            </w: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8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2100203</w:t>
            </w:r>
          </w:p>
        </w:tc>
        <w:tc>
          <w:tcPr>
            <w:tcW w:w="477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传染病医院</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c>
          <w:tcPr>
            <w:tcW w:w="14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8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2100299</w:t>
            </w:r>
          </w:p>
        </w:tc>
        <w:tc>
          <w:tcPr>
            <w:tcW w:w="477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其他公立医院支出</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21.42</w:t>
            </w:r>
          </w:p>
        </w:tc>
        <w:tc>
          <w:tcPr>
            <w:tcW w:w="14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21.42</w:t>
            </w: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8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w:t>
            </w:r>
          </w:p>
        </w:tc>
        <w:tc>
          <w:tcPr>
            <w:tcW w:w="477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公共卫生</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1,591.65</w:t>
            </w:r>
          </w:p>
        </w:tc>
        <w:tc>
          <w:tcPr>
            <w:tcW w:w="14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313.40</w:t>
            </w:r>
          </w:p>
        </w:tc>
        <w:tc>
          <w:tcPr>
            <w:tcW w:w="16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1,278.25</w:t>
            </w: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8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2100401</w:t>
            </w:r>
          </w:p>
        </w:tc>
        <w:tc>
          <w:tcPr>
            <w:tcW w:w="477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疾病预防控制机构</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1,530.32</w:t>
            </w:r>
          </w:p>
        </w:tc>
        <w:tc>
          <w:tcPr>
            <w:tcW w:w="14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313.40</w:t>
            </w:r>
          </w:p>
        </w:tc>
        <w:tc>
          <w:tcPr>
            <w:tcW w:w="16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1,216.92</w:t>
            </w: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8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2100409</w:t>
            </w:r>
          </w:p>
        </w:tc>
        <w:tc>
          <w:tcPr>
            <w:tcW w:w="477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重大公共卫生服务</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61.33</w:t>
            </w:r>
          </w:p>
        </w:tc>
        <w:tc>
          <w:tcPr>
            <w:tcW w:w="14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61.33</w:t>
            </w: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8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77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3.78</w:t>
            </w:r>
          </w:p>
        </w:tc>
        <w:tc>
          <w:tcPr>
            <w:tcW w:w="14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3.78</w:t>
            </w:r>
          </w:p>
        </w:tc>
        <w:tc>
          <w:tcPr>
            <w:tcW w:w="16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8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477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3.78</w:t>
            </w:r>
          </w:p>
        </w:tc>
        <w:tc>
          <w:tcPr>
            <w:tcW w:w="140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3.78</w:t>
            </w:r>
          </w:p>
        </w:tc>
        <w:tc>
          <w:tcPr>
            <w:tcW w:w="16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8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w:t>
            </w:r>
          </w:p>
        </w:tc>
        <w:tc>
          <w:tcPr>
            <w:tcW w:w="477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2.78</w:t>
            </w:r>
          </w:p>
        </w:tc>
        <w:tc>
          <w:tcPr>
            <w:tcW w:w="14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2.78</w:t>
            </w: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8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22999</w:t>
            </w:r>
          </w:p>
        </w:tc>
        <w:tc>
          <w:tcPr>
            <w:tcW w:w="477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2.78</w:t>
            </w:r>
          </w:p>
        </w:tc>
        <w:tc>
          <w:tcPr>
            <w:tcW w:w="14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2.78</w:t>
            </w: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89"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2299999</w:t>
            </w:r>
          </w:p>
        </w:tc>
        <w:tc>
          <w:tcPr>
            <w:tcW w:w="4771"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181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2.78</w:t>
            </w:r>
          </w:p>
        </w:tc>
        <w:tc>
          <w:tcPr>
            <w:tcW w:w="14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2.78</w:t>
            </w:r>
          </w:p>
        </w:tc>
        <w:tc>
          <w:tcPr>
            <w:tcW w:w="111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7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4113"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47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40"/>
        <w:gridCol w:w="589"/>
        <w:gridCol w:w="1289"/>
        <w:gridCol w:w="4104"/>
        <w:gridCol w:w="589"/>
        <w:gridCol w:w="1231"/>
        <w:gridCol w:w="1330"/>
        <w:gridCol w:w="1020"/>
        <w:gridCol w:w="1021"/>
      </w:tblGrid>
      <w:tr>
        <w:trPr>
          <w:trHeight w:val="384" w:hRule="atLeast"/>
        </w:trPr>
        <w:tc>
          <w:tcPr>
            <w:tcW w:w="14713"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rPr>
          <w:trHeight w:val="264" w:hRule="atLeast"/>
        </w:trPr>
        <w:tc>
          <w:tcPr>
            <w:tcW w:w="14713" w:type="dxa"/>
            <w:gridSpan w:val="9"/>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公开04表</w:t>
            </w:r>
          </w:p>
        </w:tc>
      </w:tr>
      <w:tr>
        <w:trPr>
          <w:trHeight w:val="264" w:hRule="atLeast"/>
        </w:trPr>
        <w:tc>
          <w:tcPr>
            <w:tcW w:w="9522"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：许昌市传染病医院</w:t>
            </w:r>
          </w:p>
        </w:tc>
        <w:tc>
          <w:tcPr>
            <w:tcW w:w="5191" w:type="dxa"/>
            <w:gridSpan w:val="5"/>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rPr>
          <w:trHeight w:val="235" w:hRule="atLeast"/>
        </w:trPr>
        <w:tc>
          <w:tcPr>
            <w:tcW w:w="541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9295"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rPr>
          <w:trHeight w:val="224" w:hRule="atLeast"/>
        </w:trPr>
        <w:tc>
          <w:tcPr>
            <w:tcW w:w="354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8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28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410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8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23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33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102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102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rPr>
          <w:trHeight w:val="471" w:hRule="atLeast"/>
        </w:trPr>
        <w:tc>
          <w:tcPr>
            <w:tcW w:w="354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10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8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3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3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2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89"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1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89"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3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3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2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8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1,568.62</w:t>
            </w: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23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13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23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39.67</w:t>
            </w:r>
          </w:p>
        </w:tc>
        <w:tc>
          <w:tcPr>
            <w:tcW w:w="13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39.67</w:t>
            </w: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23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1,618.64</w:t>
            </w:r>
          </w:p>
        </w:tc>
        <w:tc>
          <w:tcPr>
            <w:tcW w:w="13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1,618.64</w:t>
            </w: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28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1,568.62</w:t>
            </w:r>
          </w:p>
        </w:tc>
        <w:tc>
          <w:tcPr>
            <w:tcW w:w="41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23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1,660.31</w:t>
            </w:r>
          </w:p>
        </w:tc>
        <w:tc>
          <w:tcPr>
            <w:tcW w:w="13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1,660.31</w:t>
            </w: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28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91.69</w:t>
            </w:r>
          </w:p>
        </w:tc>
        <w:tc>
          <w:tcPr>
            <w:tcW w:w="410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28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91.69</w:t>
            </w:r>
          </w:p>
        </w:tc>
        <w:tc>
          <w:tcPr>
            <w:tcW w:w="410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2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10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123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354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89"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28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1,660.31</w:t>
            </w:r>
          </w:p>
        </w:tc>
        <w:tc>
          <w:tcPr>
            <w:tcW w:w="410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123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1,660.31</w:t>
            </w:r>
          </w:p>
        </w:tc>
        <w:tc>
          <w:tcPr>
            <w:tcW w:w="133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1,660.31</w:t>
            </w:r>
          </w:p>
        </w:tc>
        <w:tc>
          <w:tcPr>
            <w:tcW w:w="10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2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47" w:hRule="atLeast"/>
        </w:trPr>
        <w:tc>
          <w:tcPr>
            <w:tcW w:w="14713"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45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7"/>
        <w:gridCol w:w="5097"/>
        <w:gridCol w:w="2227"/>
        <w:gridCol w:w="2108"/>
        <w:gridCol w:w="2164"/>
      </w:tblGrid>
      <w:tr>
        <w:trPr>
          <w:trHeight w:val="384" w:hRule="atLeast"/>
        </w:trPr>
        <w:tc>
          <w:tcPr>
            <w:tcW w:w="13453" w:type="dxa"/>
            <w:gridSpan w:val="5"/>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rPr>
          <w:trHeight w:val="264" w:hRule="atLeast"/>
        </w:trPr>
        <w:tc>
          <w:tcPr>
            <w:tcW w:w="13453" w:type="dxa"/>
            <w:gridSpan w:val="5"/>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公开05表</w:t>
            </w:r>
          </w:p>
        </w:tc>
      </w:tr>
      <w:tr>
        <w:trPr>
          <w:trHeight w:val="264" w:hRule="atLeast"/>
        </w:trPr>
        <w:tc>
          <w:tcPr>
            <w:tcW w:w="9181"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：许昌市传染病医院</w:t>
            </w:r>
          </w:p>
        </w:tc>
        <w:tc>
          <w:tcPr>
            <w:tcW w:w="427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rPr>
          <w:trHeight w:val="235" w:hRule="atLeast"/>
        </w:trPr>
        <w:tc>
          <w:tcPr>
            <w:tcW w:w="695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6499"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rPr>
          <w:trHeight w:val="235" w:hRule="atLeast"/>
        </w:trPr>
        <w:tc>
          <w:tcPr>
            <w:tcW w:w="1857"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509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222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210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216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rPr>
          <w:trHeight w:val="212" w:hRule="atLeast"/>
        </w:trPr>
        <w:tc>
          <w:tcPr>
            <w:tcW w:w="185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09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22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6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235" w:hRule="atLeast"/>
        </w:trPr>
        <w:tc>
          <w:tcPr>
            <w:tcW w:w="185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09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22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0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6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235" w:hRule="atLeast"/>
        </w:trPr>
        <w:tc>
          <w:tcPr>
            <w:tcW w:w="6954"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222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10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16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rPr>
          <w:trHeight w:val="235" w:hRule="atLeast"/>
        </w:trPr>
        <w:tc>
          <w:tcPr>
            <w:tcW w:w="6954"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222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1,660.31</w:t>
            </w:r>
          </w:p>
        </w:tc>
        <w:tc>
          <w:tcPr>
            <w:tcW w:w="21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358.85</w:t>
            </w:r>
          </w:p>
        </w:tc>
        <w:tc>
          <w:tcPr>
            <w:tcW w:w="21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1,301.47</w:t>
            </w:r>
          </w:p>
        </w:tc>
      </w:tr>
      <w:tr>
        <w:trPr>
          <w:trHeight w:val="235" w:hRule="atLeast"/>
        </w:trPr>
        <w:tc>
          <w:tcPr>
            <w:tcW w:w="185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509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222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21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2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85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509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222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21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2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85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509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222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21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2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85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509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222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39.67</w:t>
            </w:r>
          </w:p>
        </w:tc>
        <w:tc>
          <w:tcPr>
            <w:tcW w:w="21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39.67</w:t>
            </w:r>
          </w:p>
        </w:tc>
        <w:tc>
          <w:tcPr>
            <w:tcW w:w="2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85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509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222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39.67</w:t>
            </w:r>
          </w:p>
        </w:tc>
        <w:tc>
          <w:tcPr>
            <w:tcW w:w="21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39.67</w:t>
            </w:r>
          </w:p>
        </w:tc>
        <w:tc>
          <w:tcPr>
            <w:tcW w:w="2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85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2080502</w:t>
            </w:r>
          </w:p>
        </w:tc>
        <w:tc>
          <w:tcPr>
            <w:tcW w:w="509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事业单位离退休</w:t>
            </w:r>
          </w:p>
        </w:tc>
        <w:tc>
          <w:tcPr>
            <w:tcW w:w="222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29.43</w:t>
            </w:r>
          </w:p>
        </w:tc>
        <w:tc>
          <w:tcPr>
            <w:tcW w:w="21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29.43</w:t>
            </w:r>
          </w:p>
        </w:tc>
        <w:tc>
          <w:tcPr>
            <w:tcW w:w="2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85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509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222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10.23</w:t>
            </w:r>
          </w:p>
        </w:tc>
        <w:tc>
          <w:tcPr>
            <w:tcW w:w="21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10.23</w:t>
            </w:r>
          </w:p>
        </w:tc>
        <w:tc>
          <w:tcPr>
            <w:tcW w:w="2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85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509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222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1,618.64</w:t>
            </w:r>
          </w:p>
        </w:tc>
        <w:tc>
          <w:tcPr>
            <w:tcW w:w="21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317.18</w:t>
            </w:r>
          </w:p>
        </w:tc>
        <w:tc>
          <w:tcPr>
            <w:tcW w:w="21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1,301.47</w:t>
            </w:r>
          </w:p>
        </w:tc>
      </w:tr>
      <w:tr>
        <w:trPr>
          <w:trHeight w:val="235" w:hRule="atLeast"/>
        </w:trPr>
        <w:tc>
          <w:tcPr>
            <w:tcW w:w="185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21002</w:t>
            </w:r>
          </w:p>
        </w:tc>
        <w:tc>
          <w:tcPr>
            <w:tcW w:w="509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公立医院</w:t>
            </w:r>
          </w:p>
        </w:tc>
        <w:tc>
          <w:tcPr>
            <w:tcW w:w="222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23.22</w:t>
            </w:r>
          </w:p>
        </w:tc>
        <w:tc>
          <w:tcPr>
            <w:tcW w:w="2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1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23.22</w:t>
            </w:r>
          </w:p>
        </w:tc>
      </w:tr>
      <w:tr>
        <w:trPr>
          <w:trHeight w:val="235" w:hRule="atLeast"/>
        </w:trPr>
        <w:tc>
          <w:tcPr>
            <w:tcW w:w="185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2100203</w:t>
            </w:r>
          </w:p>
        </w:tc>
        <w:tc>
          <w:tcPr>
            <w:tcW w:w="509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传染病医院</w:t>
            </w:r>
          </w:p>
        </w:tc>
        <w:tc>
          <w:tcPr>
            <w:tcW w:w="222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c>
          <w:tcPr>
            <w:tcW w:w="2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1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1.80</w:t>
            </w:r>
          </w:p>
        </w:tc>
      </w:tr>
      <w:tr>
        <w:trPr>
          <w:trHeight w:val="235" w:hRule="atLeast"/>
        </w:trPr>
        <w:tc>
          <w:tcPr>
            <w:tcW w:w="185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2100299</w:t>
            </w:r>
          </w:p>
        </w:tc>
        <w:tc>
          <w:tcPr>
            <w:tcW w:w="509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其他公立医院支出</w:t>
            </w:r>
          </w:p>
        </w:tc>
        <w:tc>
          <w:tcPr>
            <w:tcW w:w="222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21.42</w:t>
            </w:r>
          </w:p>
        </w:tc>
        <w:tc>
          <w:tcPr>
            <w:tcW w:w="2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1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21.42</w:t>
            </w:r>
          </w:p>
        </w:tc>
      </w:tr>
      <w:tr>
        <w:trPr>
          <w:trHeight w:val="235" w:hRule="atLeast"/>
        </w:trPr>
        <w:tc>
          <w:tcPr>
            <w:tcW w:w="185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w:t>
            </w:r>
          </w:p>
        </w:tc>
        <w:tc>
          <w:tcPr>
            <w:tcW w:w="509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公共卫生</w:t>
            </w:r>
          </w:p>
        </w:tc>
        <w:tc>
          <w:tcPr>
            <w:tcW w:w="222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1,591.65</w:t>
            </w:r>
          </w:p>
        </w:tc>
        <w:tc>
          <w:tcPr>
            <w:tcW w:w="21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313.40</w:t>
            </w:r>
          </w:p>
        </w:tc>
        <w:tc>
          <w:tcPr>
            <w:tcW w:w="21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1,278.25</w:t>
            </w:r>
          </w:p>
        </w:tc>
      </w:tr>
      <w:tr>
        <w:trPr>
          <w:trHeight w:val="235" w:hRule="atLeast"/>
        </w:trPr>
        <w:tc>
          <w:tcPr>
            <w:tcW w:w="185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2100401</w:t>
            </w:r>
          </w:p>
        </w:tc>
        <w:tc>
          <w:tcPr>
            <w:tcW w:w="509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疾病预防控制机构</w:t>
            </w:r>
          </w:p>
        </w:tc>
        <w:tc>
          <w:tcPr>
            <w:tcW w:w="222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1,530.32</w:t>
            </w:r>
          </w:p>
        </w:tc>
        <w:tc>
          <w:tcPr>
            <w:tcW w:w="21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313.40</w:t>
            </w:r>
          </w:p>
        </w:tc>
        <w:tc>
          <w:tcPr>
            <w:tcW w:w="21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1,216.92</w:t>
            </w:r>
          </w:p>
        </w:tc>
      </w:tr>
      <w:tr>
        <w:trPr>
          <w:trHeight w:val="235" w:hRule="atLeast"/>
        </w:trPr>
        <w:tc>
          <w:tcPr>
            <w:tcW w:w="185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2100409</w:t>
            </w:r>
          </w:p>
        </w:tc>
        <w:tc>
          <w:tcPr>
            <w:tcW w:w="509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重大公共卫生服务</w:t>
            </w:r>
          </w:p>
        </w:tc>
        <w:tc>
          <w:tcPr>
            <w:tcW w:w="222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61.33</w:t>
            </w:r>
          </w:p>
        </w:tc>
        <w:tc>
          <w:tcPr>
            <w:tcW w:w="210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16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61.33</w:t>
            </w:r>
          </w:p>
        </w:tc>
      </w:tr>
      <w:tr>
        <w:trPr>
          <w:trHeight w:val="235" w:hRule="atLeast"/>
        </w:trPr>
        <w:tc>
          <w:tcPr>
            <w:tcW w:w="185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509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222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3.78</w:t>
            </w:r>
          </w:p>
        </w:tc>
        <w:tc>
          <w:tcPr>
            <w:tcW w:w="21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3.78</w:t>
            </w:r>
          </w:p>
        </w:tc>
        <w:tc>
          <w:tcPr>
            <w:tcW w:w="2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85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2101102</w:t>
            </w:r>
          </w:p>
        </w:tc>
        <w:tc>
          <w:tcPr>
            <w:tcW w:w="509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事业单位医疗</w:t>
            </w:r>
          </w:p>
        </w:tc>
        <w:tc>
          <w:tcPr>
            <w:tcW w:w="2227"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3.78</w:t>
            </w:r>
          </w:p>
        </w:tc>
        <w:tc>
          <w:tcPr>
            <w:tcW w:w="210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3.78</w:t>
            </w:r>
          </w:p>
        </w:tc>
        <w:tc>
          <w:tcPr>
            <w:tcW w:w="216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3453" w:type="dxa"/>
            <w:gridSpan w:val="5"/>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503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516"/>
        <w:gridCol w:w="876"/>
        <w:gridCol w:w="766"/>
        <w:gridCol w:w="2416"/>
        <w:gridCol w:w="766"/>
        <w:gridCol w:w="766"/>
        <w:gridCol w:w="4396"/>
        <w:gridCol w:w="766"/>
      </w:tblGrid>
      <w:tr>
        <w:trPr>
          <w:trHeight w:val="420" w:hRule="atLeast"/>
        </w:trPr>
        <w:tc>
          <w:tcPr>
            <w:tcW w:w="15034"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一般公共预算财政拨款基本支出决算表</w:t>
            </w:r>
          </w:p>
        </w:tc>
      </w:tr>
      <w:tr>
        <w:trPr>
          <w:trHeight w:val="420" w:hRule="atLeast"/>
        </w:trPr>
        <w:tc>
          <w:tcPr>
            <w:tcW w:w="15034" w:type="dxa"/>
            <w:gridSpan w:val="9"/>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rPr>
          <w:trHeight w:val="420" w:hRule="atLeast"/>
        </w:trPr>
        <w:tc>
          <w:tcPr>
            <w:tcW w:w="8340"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：许昌市传染病医院</w:t>
            </w:r>
          </w:p>
        </w:tc>
        <w:tc>
          <w:tcPr>
            <w:tcW w:w="6694" w:type="dxa"/>
            <w:gridSpan w:val="4"/>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rPr>
          <w:trHeight w:val="420" w:hRule="atLeast"/>
        </w:trPr>
        <w:tc>
          <w:tcPr>
            <w:tcW w:w="515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9876"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rPr>
          <w:trHeight w:val="420" w:hRule="atLeast"/>
        </w:trPr>
        <w:tc>
          <w:tcPr>
            <w:tcW w:w="76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35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87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4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439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rPr>
          <w:trHeight w:val="420" w:hRule="atLeast"/>
        </w:trPr>
        <w:tc>
          <w:tcPr>
            <w:tcW w:w="76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7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39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296.07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22.80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136.64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52.60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10.50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44.01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0.19</w:t>
            </w: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22.09</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0.84</w:t>
            </w: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9.00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1.13</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0.43</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19.55</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38.94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38.94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3.79</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439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0.12</w:t>
            </w: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3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0.01</w:t>
            </w: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3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7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7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24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0.51</w:t>
            </w: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39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420" w:hRule="atLeast"/>
        </w:trPr>
        <w:tc>
          <w:tcPr>
            <w:tcW w:w="4282"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87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335.01</w:t>
            </w:r>
          </w:p>
        </w:tc>
        <w:tc>
          <w:tcPr>
            <w:tcW w:w="9110"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76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23.83</w:t>
            </w:r>
          </w:p>
        </w:tc>
      </w:tr>
      <w:tr>
        <w:trPr>
          <w:trHeight w:val="420" w:hRule="atLeast"/>
        </w:trPr>
        <w:tc>
          <w:tcPr>
            <w:tcW w:w="15034"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sectPr>
          <w:pgSz w:w="16838" w:h="11906" w:orient="landscape"/>
          <w:pgMar w:top="1800" w:right="1440" w:bottom="1800" w:left="1440" w:header="720" w:footer="720" w:gutter="0"/>
          <w:pgNumType w:fmt="numberInDash"/>
          <w:cols w:space="720" w:num="1"/>
          <w:docGrid w:type="lines" w:linePitch="312"/>
        </w:sectPr>
      </w:pPr>
    </w:p>
    <w:tbl>
      <w:tblPr>
        <w:tblW w:w="135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8"/>
        <w:gridCol w:w="1128"/>
        <w:gridCol w:w="1128"/>
        <w:gridCol w:w="1128"/>
        <w:gridCol w:w="1128"/>
        <w:gridCol w:w="1128"/>
        <w:gridCol w:w="1128"/>
        <w:gridCol w:w="1128"/>
        <w:gridCol w:w="1128"/>
        <w:gridCol w:w="1128"/>
        <w:gridCol w:w="1128"/>
        <w:gridCol w:w="1129"/>
      </w:tblGrid>
      <w:tr>
        <w:trPr>
          <w:trHeight w:val="564" w:hRule="atLeast"/>
        </w:trPr>
        <w:tc>
          <w:tcPr>
            <w:tcW w:w="13537"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rPr>
              <w:t>一般公共预算财政拨款“三公”经费支出决算表</w:t>
            </w:r>
          </w:p>
        </w:tc>
      </w:tr>
      <w:tr>
        <w:trPr>
          <w:trHeight w:val="264" w:hRule="atLeast"/>
        </w:trPr>
        <w:tc>
          <w:tcPr>
            <w:tcW w:w="13537" w:type="dxa"/>
            <w:gridSpan w:val="1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公开07表</w:t>
            </w:r>
          </w:p>
        </w:tc>
      </w:tr>
      <w:tr>
        <w:trPr>
          <w:trHeight w:val="264" w:hRule="atLeast"/>
        </w:trPr>
        <w:tc>
          <w:tcPr>
            <w:tcW w:w="6768" w:type="dxa"/>
            <w:gridSpan w:val="6"/>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：许昌市传染病医院</w:t>
            </w:r>
          </w:p>
        </w:tc>
        <w:tc>
          <w:tcPr>
            <w:tcW w:w="6769" w:type="dxa"/>
            <w:gridSpan w:val="6"/>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rPr>
          <w:trHeight w:val="235" w:hRule="atLeast"/>
        </w:trPr>
        <w:tc>
          <w:tcPr>
            <w:tcW w:w="6768"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6769"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rPr>
          <w:trHeight w:val="235" w:hRule="atLeast"/>
        </w:trPr>
        <w:tc>
          <w:tcPr>
            <w:tcW w:w="1128"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2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384"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12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112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2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384"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129"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rPr>
          <w:trHeight w:val="471" w:hRule="atLeast"/>
        </w:trPr>
        <w:tc>
          <w:tcPr>
            <w:tcW w:w="112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1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129"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235" w:hRule="atLeast"/>
        </w:trPr>
        <w:tc>
          <w:tcPr>
            <w:tcW w:w="1128"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2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12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rPr>
          <w:trHeight w:val="235" w:hRule="atLeast"/>
        </w:trPr>
        <w:tc>
          <w:tcPr>
            <w:tcW w:w="1128"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3.20</w:t>
            </w: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3.00</w:t>
            </w: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3.00</w:t>
            </w:r>
          </w:p>
        </w:tc>
        <w:tc>
          <w:tcPr>
            <w:tcW w:w="11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0.20</w:t>
            </w:r>
          </w:p>
        </w:tc>
        <w:tc>
          <w:tcPr>
            <w:tcW w:w="11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2.98</w:t>
            </w: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2.94</w:t>
            </w:r>
          </w:p>
        </w:tc>
        <w:tc>
          <w:tcPr>
            <w:tcW w:w="112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2.94</w:t>
            </w:r>
          </w:p>
        </w:tc>
        <w:tc>
          <w:tcPr>
            <w:tcW w:w="112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0.04</w:t>
            </w:r>
          </w:p>
        </w:tc>
      </w:tr>
      <w:tr>
        <w:trPr>
          <w:trHeight w:val="471" w:hRule="atLeast"/>
        </w:trPr>
        <w:tc>
          <w:tcPr>
            <w:tcW w:w="13537"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sectPr>
          <w:pgSz w:w="16838" w:h="11906" w:orient="landscape"/>
          <w:pgMar w:top="2098" w:right="1474" w:bottom="1984" w:left="1587" w:header="720" w:footer="720" w:gutter="0"/>
          <w:pgNumType w:fmt="numberInDash"/>
          <w:cols w:space="720" w:num="1"/>
          <w:docGrid w:type="lines" w:linePitch="312"/>
        </w:sectPr>
      </w:pPr>
    </w:p>
    <w:tbl>
      <w:tblPr>
        <w:tblW w:w="131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2052"/>
        <w:gridCol w:w="1666"/>
        <w:gridCol w:w="1666"/>
        <w:gridCol w:w="1666"/>
        <w:gridCol w:w="1666"/>
        <w:gridCol w:w="1666"/>
        <w:gridCol w:w="1665"/>
      </w:tblGrid>
      <w:tr>
        <w:trPr>
          <w:trHeight w:val="384" w:hRule="atLeast"/>
        </w:trPr>
        <w:tc>
          <w:tcPr>
            <w:tcW w:w="13196" w:type="dxa"/>
            <w:gridSpan w:val="8"/>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rPr>
          <w:trHeight w:val="264" w:hRule="atLeast"/>
        </w:trPr>
        <w:tc>
          <w:tcPr>
            <w:tcW w:w="13196" w:type="dxa"/>
            <w:gridSpan w:val="8"/>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公开08表</w:t>
            </w:r>
          </w:p>
        </w:tc>
      </w:tr>
      <w:tr>
        <w:trPr>
          <w:trHeight w:val="264" w:hRule="atLeast"/>
        </w:trPr>
        <w:tc>
          <w:tcPr>
            <w:tcW w:w="6533"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：许昌市传染病医院</w:t>
            </w:r>
          </w:p>
        </w:tc>
        <w:tc>
          <w:tcPr>
            <w:tcW w:w="6663" w:type="dxa"/>
            <w:gridSpan w:val="4"/>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rPr>
          <w:trHeight w:val="235" w:hRule="atLeast"/>
        </w:trPr>
        <w:tc>
          <w:tcPr>
            <w:tcW w:w="320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66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66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4998"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166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rPr>
          <w:trHeight w:val="235" w:hRule="atLeast"/>
        </w:trPr>
        <w:tc>
          <w:tcPr>
            <w:tcW w:w="1149"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205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66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6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6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6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6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235" w:hRule="atLeast"/>
        </w:trPr>
        <w:tc>
          <w:tcPr>
            <w:tcW w:w="1149"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5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6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6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235" w:hRule="atLeast"/>
        </w:trPr>
        <w:tc>
          <w:tcPr>
            <w:tcW w:w="1149"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5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6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6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rPr>
          <w:trHeight w:val="235" w:hRule="atLeast"/>
        </w:trPr>
        <w:tc>
          <w:tcPr>
            <w:tcW w:w="3201"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6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6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6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6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66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66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rPr>
          <w:trHeight w:val="235" w:hRule="atLeast"/>
        </w:trPr>
        <w:tc>
          <w:tcPr>
            <w:tcW w:w="3201"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6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rPr>
          <w:trHeight w:val="235" w:hRule="atLeast"/>
        </w:trPr>
        <w:tc>
          <w:tcPr>
            <w:tcW w:w="1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5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5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5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5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5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149"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052"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rPr>
          <w:trHeight w:val="235" w:hRule="atLeast"/>
        </w:trPr>
        <w:tc>
          <w:tcPr>
            <w:tcW w:w="13196"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本年度政府性基金预算财政拨款收入、支出及结转和结余情况。本表金额转换为万元时，因四舍五入可能存在尾差。</w:t>
            </w:r>
          </w:p>
        </w:tc>
      </w:tr>
    </w:tbl>
    <w:p>
      <w:pPr>
        <w:widowControl/>
        <w:spacing w:line="590" w:lineRule="exact"/>
        <w:jc w:val="left"/>
        <w:sectPr>
          <w:pgSz w:w="16838" w:h="11906" w:orient="landscape"/>
          <w:pgMar w:top="1800" w:right="1440" w:bottom="1800" w:left="1440" w:header="720" w:footer="720" w:gutter="0"/>
          <w:pgNumType w:fmt="numberInDash"/>
          <w:cols w:space="720" w:num="1"/>
          <w:docGrid w:type="lines" w:linePitch="312"/>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sectPr>
          <w:pgSz w:w="11906" w:h="16838"/>
          <w:pgMar w:top="1440" w:right="1800" w:bottom="1440" w:left="1800" w:header="720" w:footer="720" w:gutter="0"/>
          <w:pgNumType w:fmt="numberInDash"/>
          <w:cols w:space="720" w:num="1"/>
          <w:docGrid w:type="lines" w:linePitch="312"/>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sz w:val="32"/>
          <w:szCs w:val="24"/>
          <w:lang w:eastAsia="zh-CN"/>
        </w:rPr>
        <w:t>1</w:t>
      </w:r>
      <w:r>
        <w:rPr>
          <w:rFonts w:hint="eastAsia" w:ascii="仿宋_GB2312" w:hAnsi="仿宋_GB2312" w:eastAsia="仿宋_GB2312"/>
          <w:sz w:val="32"/>
          <w:szCs w:val="24"/>
        </w:rPr>
        <w:t>665.66</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sz w:val="32"/>
          <w:szCs w:val="24"/>
          <w:lang w:eastAsia="zh-CN"/>
        </w:rPr>
        <w:t>1</w:t>
      </w:r>
      <w:r>
        <w:rPr>
          <w:rFonts w:hint="eastAsia" w:ascii="仿宋_GB2312" w:hAnsi="仿宋_GB2312" w:eastAsia="仿宋_GB2312"/>
          <w:sz w:val="32"/>
          <w:szCs w:val="24"/>
        </w:rPr>
        <w:t>078.59</w:t>
      </w:r>
      <w:r>
        <w:rPr>
          <w:rFonts w:hint="eastAsia" w:ascii="仿宋_GB2312" w:hAnsi="仿宋_GB2312" w:eastAsia="仿宋_GB2312" w:cs="仿宋_GB2312"/>
          <w:sz w:val="32"/>
          <w:szCs w:val="32"/>
          <w:highlight w:val="none"/>
        </w:rPr>
        <w:t>万元，增长</w:t>
      </w:r>
      <w:r>
        <w:rPr>
          <w:rFonts w:hint="eastAsia" w:ascii="仿宋_GB2312" w:hAnsi="仿宋_GB2312" w:eastAsia="仿宋_GB2312"/>
          <w:sz w:val="32"/>
          <w:szCs w:val="24"/>
        </w:rPr>
        <w:t>183.73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2021年度收到拨付新冠肺炎疫情应急借款本息1205.04万元</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jc w:val="left"/>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sz w:val="32"/>
          <w:szCs w:val="24"/>
          <w:lang w:val="en-US" w:eastAsia="zh-CN"/>
        </w:rPr>
        <w:t>1</w:t>
      </w:r>
      <w:r>
        <w:rPr>
          <w:rFonts w:hint="eastAsia" w:ascii="仿宋_GB2312" w:hAnsi="仿宋_GB2312" w:eastAsia="仿宋_GB2312"/>
          <w:sz w:val="32"/>
          <w:szCs w:val="24"/>
          <w:lang w:val="en-US"/>
        </w:rPr>
        <w:t>568.62</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sz w:val="32"/>
          <w:szCs w:val="24"/>
          <w:lang w:val="en-US" w:eastAsia="zh-CN"/>
        </w:rPr>
        <w:t>1</w:t>
      </w:r>
      <w:r>
        <w:rPr>
          <w:rFonts w:hint="eastAsia" w:ascii="仿宋_GB2312" w:hAnsi="仿宋_GB2312" w:eastAsia="仿宋_GB2312"/>
          <w:sz w:val="32"/>
          <w:szCs w:val="24"/>
          <w:lang w:val="en-US"/>
        </w:rPr>
        <w:t>568.62</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sz w:val="32"/>
          <w:szCs w:val="24"/>
          <w:lang w:val="en-US" w:eastAsia="zh-CN"/>
        </w:rPr>
        <w:t>1</w:t>
      </w:r>
      <w:r>
        <w:rPr>
          <w:rFonts w:hint="eastAsia" w:ascii="仿宋_GB2312" w:hAnsi="仿宋_GB2312" w:eastAsia="仿宋_GB2312"/>
          <w:sz w:val="32"/>
          <w:szCs w:val="24"/>
          <w:lang w:val="en-US"/>
        </w:rPr>
        <w:t>663.09</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sz w:val="32"/>
          <w:szCs w:val="24"/>
          <w:lang w:val="en-US"/>
        </w:rPr>
        <w:t>358.85</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21.58</w:t>
      </w:r>
      <w:r>
        <w:rPr>
          <w:rFonts w:hint="eastAsia" w:ascii="仿宋_GB2312" w:hAnsi="仿宋_GB2312" w:eastAsia="仿宋_GB2312" w:cs="仿宋_GB2312"/>
          <w:sz w:val="32"/>
          <w:szCs w:val="32"/>
          <w:highlight w:val="none"/>
        </w:rPr>
        <w:t>%；项目支出</w:t>
      </w:r>
      <w:r>
        <w:rPr>
          <w:rFonts w:hint="eastAsia" w:ascii="仿宋_GB2312" w:hAnsi="仿宋_GB2312" w:eastAsia="仿宋_GB2312"/>
          <w:sz w:val="32"/>
          <w:szCs w:val="24"/>
          <w:lang w:val="en-US" w:eastAsia="zh-CN"/>
        </w:rPr>
        <w:t>1</w:t>
      </w:r>
      <w:r>
        <w:rPr>
          <w:rFonts w:hint="eastAsia" w:ascii="仿宋_GB2312" w:hAnsi="仿宋_GB2312" w:eastAsia="仿宋_GB2312"/>
          <w:sz w:val="32"/>
          <w:szCs w:val="24"/>
          <w:lang w:val="en-US"/>
        </w:rPr>
        <w:t>304.24</w:t>
      </w:r>
      <w:r>
        <w:rPr>
          <w:rFonts w:hint="eastAsia" w:ascii="仿宋_GB2312" w:hAnsi="仿宋_GB2312" w:eastAsia="仿宋_GB2312" w:cs="仿宋_GB2312"/>
          <w:sz w:val="32"/>
          <w:szCs w:val="32"/>
          <w:highlight w:val="none"/>
        </w:rPr>
        <w:t>万元，占</w:t>
      </w:r>
      <w:r>
        <w:rPr>
          <w:rFonts w:hint="eastAsia" w:ascii="仿宋_GB2312" w:hAnsi="仿宋_GB2312" w:eastAsia="仿宋_GB2312"/>
          <w:sz w:val="32"/>
          <w:szCs w:val="24"/>
          <w:lang w:val="en-US"/>
        </w:rPr>
        <w:t>78.42</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sz w:val="32"/>
          <w:szCs w:val="24"/>
          <w:lang w:val="en-US" w:eastAsia="zh-CN"/>
        </w:rPr>
        <w:t>1</w:t>
      </w:r>
      <w:r>
        <w:rPr>
          <w:rFonts w:hint="eastAsia" w:ascii="仿宋_GB2312" w:hAnsi="仿宋_GB2312" w:eastAsia="仿宋_GB2312"/>
          <w:sz w:val="32"/>
          <w:szCs w:val="24"/>
          <w:lang w:val="en-US"/>
        </w:rPr>
        <w:t>660.31</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sz w:val="32"/>
          <w:szCs w:val="24"/>
          <w:lang w:val="en-US" w:eastAsia="zh-CN"/>
        </w:rPr>
        <w:t>1</w:t>
      </w:r>
      <w:r>
        <w:rPr>
          <w:rFonts w:hint="eastAsia" w:ascii="仿宋_GB2312" w:hAnsi="仿宋_GB2312" w:eastAsia="仿宋_GB2312"/>
          <w:sz w:val="32"/>
          <w:szCs w:val="24"/>
          <w:lang w:val="en-US"/>
        </w:rPr>
        <w:t>095.25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sz w:val="32"/>
          <w:szCs w:val="24"/>
          <w:lang w:val="en-US"/>
        </w:rPr>
        <w:t>193.83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2021年度收到拨付新冠肺炎疫情应急借款本息1205.04万元</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eastAsia="zh-CN"/>
        </w:rPr>
        <w:t>1</w:t>
      </w:r>
      <w:r>
        <w:rPr>
          <w:rFonts w:hint="eastAsia" w:ascii="仿宋_GB2312" w:hAnsi="仿宋_GB2312" w:eastAsia="仿宋_GB2312"/>
          <w:sz w:val="32"/>
          <w:szCs w:val="24"/>
          <w:lang w:val="en-US"/>
        </w:rPr>
        <w:t>660.31</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sz w:val="32"/>
          <w:szCs w:val="24"/>
          <w:lang w:val="en-US"/>
        </w:rPr>
        <w:t>99.83</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sz w:val="32"/>
          <w:szCs w:val="24"/>
          <w:lang w:val="en-US" w:eastAsia="zh-CN"/>
        </w:rPr>
        <w:t>1</w:t>
      </w:r>
      <w:r>
        <w:rPr>
          <w:rFonts w:hint="eastAsia" w:ascii="仿宋_GB2312" w:hAnsi="仿宋_GB2312" w:eastAsia="仿宋_GB2312"/>
          <w:sz w:val="32"/>
          <w:szCs w:val="24"/>
          <w:lang w:val="en-US"/>
        </w:rPr>
        <w:t>195.83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sz w:val="32"/>
          <w:szCs w:val="24"/>
          <w:lang w:val="en-US"/>
        </w:rPr>
        <w:t>257.46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2021年度收到拨付新冠肺炎疫情应急借款本息1205.04万元</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sz w:val="32"/>
          <w:szCs w:val="24"/>
          <w:lang w:val="en-US" w:eastAsia="zh-CN"/>
        </w:rPr>
        <w:t>1</w:t>
      </w:r>
      <w:r>
        <w:rPr>
          <w:rFonts w:hint="eastAsia" w:ascii="仿宋_GB2312" w:hAnsi="仿宋_GB2312" w:eastAsia="仿宋_GB2312"/>
          <w:sz w:val="32"/>
          <w:szCs w:val="24"/>
          <w:lang w:val="en-US"/>
        </w:rPr>
        <w:t>660.31</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占0.12%；社会保障和就业（类）支出39.67万元，占2.39%；卫生健康（类）支出1618.64万元，占97.49%</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rPr>
        <w:t>353.74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eastAsia="zh-CN"/>
        </w:rPr>
        <w:t>1</w:t>
      </w:r>
      <w:r>
        <w:rPr>
          <w:rFonts w:hint="eastAsia" w:ascii="仿宋_GB2312" w:hAnsi="仿宋_GB2312" w:eastAsia="仿宋_GB2312"/>
          <w:sz w:val="32"/>
          <w:szCs w:val="24"/>
          <w:lang w:val="en-US"/>
        </w:rPr>
        <w:t>660.31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sz w:val="32"/>
          <w:szCs w:val="24"/>
          <w:lang w:val="en-US"/>
        </w:rPr>
        <w:t>469.36</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社会保障和就业支出（类）行政事业单位养老支出（款）事业单位离退休（项）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29.43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29.43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年初预算为23.07万元，支出决算为10.23万元，完成年初预算的44.34%。决算数与年初预算数存在差异的主要原因是2021年度在职人员退休3人以及使用2020年结转结余资金。</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4．卫生健康支出（类）公立医院（款）传染病医院（项）。</w:t>
      </w:r>
      <w:r>
        <w:rPr>
          <w:rFonts w:hint="eastAsia" w:ascii="仿宋_GB2312" w:hAnsi="仿宋_GB2312" w:eastAsia="仿宋_GB2312" w:cs="仿宋_GB2312"/>
          <w:color w:val="auto"/>
          <w:sz w:val="32"/>
          <w:szCs w:val="32"/>
          <w:highlight w:val="none"/>
          <w:lang w:val="en-US" w:eastAsia="zh-CN"/>
        </w:rPr>
        <w:t>年初预算为0.00万元，支出决算为1.80万元。决算数与年初预算数存在差异的主要原因是公立医院改革药品零差率补助资金由单位依据上年药品收入的一定比例向相关科室申请资金，故年初未编制预算数。</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5．卫生健康支出（类）公立医院（款）其他公立医院支出（项）。</w:t>
      </w:r>
      <w:r>
        <w:rPr>
          <w:rFonts w:hint="eastAsia" w:ascii="仿宋_GB2312" w:hAnsi="仿宋_GB2312" w:eastAsia="仿宋_GB2312" w:cs="仿宋_GB2312"/>
          <w:color w:val="auto"/>
          <w:sz w:val="32"/>
          <w:szCs w:val="32"/>
          <w:highlight w:val="none"/>
          <w:lang w:val="en-US" w:eastAsia="zh-CN"/>
        </w:rPr>
        <w:t>年初预算为0.00万元，支出决算为21.42万元。决算数与年初预算数存在差异的主要原因是公立医院改革资金是上级转移支付资金，年初未编制预算数。</w:t>
      </w:r>
      <w:r>
        <w:rPr>
          <w:rFonts w:hint="eastAsia" w:ascii="仿宋_GB2312" w:hAnsi="宋体" w:eastAsia="仿宋_GB2312" w:cs="Courier New"/>
          <w:sz w:val="32"/>
          <w:szCs w:val="32"/>
          <w:highlight w:val="none"/>
        </w:rPr>
        <w:t>年度预算仅含本级财政拨款，未包含此项</w:t>
      </w:r>
      <w:r>
        <w:rPr>
          <w:rFonts w:hint="eastAsia" w:ascii="仿宋_GB2312" w:hAnsi="宋体" w:eastAsia="仿宋_GB2312" w:cs="Courier New"/>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6．卫生健康支出（类）公共卫生（款）疾病预防控制机构（项）。</w:t>
      </w:r>
      <w:r>
        <w:rPr>
          <w:rFonts w:hint="eastAsia" w:ascii="仿宋_GB2312" w:hAnsi="仿宋_GB2312" w:eastAsia="仿宋_GB2312" w:cs="仿宋_GB2312"/>
          <w:color w:val="auto"/>
          <w:sz w:val="32"/>
          <w:szCs w:val="32"/>
          <w:highlight w:val="none"/>
          <w:lang w:val="en-US" w:eastAsia="zh-CN"/>
        </w:rPr>
        <w:t>年初预算为288.33万元，支出决算为1530.32万元，完成年初预算的530.75%。决算数与年初预算数存在差异的主要原因</w:t>
      </w:r>
      <w:r>
        <w:rPr>
          <w:rFonts w:hint="eastAsia" w:ascii="仿宋_GB2312" w:hAnsi="仿宋_GB2312" w:eastAsia="仿宋_GB2312" w:cs="仿宋_GB2312"/>
          <w:sz w:val="32"/>
          <w:szCs w:val="32"/>
          <w:highlight w:val="none"/>
          <w:lang w:val="en-US" w:eastAsia="zh-CN"/>
        </w:rPr>
        <w:t>2021年度收到拨付新冠肺炎疫情应急借款本息1205.04万元</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宋体" w:eastAsia="仿宋_GB2312" w:cs="Courier New"/>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7．卫生健康支出（类）公共卫生（款）重大公共卫生专项（项）。</w:t>
      </w:r>
      <w:r>
        <w:rPr>
          <w:rFonts w:hint="eastAsia" w:ascii="仿宋_GB2312" w:hAnsi="仿宋_GB2312" w:eastAsia="仿宋_GB2312" w:cs="仿宋_GB2312"/>
          <w:color w:val="auto"/>
          <w:sz w:val="32"/>
          <w:szCs w:val="32"/>
          <w:highlight w:val="none"/>
          <w:lang w:val="en-US" w:eastAsia="zh-CN"/>
        </w:rPr>
        <w:t>年初预算为0.00万元，支出决算为61.33万元。决算数与年初预算数存在差异的主要原因是省级重大公共卫生支出的增加与重大公共卫生中央补助资金的增加。</w:t>
      </w:r>
      <w:r>
        <w:rPr>
          <w:rFonts w:hint="eastAsia" w:ascii="仿宋_GB2312" w:hAnsi="宋体" w:eastAsia="仿宋_GB2312" w:cs="Courier New"/>
          <w:sz w:val="32"/>
          <w:szCs w:val="32"/>
          <w:highlight w:val="none"/>
        </w:rPr>
        <w:t>年度预算仅含本级财政拨款，未包含此项</w:t>
      </w:r>
      <w:r>
        <w:rPr>
          <w:rFonts w:hint="eastAsia" w:ascii="仿宋_GB2312" w:hAnsi="宋体" w:eastAsia="仿宋_GB2312" w:cs="Courier New"/>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b/>
          <w:bCs/>
          <w:color w:val="auto"/>
          <w:sz w:val="32"/>
          <w:szCs w:val="32"/>
          <w:highlight w:val="none"/>
          <w:lang w:val="en-US" w:eastAsia="zh-CN"/>
        </w:rPr>
        <w:t>8．卫生健康支出（类）行政事业单位医疗（款）事业单位医疗（项）。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年初预算为10.91万元，支出决算为3.78万元，完成年初预算的34.65%。决算数与年初预算数存在差异的主要原因是2021年度在职人员退休3人以及使用2020年结转结余资金。</w:t>
      </w:r>
    </w:p>
    <w:p>
      <w:pPr>
        <w:widowControl/>
        <w:spacing w:line="59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sz w:val="32"/>
          <w:szCs w:val="24"/>
          <w:lang w:val="en-US"/>
        </w:rPr>
        <w:t>358.8</w:t>
      </w:r>
      <w:r>
        <w:rPr>
          <w:rFonts w:hint="eastAsia" w:ascii="仿宋_GB2312" w:hAnsi="仿宋_GB2312" w:eastAsia="仿宋_GB2312"/>
          <w:sz w:val="32"/>
          <w:szCs w:val="24"/>
          <w:lang w:val="en-US" w:eastAsia="zh-CN"/>
        </w:rPr>
        <w:t>4</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sz w:val="32"/>
          <w:szCs w:val="24"/>
          <w:lang w:val="en-US"/>
        </w:rPr>
        <w:t>335.01</w:t>
      </w:r>
      <w:r>
        <w:rPr>
          <w:rFonts w:hint="eastAsia" w:ascii="仿宋_GB2312" w:hAnsi="仿宋_GB2312" w:eastAsia="仿宋_GB2312" w:cs="仿宋_GB2312"/>
          <w:sz w:val="32"/>
          <w:szCs w:val="32"/>
          <w:highlight w:val="none"/>
        </w:rPr>
        <w:t>万元，主要包括：基本工资、津贴补贴、绩效工资、机关事业单位基本养老保险缴费、其他社会保障缴费、其他工资福利支出、退休费、住房公积金；公用经费</w:t>
      </w:r>
      <w:r>
        <w:rPr>
          <w:rFonts w:hint="eastAsia" w:ascii="仿宋_GB2312" w:hAnsi="仿宋_GB2312" w:eastAsia="仿宋_GB2312"/>
          <w:sz w:val="32"/>
          <w:szCs w:val="24"/>
          <w:lang w:val="en-US"/>
        </w:rPr>
        <w:t>23.83</w:t>
      </w:r>
      <w:r>
        <w:rPr>
          <w:rFonts w:hint="eastAsia" w:ascii="仿宋_GB2312" w:hAnsi="仿宋_GB2312" w:eastAsia="仿宋_GB2312" w:cs="仿宋_GB2312"/>
          <w:sz w:val="32"/>
          <w:szCs w:val="32"/>
          <w:highlight w:val="none"/>
        </w:rPr>
        <w:t>万元，主要包括：办公费、水费、电费、邮电费、差旅费、维修（护）费、公务接待费、工会经费、福利费、公务用车运行维护费、其他交通费用、税金及附加费用、其他商品和服务支出、办公设备购置、专用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sz w:val="32"/>
          <w:szCs w:val="24"/>
          <w:lang w:val="en-US"/>
        </w:rPr>
        <w:t>3.2</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2.98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lang w:val="en-US" w:eastAsia="zh-CN"/>
        </w:rPr>
        <w:t>93.13</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年度“三公”经费支出决算数与预算数存在差异的主要原因是贯彻落实上级过紧日子要求，厉行节约，压减支出</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sz w:val="32"/>
          <w:szCs w:val="24"/>
          <w:lang w:val="en-US"/>
        </w:rPr>
        <w:t>2.94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lang w:val="en-US"/>
        </w:rPr>
        <w:t>98.0</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%，占</w:t>
      </w:r>
      <w:r>
        <w:rPr>
          <w:rFonts w:hint="eastAsia" w:ascii="仿宋_GB2312" w:hAnsi="仿宋_GB2312" w:eastAsia="仿宋_GB2312"/>
          <w:sz w:val="32"/>
          <w:szCs w:val="24"/>
          <w:lang w:val="en-US"/>
        </w:rPr>
        <w:t>98.</w:t>
      </w:r>
      <w:r>
        <w:rPr>
          <w:rFonts w:hint="eastAsia" w:ascii="仿宋_GB2312" w:hAnsi="仿宋_GB2312" w:eastAsia="仿宋_GB2312"/>
          <w:sz w:val="32"/>
          <w:szCs w:val="24"/>
          <w:lang w:val="en-US" w:eastAsia="zh-CN"/>
        </w:rPr>
        <w:t>66</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sz w:val="32"/>
          <w:szCs w:val="24"/>
          <w:lang w:val="en-US"/>
        </w:rPr>
        <w:t>0.04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lang w:val="en-US" w:eastAsia="zh-CN"/>
        </w:rPr>
        <w:t>20.00</w:t>
      </w:r>
      <w:r>
        <w:rPr>
          <w:rFonts w:hint="eastAsia" w:ascii="仿宋_GB2312" w:hAnsi="仿宋_GB2312" w:eastAsia="仿宋_GB2312" w:cs="仿宋_GB2312"/>
          <w:sz w:val="32"/>
          <w:szCs w:val="32"/>
          <w:highlight w:val="none"/>
        </w:rPr>
        <w:t>%，占</w:t>
      </w:r>
      <w:r>
        <w:rPr>
          <w:rFonts w:hint="eastAsia" w:ascii="仿宋_GB2312" w:hAnsi="仿宋_GB2312" w:eastAsia="仿宋_GB2312"/>
          <w:sz w:val="32"/>
          <w:szCs w:val="24"/>
          <w:lang w:val="en-US"/>
        </w:rPr>
        <w:t>1.</w:t>
      </w:r>
      <w:r>
        <w:rPr>
          <w:rFonts w:hint="eastAsia" w:ascii="仿宋_GB2312" w:hAnsi="仿宋_GB2312" w:eastAsia="仿宋_GB2312"/>
          <w:sz w:val="32"/>
          <w:szCs w:val="24"/>
          <w:lang w:val="en-US" w:eastAsia="zh-CN"/>
        </w:rPr>
        <w:t>34</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default" w:ascii="Times New Roman" w:hAnsi="Times New Roman" w:eastAsia="Times New Roman"/>
          <w:kern w:val="0"/>
          <w:sz w:val="18"/>
          <w:szCs w:val="24"/>
          <w:lang w:val="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rPr>
        <w:t>0</w:t>
      </w:r>
      <w:r>
        <w:rPr>
          <w:rFonts w:hint="eastAsia" w:ascii="仿宋_GB2312" w:hAnsi="仿宋_GB2312" w:eastAsia="仿宋_GB2312"/>
          <w:sz w:val="32"/>
          <w:szCs w:val="24"/>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sz w:val="32"/>
          <w:szCs w:val="24"/>
          <w:lang w:val="en-US"/>
        </w:rPr>
        <w:t>因公出国（境）团组数0个，</w:t>
      </w:r>
      <w:r>
        <w:rPr>
          <w:rFonts w:hint="eastAsia" w:ascii="仿宋_GB2312" w:hAnsi="仿宋_GB2312" w:eastAsia="仿宋_GB2312"/>
          <w:sz w:val="32"/>
          <w:szCs w:val="24"/>
          <w:lang w:val="en-US" w:eastAsia="zh-CN"/>
        </w:rPr>
        <w:t>累计</w:t>
      </w:r>
      <w:r>
        <w:rPr>
          <w:rFonts w:hint="eastAsia" w:ascii="仿宋_GB2312" w:hAnsi="仿宋_GB2312" w:eastAsia="仿宋_GB2312"/>
          <w:sz w:val="32"/>
          <w:szCs w:val="24"/>
          <w:lang w:val="en-US"/>
        </w:rPr>
        <w:t>0人</w:t>
      </w:r>
      <w:r>
        <w:rPr>
          <w:rFonts w:hint="eastAsia" w:ascii="仿宋_GB2312" w:hAnsi="仿宋_GB2312" w:eastAsia="仿宋_GB2312"/>
          <w:sz w:val="32"/>
          <w:szCs w:val="24"/>
          <w:lang w:val="en-US" w:eastAsia="zh-CN"/>
        </w:rPr>
        <w:t>次</w:t>
      </w:r>
      <w:r>
        <w:rPr>
          <w:rFonts w:hint="eastAsia" w:ascii="仿宋_GB2312" w:hAnsi="仿宋_GB2312" w:eastAsia="仿宋_GB2312"/>
          <w:sz w:val="32"/>
          <w:szCs w:val="24"/>
          <w:lang w:val="en-US"/>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rPr>
        <w:t>3</w:t>
      </w:r>
      <w:r>
        <w:rPr>
          <w:rFonts w:hint="eastAsia" w:ascii="仿宋_GB2312" w:hAnsi="仿宋_GB2312" w:eastAsia="仿宋_GB2312"/>
          <w:sz w:val="32"/>
          <w:szCs w:val="24"/>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2.94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lang w:val="en-US"/>
        </w:rPr>
        <w:t>98.0</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%。决算数与预算数存在差异的主要原因是贯彻落实上级过紧日子要求，厉行节约，压减支出</w:t>
      </w:r>
      <w:r>
        <w:rPr>
          <w:rFonts w:hint="eastAsia" w:ascii="仿宋_GB2312" w:hAnsi="仿宋_GB2312" w:eastAsia="仿宋_GB2312" w:cs="仿宋_GB2312"/>
          <w:sz w:val="32"/>
          <w:szCs w:val="32"/>
          <w:highlight w:val="none"/>
          <w:lang w:eastAsia="zh-CN"/>
        </w:rPr>
        <w:t>，减少公车使用次数</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sz w:val="32"/>
          <w:szCs w:val="24"/>
          <w:lang w:val="en-US"/>
        </w:rPr>
        <w:t>2.94</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公务用车运行支出，即燃料费、维修费、过路过桥费、保险费等支出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3辆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sz w:val="32"/>
          <w:szCs w:val="24"/>
          <w:lang w:val="en-US"/>
        </w:rPr>
        <w:t>0.2</w:t>
      </w:r>
      <w:r>
        <w:rPr>
          <w:rFonts w:hint="eastAsia" w:ascii="仿宋_GB2312" w:hAnsi="仿宋_GB2312" w:eastAsia="仿宋_GB2312"/>
          <w:sz w:val="32"/>
          <w:szCs w:val="24"/>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sz w:val="32"/>
          <w:szCs w:val="24"/>
          <w:lang w:val="en-US"/>
        </w:rPr>
        <w:t>0.04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sz w:val="32"/>
          <w:szCs w:val="24"/>
          <w:lang w:val="en-US" w:eastAsia="zh-CN"/>
        </w:rPr>
        <w:t>20.00</w:t>
      </w:r>
      <w:r>
        <w:rPr>
          <w:rFonts w:hint="eastAsia" w:ascii="仿宋_GB2312" w:hAnsi="仿宋_GB2312" w:eastAsia="仿宋_GB2312" w:cs="仿宋_GB2312"/>
          <w:sz w:val="32"/>
          <w:szCs w:val="32"/>
          <w:highlight w:val="none"/>
        </w:rPr>
        <w:t>%。决算数与预算数存在差异的主要原因是贯彻落实上级过紧日子要求，厉行节约，压减支出</w:t>
      </w:r>
      <w:r>
        <w:rPr>
          <w:rFonts w:hint="eastAsia" w:ascii="仿宋_GB2312" w:hAnsi="仿宋_GB2312" w:eastAsia="仿宋_GB2312" w:cs="仿宋_GB2312"/>
          <w:sz w:val="32"/>
          <w:szCs w:val="32"/>
          <w:highlight w:val="none"/>
          <w:lang w:eastAsia="zh-CN"/>
        </w:rPr>
        <w:t>，公务接待减少</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主要</w:t>
      </w:r>
      <w:r>
        <w:rPr>
          <w:rFonts w:hint="eastAsia" w:ascii="仿宋_GB2312" w:hAnsi="仿宋_GB2312" w:eastAsia="仿宋_GB2312" w:cs="仿宋_GB2312"/>
          <w:color w:val="auto"/>
          <w:sz w:val="32"/>
          <w:szCs w:val="32"/>
          <w:highlight w:val="none"/>
          <w:lang w:val="en-US" w:eastAsia="zh-CN"/>
        </w:rPr>
        <w:t>用于河南省疾病预防控制中心开展结核病防治数据质量核查评估，督导医院工作的公务招待支出。</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val="0"/>
        <w:wordWrap/>
        <w:adjustRightInd/>
        <w:snapToGrid/>
        <w:spacing w:before="0" w:beforeAutospacing="0" w:after="0" w:afterAutospacing="0"/>
        <w:ind w:right="0" w:firstLine="640" w:firstLineChars="200"/>
        <w:jc w:val="both"/>
        <w:textAlignment w:val="auto"/>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。不存在项目年末结转和结余资金数额较大。情况说明：我部门2021年度没有政府性基金收入，也没有使用政府性基金安排的支出。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sz w:val="32"/>
          <w:szCs w:val="24"/>
          <w:lang w:val="en-US"/>
        </w:rPr>
        <w:t>3</w:t>
      </w:r>
      <w:r>
        <w:rPr>
          <w:rFonts w:hint="eastAsia" w:ascii="仿宋_GB2312" w:hAnsi="仿宋_GB2312" w:eastAsia="仿宋_GB2312" w:cs="仿宋_GB2312"/>
          <w:sz w:val="32"/>
          <w:szCs w:val="32"/>
          <w:highlight w:val="none"/>
        </w:rPr>
        <w:t>辆，其中：</w:t>
      </w:r>
      <w:r>
        <w:rPr>
          <w:rFonts w:hint="eastAsia" w:ascii="仿宋_GB2312" w:hAnsi="仿宋_GB2312" w:eastAsia="仿宋_GB2312"/>
          <w:sz w:val="32"/>
          <w:szCs w:val="24"/>
          <w:lang w:val="en-US"/>
        </w:rPr>
        <w:t>省级领导干部用车0辆、主要领导干部用车0辆、机要通信用车0辆、应急保障车0辆、执法执勤用车0辆、特种专业技术用车2辆、离退休干部用车0辆、其他用车1辆；单位价值50万元以上通用设备0台（套），单位价值100万元以上专用设备0台（套）</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1663.09万元，其中：基本支出358.85万元；支出项目8个，支出金额1304.24万元。开展项目绩效自评项目8个，自评金额1304.24万元；纳入重点绩效评价0个，评价金额0.00万元。</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我单位从以下几方面组织开展绩效管理1、</w:t>
      </w:r>
      <w:r>
        <w:rPr>
          <w:rFonts w:hint="eastAsia" w:ascii="仿宋_GB2312" w:hAnsi="仿宋_GB2312" w:eastAsia="仿宋_GB2312" w:cs="仿宋_GB2312"/>
          <w:color w:val="auto"/>
          <w:sz w:val="32"/>
          <w:szCs w:val="32"/>
          <w:highlight w:val="none"/>
          <w:lang w:val="zh-CN" w:eastAsia="zh-CN"/>
        </w:rPr>
        <w:t>建立健全工作机制。为了顺利推进预算绩效管理工作实施，本单位内部建立了相应的工作机制和操作规程，牵头组织项目绩效考评工作，下达项目绩效考评通知，跟踪了解项目绩效考评工作实施情况，做好项目绩效考评经验总结及交流宣传工作，探索绩效考评结果公示及应用机制，做好相关科室间的协调工作，相关科室具体负责本科室实施项目的绩效考评工作，配合制定考评指标，搜集考评基础信息</w:t>
      </w:r>
      <w:r>
        <w:rPr>
          <w:rFonts w:hint="eastAsia" w:ascii="仿宋_GB2312" w:hAnsi="MS Gothic" w:eastAsia="仿宋_GB2312" w:cs="仿宋_GB2312"/>
          <w:sz w:val="32"/>
          <w:szCs w:val="28"/>
          <w:lang w:eastAsia="zh-CN"/>
        </w:rPr>
        <w:t>。</w:t>
      </w:r>
      <w:r>
        <w:rPr>
          <w:rFonts w:hint="eastAsia" w:ascii="仿宋_GB2312" w:hAnsi="仿宋_GB2312" w:eastAsia="仿宋_GB2312" w:cs="仿宋_GB2312"/>
          <w:color w:val="auto"/>
          <w:sz w:val="32"/>
          <w:szCs w:val="32"/>
          <w:highlight w:val="none"/>
          <w:lang w:val="en-US" w:eastAsia="zh-CN"/>
        </w:rPr>
        <w:t>2、加强完善制度建设。我单位结合当年预算绩效管理目标任务，从预算源头抓起，进一步落实，不论项目涉及资金多少，都要求立项依据充分、进一步强化单位绩效意识和支出责任。</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单位对本单位整体绩效目标和项目支出绩效目标进行了自评。一是单位整体绩效自评情况各项资金全部纳入绩效自评，单位整体绩效情况良好，我单位总结本年度绩效中的经验和不足，对照绩效评价发现问题进行整改，不断提高我单位项目和预算管理水平，提升财政资金使用效益。二是项目绩效自评情况。我单位共有8个项目批复了绩效目标。</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97.00分。其中：8个项目评价等级为“优”、0个项目评价等级为“良”、0个项目评价等级为“中”、0个项目评价等级为“差”。</w:t>
      </w:r>
    </w:p>
    <w:p>
      <w:pPr>
        <w:widowControl/>
        <w:wordWrap/>
        <w:adjustRightInd/>
        <w:snapToGrid/>
        <w:spacing w:line="360" w:lineRule="auto"/>
        <w:ind w:left="0" w:leftChars="0" w:right="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sectPr>
          <w:pgSz w:w="11906" w:h="16838"/>
          <w:pgMar w:top="1440" w:right="1531" w:bottom="1440" w:left="1587" w:header="850" w:footer="992" w:gutter="0"/>
          <w:pgNumType w:fmt="numberInDash"/>
          <w:cols w:space="720" w:num="1"/>
          <w:docGrid w:type="lines" w:linePitch="317"/>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altName w:val="Segoe U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Gothic">
    <w:altName w:val="Times New Roman"/>
    <w:panose1 w:val="020B0609070205080204"/>
    <w:charset w:val="80"/>
    <w:family w:val="auto"/>
    <w:pitch w:val="default"/>
    <w:sig w:usb0="A00002BF" w:usb1="68C7FCFB" w:usb2="00000010" w:usb3="00000000" w:csb0="4002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rect id="文本框 6"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rect id="文本框 7" o:spid="_x0000_s1027"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
    <w:nsid w:val="00000002"/>
    <w:multiLevelType w:val="singleLevel"/>
    <w:tmpl w:val="00000002"/>
    <w:lvl w:ilvl="0" w:tentative="1">
      <w:start w:val="1"/>
      <w:numFmt w:val="chineseCounting"/>
      <w:suff w:val="nothing"/>
      <w:lvlText w:val="%1、"/>
      <w:lvlJc w:val="left"/>
    </w:lvl>
  </w:abstractNum>
  <w:num w:numId="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tyle>
  <w:style w:type="paragraph" w:styleId="2">
    <w:name w:val="footer"/>
    <w:basedOn w:val="1"/>
    <w:link w:val="3"/>
    <w:pPr>
      <w:tabs>
        <w:tab w:val="center" w:pos="4153"/>
        <w:tab w:val="right" w:pos="8306"/>
      </w:tabs>
      <w:snapToGrid w:val="0"/>
      <w:jc w:val="left"/>
    </w:pPr>
    <w:rPr>
      <w:kern w:val="2"/>
      <w:sz w:val="18"/>
      <w:szCs w:val="18"/>
    </w:rPr>
  </w:style>
  <w:style w:type="character" w:customStyle="1" w:styleId="3">
    <w:name w:val="页脚 Char"/>
    <w:link w:val="2"/>
    <w:semiHidden/>
    <w:rPr>
      <w:kern w:val="2"/>
      <w:sz w:val="18"/>
      <w:szCs w:val="18"/>
    </w:rPr>
  </w:style>
  <w:style w:type="paragraph" w:styleId="4">
    <w:name w:val="header"/>
    <w:basedOn w:val="1"/>
    <w:link w:val="5"/>
    <w:pPr>
      <w:pBdr>
        <w:bottom w:val="single" w:color="auto" w:sz="6" w:space="1"/>
      </w:pBdr>
      <w:tabs>
        <w:tab w:val="center" w:pos="4153"/>
        <w:tab w:val="right" w:pos="8306"/>
      </w:tabs>
      <w:snapToGrid w:val="0"/>
      <w:jc w:val="center"/>
    </w:pPr>
    <w:rPr>
      <w:kern w:val="2"/>
      <w:sz w:val="18"/>
      <w:szCs w:val="18"/>
    </w:rPr>
  </w:style>
  <w:style w:type="character" w:customStyle="1" w:styleId="5">
    <w:name w:val="页眉 Char"/>
    <w:link w:val="4"/>
    <w:semiHidden/>
    <w:rPr>
      <w:kern w:val="2"/>
      <w:sz w:val="18"/>
      <w:szCs w:val="18"/>
    </w:rPr>
  </w:style>
  <w:style w:type="character" w:styleId="7">
    <w:name w:val="FollowedHyperlink"/>
    <w:rPr>
      <w:color w:val="800080"/>
      <w:u w:val="single"/>
    </w:rPr>
  </w:style>
  <w:style w:type="character" w:styleId="8">
    <w:name w:val="Hyperlink"/>
    <w:rPr>
      <w:color w:val="0000FF"/>
      <w:u w:val="single"/>
    </w:rPr>
  </w:style>
  <w:style w:type="paragraph" w:customStyle="1" w:styleId="9">
    <w:name w:val="批注框文本 Char Char"/>
    <w:basedOn w:val="1"/>
    <w:link w:val="10"/>
    <w:rPr>
      <w:kern w:val="2"/>
      <w:sz w:val="18"/>
      <w:szCs w:val="18"/>
    </w:rPr>
  </w:style>
  <w:style w:type="character" w:customStyle="1" w:styleId="10">
    <w:name w:val="批注框文本 Char Char Char"/>
    <w:link w:val="9"/>
    <w:semiHidden/>
    <w:rPr>
      <w:kern w:val="2"/>
      <w:sz w:val="18"/>
      <w:szCs w:val="18"/>
    </w:rPr>
  </w:style>
  <w:style w:type="character" w:customStyle="1" w:styleId="11">
    <w:name w:val="font01"/>
    <w:rPr>
      <w:rFonts w:hint="eastAsia" w:ascii="宋体" w:hAnsi="宋体" w:eastAsia="宋体" w:cs="宋体"/>
      <w:color w:val="000000"/>
      <w:sz w:val="22"/>
      <w:szCs w:val="22"/>
      <w:u w:val="none"/>
    </w:rPr>
  </w:style>
  <w:style w:type="character" w:customStyle="1" w:styleId="12">
    <w:name w:val="font21"/>
    <w:rPr>
      <w:rFonts w:hint="eastAsia" w:ascii="宋体" w:hAnsi="宋体" w:eastAsia="宋体" w:cs="宋体"/>
      <w:color w:val="000000"/>
      <w:sz w:val="22"/>
      <w:szCs w:val="22"/>
      <w:u w:val="none"/>
    </w:rPr>
  </w:style>
  <w:style w:type="character" w:customStyle="1" w:styleId="13">
    <w:name w:val="font51"/>
    <w:rPr>
      <w:rFonts w:hint="eastAsia" w:ascii="宋体" w:hAnsi="宋体" w:eastAsia="宋体" w:cs="宋体"/>
      <w:color w:val="000000"/>
      <w:sz w:val="24"/>
      <w:szCs w:val="24"/>
      <w:u w:val="none"/>
    </w:rPr>
  </w:style>
  <w:style w:type="character" w:customStyle="1" w:styleId="14">
    <w:name w:val="font11"/>
    <w:rPr>
      <w:rFonts w:hint="eastAsia" w:ascii="宋体" w:hAnsi="宋体" w:eastAsia="宋体" w:cs="宋体"/>
      <w:color w:val="000000"/>
      <w:sz w:val="20"/>
      <w:szCs w:val="20"/>
      <w:u w:val="none"/>
    </w:rPr>
  </w:style>
  <w:style w:type="character" w:customStyle="1" w:styleId="15">
    <w:name w:val="font41"/>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8465</Words>
  <Characters>10500</Characters>
  <Lines>60</Lines>
  <Paragraphs>16</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Printed>2018-07-25T02:50:00Z</cp:lastPrinted>
  <dcterms:modified xsi:type="dcterms:W3CDTF">2023-05-15T17:24:16Z</dcterms:modified>
  <dc:title>Owner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86BEDEFED8864752B63EB4C60132E41C</vt:lpwstr>
  </property>
</Properties>
</file>