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bookmarkStart w:id="0" w:name="_GoBack"/>
      <w:bookmarkEnd w:id="0"/>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许昌市人力资源和社会保障局（本级）</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许昌市人力资源和社会保障局（本级）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许昌市人力资源和社会保障局（本级）</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贯彻执行国家人力资源和社会保障法律法规、政策,拟订全市人力资源和社会保障事业发展规划和相关规范性文件并负责组织实施和监督检查。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（二）拟订全市人力资源市场发展规划和人力资源服务业发展、人力资源流动相关规范性文件,推动建立统一开放、竞争有序的人力资源市场体系,促进人力资源合理流动和优化配置。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负责全市促进就业工作,贯彻落实全省统筹城乡的就业发展规划和政策,完善公共就业创业服务体系,统筹建立全市面向城乡劳动者的职业技能培训制度,贯彻落实就业援助制度,牵头拟订全市高校毕业生就业的规范性文件。会同有关部门拟订高技能人才、农村实用人才培养和激励的相关规范性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统筹推进建立全市覆盖城乡的多层次社会保障体系。贯彻落实全省养老、失业、工伤等社会保险及其补充保险政策和标准。贯彻落实养老保险全省统筹办法和全省统一的养老、失业、工伤保险关系转续办法。组织拟订养老、失业、工伤等社会保险及其补充保险基金管理和监督制度,编制相关社会保险基金预决算草案,贯彻落实相关社会保障基金投资政策。会同有关部门实施全民参保计划并建立统一的社会保险公共服务平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（五）负责全市就业、失业和相关社会保险基金预警机制和信息引导,拟订应对预案,实施预防、调节和控制,保持就业形势稳定和相关社会保险基金总体收支平衡。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贯彻落实全省劳动人事争议调解仲裁制度和劳动关系政策,完善劳动关系协商协调机制,贯彻执行国家、省关于国家工作时间、休息休假和假期的相关规定以及特殊劳动保护政策实施细则并监督实施。组织实施劳动保障监察，协调劳动者维权工作,依法查处重大案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牵头推进深化职称制度改革,贯彻执行省专业技术人员管理、继续教育和博士后管理等政策,负责高层次专业技术人才选拔和培训工作,拟订吸引留学人员来许工作或定居的规范性文件。拟订全市技能人才培养、评价、使用和激励制度的相关规范性文件。完善职业资格制度,健全职业技能多元化评价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（八）会同有关部门指导全市事业单位人事制度改革，按照管理权限负责规范事业单位岗位设置、公开招聘、聘用管理、考核奖惩等人事综合管理工作,贯执行全省事业单位工作人员和机关工勤人员管理政策。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（九）会同有关部门贯彻落实国家、省表彰奖励制度，综合管理市委、市政府表彰奖励工作,根据授权承办以市委、市政府名义开展的表彰奖励工作,承办部分市管领导干部的行政任免手续。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贯彻落实全省事业单位人员和机关工勤人员工资收入分配政策,建立全市企事业单位人员工资决定、正常增长和支付保障机制。贯彻落实全省企事业单位人员、机关工勤人员福利和离退休政策的实施细则。贯彻执行全省机关、事业单位工勤人员技术等级考核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（十一）会同有关部门贯彻落实全省农民工工作的综合性政策和规划,推动相关政策落实,协调解决重点难点问题,维护农民工合法权益。统筹指导全市农民工就业创业和发展家庭服务业促进就业工作。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color w:val="auto"/>
          <w:sz w:val="24"/>
          <w:szCs w:val="24"/>
          <w:highlight w:val="none"/>
        </w:rPr>
      </w:pPr>
      <w:r>
        <w:rPr>
          <w:rFonts w:hint="eastAsia" w:ascii="仿宋_GB2312" w:hAnsi="仿宋_GB2312" w:eastAsia="仿宋_GB2312" w:cs="仿宋_GB2312"/>
          <w:color w:val="auto"/>
          <w:sz w:val="32"/>
          <w:szCs w:val="32"/>
          <w:highlight w:val="none"/>
          <w:lang w:val="en-US" w:eastAsia="zh-CN"/>
        </w:rPr>
        <w:t>（十二）完成市委、市政府交办的其他任务。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人力资源和社会保障局（本级）内设机构17个，包括：办公室、政策法规科规划、基金监督科、就业促进工作办公室、人力资源流动管理科、职业能力建设科、人才评价开发科（市职称改革领导小组办公室）、专业技术人员管理科、事业单位人事管理科、农民工工作科、工资福利科、养老保险科、失业保险科、工伤保险科、调解仲裁管理和劳动关系科、劳动保障监察科、人事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另设有机关党委、离退休干部工作科、信访工作科、政务服务科、任免奖励科。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eastAsia="zh-CN"/>
        </w:rPr>
        <w:t>许昌市人力资源和社会保障局（本级）</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2021年度</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决算编制范围的单位共1个，具体是：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1.许昌市人力资源和社会保障局（本级）</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1"/>
        <w:gridCol w:w="862"/>
        <w:gridCol w:w="1446"/>
        <w:gridCol w:w="4632"/>
        <w:gridCol w:w="862"/>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36"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49"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50"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2449"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2449"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30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30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1,539.78</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1,570.50</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5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318.42</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3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51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304"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1,888.92</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30"/>
        <w:gridCol w:w="1495"/>
        <w:gridCol w:w="1495"/>
        <w:gridCol w:w="990"/>
        <w:gridCol w:w="990"/>
        <w:gridCol w:w="990"/>
        <w:gridCol w:w="990"/>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5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1,570.50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1,539.78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1,139.48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1,139.48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1,064.58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1,064.58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就业创业服务补贴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8"/>
        <w:gridCol w:w="328"/>
        <w:gridCol w:w="330"/>
        <w:gridCol w:w="4695"/>
        <w:gridCol w:w="1623"/>
        <w:gridCol w:w="1624"/>
        <w:gridCol w:w="1496"/>
        <w:gridCol w:w="1246"/>
        <w:gridCol w:w="1246"/>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3"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6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6"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9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72"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1156"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9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7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57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53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44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44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44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66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7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7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7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3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4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4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7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1,884.93</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1,568.45</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316.49</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1,776.65</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1,500.36</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276.29</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人力资源和社会保障管理事务</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1,321.81</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1,118.19</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203.62</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1,118.19</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1,118.19</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2080102</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92.81</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92.81</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2080199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其他人力资源和社会保障管理事务支出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110.81</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110.81</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329.31</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329.31</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271.80</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271.80</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57.51</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57.51</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83.14</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72.67</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就业创业服务补贴</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2080799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其他就业补助支出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72.67</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72.67</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23.66</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23.66</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w:t>
            </w:r>
          </w:p>
        </w:tc>
        <w:tc>
          <w:tcPr>
            <w:tcW w:w="5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2299999</w:t>
            </w:r>
          </w:p>
        </w:tc>
        <w:tc>
          <w:tcPr>
            <w:tcW w:w="166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5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5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38.72</w:t>
            </w: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53"/>
        <w:gridCol w:w="516"/>
        <w:gridCol w:w="1423"/>
        <w:gridCol w:w="3680"/>
        <w:gridCol w:w="516"/>
        <w:gridCol w:w="1123"/>
        <w:gridCol w:w="1423"/>
        <w:gridCol w:w="1083"/>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8"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8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9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8"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32"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129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8"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8"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3167"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4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50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29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396"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0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38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40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4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0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8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8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0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1,539.78</w:t>
            </w: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w:t>
            </w: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1,776.41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1,776.41</w:t>
            </w: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1,539.78</w:t>
            </w: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1,845.98</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1,845.98</w:t>
            </w: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306.20</w:t>
            </w: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306.20</w:t>
            </w:r>
          </w:p>
        </w:tc>
        <w:tc>
          <w:tcPr>
            <w:tcW w:w="129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3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82"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1,845.98</w:t>
            </w:r>
          </w:p>
        </w:tc>
        <w:tc>
          <w:tcPr>
            <w:tcW w:w="129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8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3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1,845.98</w:t>
            </w:r>
          </w:p>
        </w:tc>
        <w:tc>
          <w:tcPr>
            <w:tcW w:w="5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1,845.98</w:t>
            </w:r>
          </w:p>
        </w:tc>
        <w:tc>
          <w:tcPr>
            <w:tcW w:w="38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
        <w:gridCol w:w="459"/>
        <w:gridCol w:w="465"/>
        <w:gridCol w:w="6455"/>
        <w:gridCol w:w="2137"/>
        <w:gridCol w:w="2137"/>
        <w:gridCol w:w="2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2"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6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7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34"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65"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2234"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6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234"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2276"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7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72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8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7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2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7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2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6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6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1,845.98</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1,568.21</w:t>
            </w: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组织事务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2013202</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1,776.41</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1,500.12</w:t>
            </w: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人力资源和社会保障管理事务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1,321.57</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1,117.95</w:t>
            </w: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1,117.95</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1,117.95</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2080102</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92.81</w:t>
            </w:r>
          </w:p>
        </w:tc>
        <w:tc>
          <w:tcPr>
            <w:tcW w:w="7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2080199</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其他人力资源和社会保障管理事务支出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110.81</w:t>
            </w:r>
          </w:p>
        </w:tc>
        <w:tc>
          <w:tcPr>
            <w:tcW w:w="7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329.31</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329.31</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271.80</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271.80</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57.51</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57.51</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就业补助</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83.14</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2080701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就业创业服务补贴</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2080799</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其他就业补助支出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72.67</w:t>
            </w:r>
          </w:p>
        </w:tc>
        <w:tc>
          <w:tcPr>
            <w:tcW w:w="7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48.41</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23.66</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23.66</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227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w:t>
            </w:r>
          </w:p>
        </w:tc>
        <w:tc>
          <w:tcPr>
            <w:tcW w:w="7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w:t>
            </w:r>
          </w:p>
        </w:tc>
        <w:tc>
          <w:tcPr>
            <w:tcW w:w="7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5"/>
        <w:gridCol w:w="2803"/>
        <w:gridCol w:w="1223"/>
        <w:gridCol w:w="939"/>
        <w:gridCol w:w="2426"/>
        <w:gridCol w:w="939"/>
        <w:gridCol w:w="883"/>
        <w:gridCol w:w="2916"/>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9"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98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3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7"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60"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810" w:type="pct"/>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33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7"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60"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1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3189"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98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3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85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31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0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8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1,118.15</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129.05</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230.22</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17.53</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373.18</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351.42</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6.20</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57.51</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3.53</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25.99</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0.55</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8.07</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54.52</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319.82</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143.00</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128.80</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0.87</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42.39</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3.61</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15.96</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10.88</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0.24</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102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45.65</w:t>
            </w:r>
          </w:p>
        </w:tc>
        <w:tc>
          <w:tcPr>
            <w:tcW w:w="3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98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9"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8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8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8.45</w:t>
            </w:r>
          </w:p>
        </w:tc>
        <w:tc>
          <w:tcPr>
            <w:tcW w:w="31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8"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4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1,437.97</w:t>
            </w:r>
          </w:p>
        </w:tc>
        <w:tc>
          <w:tcPr>
            <w:tcW w:w="2858"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33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1"/>
        <w:gridCol w:w="1401"/>
        <w:gridCol w:w="1402"/>
        <w:gridCol w:w="1077"/>
        <w:gridCol w:w="1077"/>
        <w:gridCol w:w="1077"/>
        <w:gridCol w:w="1077"/>
        <w:gridCol w:w="1077"/>
        <w:gridCol w:w="1077"/>
        <w:gridCol w:w="1078"/>
        <w:gridCol w:w="1078"/>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6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8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48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2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24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9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510"/>
        <w:gridCol w:w="511"/>
        <w:gridCol w:w="2469"/>
        <w:gridCol w:w="1680"/>
        <w:gridCol w:w="1680"/>
        <w:gridCol w:w="1680"/>
        <w:gridCol w:w="1680"/>
        <w:gridCol w:w="1680"/>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2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：许昌市人力资源和社会保障局（本级）</w:t>
            </w:r>
          </w:p>
        </w:tc>
        <w:tc>
          <w:tcPr>
            <w:tcW w:w="0" w:type="auto"/>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5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说明：我</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color w:val="auto"/>
                <w:sz w:val="22"/>
                <w:szCs w:val="22"/>
                <w:highlight w:val="none"/>
                <w:lang w:val="en-US" w:eastAsia="zh-CN"/>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年度收、支总计均为1888.92万元。与上年度相比，收、支总计各减少</w:t>
      </w:r>
      <w:r>
        <w:rPr>
          <w:rFonts w:hint="eastAsia" w:ascii="仿宋_GB2312" w:hAnsi="仿宋_GB2312" w:eastAsia="仿宋_GB2312"/>
          <w:color w:val="auto"/>
          <w:sz w:val="32"/>
          <w:szCs w:val="24"/>
          <w:highlight w:val="none"/>
        </w:rPr>
        <w:t>1291.2</w:t>
      </w:r>
      <w:r>
        <w:rPr>
          <w:rFonts w:hint="eastAsia" w:ascii="仿宋_GB2312" w:hAnsi="仿宋_GB2312" w:eastAsia="仿宋_GB2312"/>
          <w:color w:val="auto"/>
          <w:sz w:val="32"/>
          <w:szCs w:val="24"/>
          <w:highlight w:val="none"/>
          <w:lang w:val="en-US" w:eastAsia="zh-CN"/>
        </w:rPr>
        <w:t>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rPr>
        <w:t>40.6</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sz w:val="32"/>
          <w:szCs w:val="32"/>
          <w:highlight w:val="none"/>
          <w:lang w:val="en-US" w:eastAsia="zh-CN"/>
        </w:rPr>
        <w:t>财政收回存量资金，</w:t>
      </w:r>
      <w:r>
        <w:rPr>
          <w:rFonts w:hint="eastAsia" w:ascii="仿宋_GB2312" w:hAnsi="仿宋_GB2312" w:eastAsia="仿宋_GB2312" w:cs="仿宋_GB2312"/>
          <w:sz w:val="32"/>
          <w:szCs w:val="32"/>
          <w:highlight w:val="none"/>
          <w:lang w:eastAsia="zh-CN"/>
        </w:rPr>
        <w:t>年末结转结余减少，</w:t>
      </w:r>
      <w:r>
        <w:rPr>
          <w:rFonts w:hint="eastAsia" w:ascii="仿宋_GB2312" w:hAnsi="仿宋_GB2312" w:eastAsia="仿宋_GB2312" w:cs="仿宋_GB2312"/>
          <w:sz w:val="32"/>
          <w:szCs w:val="32"/>
          <w:highlight w:val="none"/>
          <w:lang w:val="en-US" w:eastAsia="zh-CN"/>
        </w:rPr>
        <w:t>造成整体收、支下降</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Times New Roman"/>
          <w:color w:val="auto"/>
          <w:sz w:val="32"/>
          <w:szCs w:val="24"/>
          <w:highlight w:val="none"/>
        </w:rPr>
      </w:pPr>
      <w:r>
        <w:rPr>
          <w:rFonts w:hint="eastAsia" w:ascii="仿宋_GB2312" w:hAnsi="仿宋_GB2312" w:eastAsia="仿宋_GB2312" w:cs="Times New Roman"/>
          <w:color w:val="auto"/>
          <w:sz w:val="32"/>
          <w:szCs w:val="24"/>
          <w:highlight w:val="none"/>
        </w:rPr>
        <w:t>2021年度收入合计1570.5</w:t>
      </w:r>
      <w:r>
        <w:rPr>
          <w:rFonts w:hint="eastAsia" w:ascii="仿宋_GB2312" w:hAnsi="仿宋_GB2312" w:eastAsia="仿宋_GB2312" w:cs="Times New Roman"/>
          <w:color w:val="auto"/>
          <w:sz w:val="32"/>
          <w:szCs w:val="24"/>
          <w:highlight w:val="none"/>
          <w:lang w:val="en-US" w:eastAsia="zh-CN"/>
        </w:rPr>
        <w:t>0</w:t>
      </w:r>
      <w:r>
        <w:rPr>
          <w:rFonts w:hint="eastAsia" w:ascii="仿宋_GB2312" w:hAnsi="仿宋_GB2312" w:eastAsia="仿宋_GB2312" w:cs="Times New Roman"/>
          <w:color w:val="auto"/>
          <w:sz w:val="32"/>
          <w:szCs w:val="24"/>
          <w:highlight w:val="none"/>
        </w:rPr>
        <w:t>万元，其中：财政拨款收入1539.78万元，占98.04%；上级补助收入0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万元，占0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%；事业收入0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万元，占0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%；经营收入0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万元，占0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%；附属单位上缴收入0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万元，占0</w:t>
      </w:r>
      <w:r>
        <w:rPr>
          <w:rFonts w:hint="eastAsia" w:ascii="仿宋_GB2312" w:hAnsi="仿宋_GB2312" w:eastAsia="仿宋_GB2312" w:cs="Times New Roman"/>
          <w:color w:val="auto"/>
          <w:sz w:val="32"/>
          <w:szCs w:val="24"/>
          <w:highlight w:val="none"/>
          <w:lang w:val="en-US" w:eastAsia="zh-CN"/>
        </w:rPr>
        <w:t>.00</w:t>
      </w:r>
      <w:r>
        <w:rPr>
          <w:rFonts w:hint="eastAsia" w:ascii="仿宋_GB2312" w:hAnsi="仿宋_GB2312" w:eastAsia="仿宋_GB2312" w:cs="Times New Roman"/>
          <w:color w:val="auto"/>
          <w:sz w:val="32"/>
          <w:szCs w:val="24"/>
          <w:highlight w:val="none"/>
        </w:rPr>
        <w:t>%；其他收入30.72万元，占1.96%。</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2021年度支出合计1884.93万元，其中：基本支出1568.45万元，占83.21%；项目支出316.49万元，占16.79%；上缴上级支出</w:t>
      </w:r>
      <w:r>
        <w:rPr>
          <w:rFonts w:hint="eastAsia" w:ascii="仿宋_GB2312" w:hAnsi="仿宋_GB2312" w:eastAsia="仿宋_GB2312" w:cs="仿宋_GB2312"/>
          <w:color w:val="auto"/>
          <w:sz w:val="32"/>
          <w:szCs w:val="32"/>
          <w:highlight w:val="none"/>
          <w:lang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eastAsia="zh-CN"/>
        </w:rPr>
        <w:t>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sz w:val="32"/>
          <w:szCs w:val="24"/>
          <w:highlight w:val="none"/>
          <w:lang w:val="en-US"/>
        </w:rPr>
        <w:t>1845.98</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olor w:val="auto"/>
          <w:sz w:val="32"/>
          <w:szCs w:val="24"/>
          <w:highlight w:val="none"/>
          <w:lang w:val="en-US"/>
        </w:rPr>
        <w:t>1317.94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lang w:val="en-US"/>
        </w:rPr>
        <w:t>41.66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财政收回存量资金，</w:t>
      </w:r>
      <w:r>
        <w:rPr>
          <w:rFonts w:hint="eastAsia" w:ascii="仿宋_GB2312" w:hAnsi="仿宋_GB2312" w:eastAsia="仿宋_GB2312" w:cs="仿宋_GB2312"/>
          <w:color w:val="auto"/>
          <w:sz w:val="32"/>
          <w:szCs w:val="32"/>
          <w:highlight w:val="none"/>
          <w:lang w:eastAsia="zh-CN"/>
        </w:rPr>
        <w:t>年末结转结余减少，</w:t>
      </w:r>
      <w:r>
        <w:rPr>
          <w:rFonts w:hint="eastAsia" w:ascii="仿宋_GB2312" w:hAnsi="仿宋_GB2312" w:eastAsia="仿宋_GB2312" w:cs="仿宋_GB2312"/>
          <w:color w:val="auto"/>
          <w:sz w:val="32"/>
          <w:szCs w:val="32"/>
          <w:highlight w:val="none"/>
          <w:lang w:val="en-US" w:eastAsia="zh-CN"/>
        </w:rPr>
        <w:t>造成整体收、支下降</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1845.98</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olor w:val="auto"/>
          <w:sz w:val="32"/>
          <w:szCs w:val="24"/>
          <w:highlight w:val="none"/>
          <w:lang w:val="en-US"/>
        </w:rPr>
        <w:t>97.93</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olor w:val="auto"/>
          <w:sz w:val="32"/>
          <w:szCs w:val="24"/>
          <w:highlight w:val="none"/>
          <w:lang w:val="en-US"/>
        </w:rPr>
        <w:t>861.43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lang w:val="en-US"/>
        </w:rPr>
        <w:t>31.82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本年度项目支出减少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1845.98</w:t>
      </w:r>
      <w:r>
        <w:rPr>
          <w:rFonts w:hint="eastAsia" w:ascii="仿宋_GB2312" w:hAnsi="仿宋_GB2312" w:eastAsia="仿宋_GB2312" w:cs="仿宋_GB2312"/>
          <w:color w:val="auto"/>
          <w:sz w:val="32"/>
          <w:szCs w:val="32"/>
          <w:highlight w:val="none"/>
        </w:rPr>
        <w:t>万元，主要用于以下方面：一般公共服务（类）支出6.24万元，占0.34%；科学技术（类）支出14.92万元，占0.81%；社会保障和就业（类）支出1776.41万元，占96.23%；卫生健康（类）支出48.41万元，占2.62%。</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1292.91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1845.98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olor w:val="auto"/>
          <w:sz w:val="32"/>
          <w:szCs w:val="24"/>
          <w:highlight w:val="none"/>
          <w:lang w:val="en-US"/>
        </w:rPr>
        <w:t>142.78</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4.76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2．一般公共服务支出（类）组织事务（款）一般行政管理事务（项）。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1.48</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我单位年中追加就业补助经费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．科学技术支出（类）其他科学技术支出（款）其他科学技术支出（项）。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14.92</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年中追加许昌高层次人才评审项目经费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．社会保障和就业支出（类）人力资源和社会保障管理事务（款）行政运行（项）。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980.57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1117.95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114.01</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年中新增人员</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．社会保障和就业支出（类）人力资源和社会保障管理事务（款）一般行政管理事务（项）。</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92.81</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因工作需要年中追加机关事业单位工勤技能等级考核工作经费及许昌市政府特殊津贴和许昌市优秀学术技术带头人津贴项目经费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．社会保障和就业支出（类）人力资源和社会保障管理事务（款）其他人力资源和社会保障管理事务支出（项）。</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110.81</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因工作需要年中追加许昌市抗击新冠肺炎疫情市级表彰项目资金及“三支一扶”相关经费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．社会保障和就业支出（类）行政事业单位养老支出（款）行政单位离退休（项）。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192.03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271.80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141.54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部分支出使用上年结转结余资金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56.81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57.51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101.23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部分支出使用上年结转结余资金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．社会保障和就业支出（类）就业补助（款）就业创业服务补贴（项）。</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10.47</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年中追加就业项目经费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．社会保障和就业支出（类）就业补助（款）其他就业补助支出（项）。</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72.67</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年中追加就业项目经费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．社会保障和就业支出（类）抚恤（款）死亡抚恤（项）。</w:t>
      </w:r>
      <w:r>
        <w:rPr>
          <w:rFonts w:hint="eastAsia" w:ascii="仿宋_GB2312" w:hAnsi="仿宋_GB2312" w:eastAsia="仿宋_GB2312" w:cs="仿宋_GB2312"/>
          <w:color w:val="auto"/>
          <w:sz w:val="32"/>
          <w:szCs w:val="32"/>
          <w:highlight w:val="none"/>
          <w:lang w:eastAsia="zh-CN"/>
        </w:rPr>
        <w:t>年初预算为0.00万元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42.39</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年中追加丧葬费和死亡抚恤金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2．卫生健康支出（类）行政事业单位医疗（款）行政单位医疗（项）。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30.09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23.66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78.63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部分支出使用上年结转结余资金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13</w:t>
      </w:r>
      <w:r>
        <w:rPr>
          <w:rFonts w:hint="eastAsia" w:ascii="仿宋_GB2312" w:hAnsi="仿宋_GB2312" w:eastAsia="仿宋_GB2312" w:cs="仿宋_GB2312"/>
          <w:b/>
          <w:bCs/>
          <w:color w:val="auto"/>
          <w:sz w:val="32"/>
          <w:szCs w:val="32"/>
          <w:highlight w:val="none"/>
        </w:rPr>
        <w:t>．卫生健康支出（类）行政事业单位医疗（款）公务员医疗补助（项）。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28.65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24.75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86.39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部分支出使用上年结转结余资金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1568.21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sz w:val="32"/>
          <w:szCs w:val="24"/>
          <w:highlight w:val="none"/>
          <w:lang w:val="en-US"/>
        </w:rPr>
        <w:t>1437.97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其他社会保障缴费、住房公积金、离休费、退休费、抚恤金、生活补助、奖励金、其他对个人和家庭的补助支出；公用经费</w:t>
      </w:r>
      <w:r>
        <w:rPr>
          <w:rFonts w:hint="eastAsia" w:ascii="仿宋_GB2312" w:hAnsi="仿宋_GB2312" w:eastAsia="仿宋_GB2312"/>
          <w:color w:val="auto"/>
          <w:sz w:val="32"/>
          <w:szCs w:val="24"/>
          <w:highlight w:val="none"/>
          <w:lang w:val="en-US"/>
        </w:rPr>
        <w:t>130.24</w:t>
      </w:r>
      <w:r>
        <w:rPr>
          <w:rFonts w:hint="eastAsia" w:ascii="仿宋_GB2312" w:hAnsi="仿宋_GB2312" w:eastAsia="仿宋_GB2312" w:cs="仿宋_GB2312"/>
          <w:color w:val="auto"/>
          <w:sz w:val="32"/>
          <w:szCs w:val="32"/>
          <w:highlight w:val="none"/>
        </w:rPr>
        <w:t>万元，主要包括：办公费、印刷费、咨询费、邮电费、差旅费、</w:t>
      </w:r>
      <w:r>
        <w:rPr>
          <w:rFonts w:hint="eastAsia" w:ascii="仿宋_GB2312" w:hAnsi="仿宋_GB2312" w:eastAsia="仿宋_GB2312" w:cs="仿宋_GB2312"/>
          <w:color w:val="auto"/>
          <w:sz w:val="32"/>
          <w:szCs w:val="32"/>
          <w:highlight w:val="none"/>
          <w:lang w:eastAsia="zh-CN"/>
        </w:rPr>
        <w:t>会议费、公务接待费、劳务费、委托业务费、</w:t>
      </w:r>
      <w:r>
        <w:rPr>
          <w:rFonts w:hint="eastAsia" w:ascii="仿宋_GB2312" w:hAnsi="仿宋_GB2312" w:eastAsia="仿宋_GB2312" w:cs="仿宋_GB2312"/>
          <w:color w:val="auto"/>
          <w:sz w:val="32"/>
          <w:szCs w:val="32"/>
          <w:highlight w:val="none"/>
        </w:rPr>
        <w:t>工会经费、福利费、公务用车运行维护费、其他交通费用、其他商品和服务支出、办公设备购置。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20.00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4.52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22.60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我单位厉行节约，严格控制</w:t>
      </w:r>
      <w:r>
        <w:rPr>
          <w:rFonts w:hint="eastAsia" w:ascii="仿宋_GB2312" w:hAnsi="仿宋_GB2312" w:eastAsia="仿宋_GB2312" w:cs="仿宋_GB2312"/>
          <w:color w:val="auto"/>
          <w:sz w:val="32"/>
          <w:szCs w:val="32"/>
          <w:highlight w:val="none"/>
          <w:lang w:val="zh-CN"/>
        </w:rPr>
        <w:t>公车、公务接待费用开支</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3.65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22.81</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80.75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21.75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19.25</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万元。决算数与预算数不存在差异。因公出国（境）团组数0个，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0人</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16.00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3.65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22.81</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我单位节约公车运行开支</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3.65</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公务用车的油费、维修费、保险费等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21.75</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我单位减少公务接待次数，压缩公务接待支出</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color w:val="auto"/>
          <w:sz w:val="32"/>
          <w:szCs w:val="32"/>
          <w:highlight w:val="none"/>
        </w:rPr>
        <w:t>万元。主要用于公务接待用餐费。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74</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144.79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130.24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89.95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我单位节约经费支出</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i w:val="0"/>
          <w:iCs w:val="0"/>
          <w:color w:val="000000"/>
          <w:kern w:val="2"/>
          <w:sz w:val="32"/>
          <w:szCs w:val="32"/>
          <w:highlight w:val="none"/>
          <w:u w:val="none" w:color="auto"/>
          <w:lang w:val="en-US" w:eastAsia="zh-CN" w:bidi="ar-SA"/>
        </w:rPr>
        <w:t>我单位严格履行预算绩效管理主体责任，以绩效目标为导向，做好绩效运行监控，提升了绩效自评质量及绩效管理工作水平，充分发挥财政资金使用效益。</w:t>
      </w:r>
      <w:r>
        <w:rPr>
          <w:rFonts w:hint="eastAsia" w:ascii="仿宋_GB2312" w:hAnsi="仿宋_GB2312" w:eastAsia="仿宋_GB2312" w:cs="仿宋_GB2312"/>
          <w:color w:val="auto"/>
          <w:sz w:val="32"/>
          <w:szCs w:val="32"/>
          <w:highlight w:val="none"/>
          <w:lang w:val="en-US" w:eastAsia="zh-CN"/>
        </w:rPr>
        <w:t>同时，我单位积极参加绩效管理培训，进一步健全绩效管理制度，明确绩效考核工作目标，明确考核责任，确保绩效管理工作稳步推进。</w:t>
      </w:r>
    </w:p>
    <w:p>
      <w:pPr>
        <w:keepNext w:val="0"/>
        <w:keepLines w:val="0"/>
        <w:pageBreakBefore w:val="0"/>
        <w:widowControl/>
        <w:kinsoku/>
        <w:wordWrap/>
        <w:overflowPunct/>
        <w:topLinePunct w:val="0"/>
        <w:autoSpaceDE/>
        <w:autoSpaceDN/>
        <w:bidi w:val="0"/>
        <w:adjustRightInd/>
        <w:snapToGrid/>
        <w:spacing w:line="24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lang w:val="en-US" w:eastAsia="zh-CN"/>
        </w:rPr>
        <w:t>单位</w:t>
      </w:r>
      <w:r>
        <w:rPr>
          <w:rFonts w:hint="eastAsia" w:ascii="楷体_GB2312" w:hAnsi="楷体_GB2312" w:eastAsia="楷体_GB2312" w:cs="楷体_GB2312"/>
          <w:b/>
          <w:bCs/>
          <w:color w:val="auto"/>
          <w:sz w:val="32"/>
          <w:szCs w:val="32"/>
          <w:highlight w:val="none"/>
          <w:lang w:val="en-US" w:eastAsia="zh-CN"/>
        </w:rPr>
        <w:t>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较好地完成了单位整体绩效目标。二是项目绩效自评情况。我单位共有6个项目批复了绩效目标，项目金额316.49万元。其中：</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许昌市人力资源和社会保障局（本级）6个，项目金额316.49万元。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2个项目评价等级为“优”、4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许昌市财政局和我单位主管部门共选取我单位1项目开展重点绩效评价：0个项目等次为“优”、1个项目等次为“良”、0个项目等次为“中”、0个项目等次为“差”。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其中：就业补助资金（中央转移支付资金）项目评价得分：82.5分，等次为“良”。</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1D73BA"/>
    <w:rsid w:val="053D4C0D"/>
    <w:rsid w:val="054A2F82"/>
    <w:rsid w:val="0557532E"/>
    <w:rsid w:val="0799329C"/>
    <w:rsid w:val="08397436"/>
    <w:rsid w:val="086F16A7"/>
    <w:rsid w:val="08C02264"/>
    <w:rsid w:val="0A0F7225"/>
    <w:rsid w:val="0A2B7D82"/>
    <w:rsid w:val="0ADC40E9"/>
    <w:rsid w:val="0AE607F4"/>
    <w:rsid w:val="0B386127"/>
    <w:rsid w:val="0B451598"/>
    <w:rsid w:val="0BEC73F4"/>
    <w:rsid w:val="0C392698"/>
    <w:rsid w:val="10BD36F6"/>
    <w:rsid w:val="11BF0649"/>
    <w:rsid w:val="123E3E08"/>
    <w:rsid w:val="133212F4"/>
    <w:rsid w:val="13C371CA"/>
    <w:rsid w:val="13D22E22"/>
    <w:rsid w:val="161C2DFF"/>
    <w:rsid w:val="16373578"/>
    <w:rsid w:val="16D3336B"/>
    <w:rsid w:val="17200028"/>
    <w:rsid w:val="17806C36"/>
    <w:rsid w:val="17A74F62"/>
    <w:rsid w:val="18A47774"/>
    <w:rsid w:val="1A7E3FBC"/>
    <w:rsid w:val="1A8D28EB"/>
    <w:rsid w:val="1A9F2D78"/>
    <w:rsid w:val="1B2E6FD8"/>
    <w:rsid w:val="1B877D21"/>
    <w:rsid w:val="1C4319A9"/>
    <w:rsid w:val="1E443B4B"/>
    <w:rsid w:val="1E994F4A"/>
    <w:rsid w:val="1EAF0224"/>
    <w:rsid w:val="1F005A53"/>
    <w:rsid w:val="1F2230A4"/>
    <w:rsid w:val="20210932"/>
    <w:rsid w:val="202448E0"/>
    <w:rsid w:val="20F614FE"/>
    <w:rsid w:val="21302EEA"/>
    <w:rsid w:val="22376FB5"/>
    <w:rsid w:val="23E152D7"/>
    <w:rsid w:val="23EE2489"/>
    <w:rsid w:val="255D43C8"/>
    <w:rsid w:val="26714EF8"/>
    <w:rsid w:val="26876BDD"/>
    <w:rsid w:val="2714632A"/>
    <w:rsid w:val="27541E73"/>
    <w:rsid w:val="278444FE"/>
    <w:rsid w:val="27B0539E"/>
    <w:rsid w:val="29365CF8"/>
    <w:rsid w:val="295E570F"/>
    <w:rsid w:val="299469B3"/>
    <w:rsid w:val="2A494486"/>
    <w:rsid w:val="2A805789"/>
    <w:rsid w:val="2ADC0D75"/>
    <w:rsid w:val="2B4A0E52"/>
    <w:rsid w:val="2C975890"/>
    <w:rsid w:val="2DEF21BB"/>
    <w:rsid w:val="2E4A2F05"/>
    <w:rsid w:val="2ECC1061"/>
    <w:rsid w:val="2FA476AD"/>
    <w:rsid w:val="303F7540"/>
    <w:rsid w:val="30D54A87"/>
    <w:rsid w:val="31DD00BF"/>
    <w:rsid w:val="326135F2"/>
    <w:rsid w:val="3293174C"/>
    <w:rsid w:val="32BB38D4"/>
    <w:rsid w:val="32C9376D"/>
    <w:rsid w:val="33780472"/>
    <w:rsid w:val="33AF0905"/>
    <w:rsid w:val="355932F4"/>
    <w:rsid w:val="35611882"/>
    <w:rsid w:val="36746FC3"/>
    <w:rsid w:val="368763AE"/>
    <w:rsid w:val="395D59E7"/>
    <w:rsid w:val="39A0102D"/>
    <w:rsid w:val="39A93932"/>
    <w:rsid w:val="3A915562"/>
    <w:rsid w:val="3B8D4765"/>
    <w:rsid w:val="3C000DBA"/>
    <w:rsid w:val="3D699776"/>
    <w:rsid w:val="3DC045D3"/>
    <w:rsid w:val="3E504FFB"/>
    <w:rsid w:val="3E615CD0"/>
    <w:rsid w:val="3E9C47F6"/>
    <w:rsid w:val="3F1DC41B"/>
    <w:rsid w:val="3F8B0112"/>
    <w:rsid w:val="3FAB3095"/>
    <w:rsid w:val="3FE45947"/>
    <w:rsid w:val="41242965"/>
    <w:rsid w:val="417E62D1"/>
    <w:rsid w:val="435671EA"/>
    <w:rsid w:val="440809E9"/>
    <w:rsid w:val="442407A6"/>
    <w:rsid w:val="447C0DBE"/>
    <w:rsid w:val="44805EA1"/>
    <w:rsid w:val="45325D56"/>
    <w:rsid w:val="45710696"/>
    <w:rsid w:val="46142B1B"/>
    <w:rsid w:val="46395FC3"/>
    <w:rsid w:val="47E60DD0"/>
    <w:rsid w:val="48735039"/>
    <w:rsid w:val="492C684B"/>
    <w:rsid w:val="49500594"/>
    <w:rsid w:val="49E7604E"/>
    <w:rsid w:val="4AAF65C9"/>
    <w:rsid w:val="4BF67CDD"/>
    <w:rsid w:val="4D173441"/>
    <w:rsid w:val="4D603DD6"/>
    <w:rsid w:val="4E3430C7"/>
    <w:rsid w:val="4EBF010F"/>
    <w:rsid w:val="4F471EB0"/>
    <w:rsid w:val="51331326"/>
    <w:rsid w:val="51740A7F"/>
    <w:rsid w:val="51A5541E"/>
    <w:rsid w:val="51C96242"/>
    <w:rsid w:val="5261166D"/>
    <w:rsid w:val="53906AE1"/>
    <w:rsid w:val="54F46F60"/>
    <w:rsid w:val="55A37BEA"/>
    <w:rsid w:val="56362CD2"/>
    <w:rsid w:val="5778462C"/>
    <w:rsid w:val="5784687B"/>
    <w:rsid w:val="57846959"/>
    <w:rsid w:val="578E6A87"/>
    <w:rsid w:val="5A6D0D8B"/>
    <w:rsid w:val="5AC2203A"/>
    <w:rsid w:val="5CBB3334"/>
    <w:rsid w:val="5D115FAF"/>
    <w:rsid w:val="5EFC611B"/>
    <w:rsid w:val="62811722"/>
    <w:rsid w:val="62E75A72"/>
    <w:rsid w:val="63561CBB"/>
    <w:rsid w:val="64571880"/>
    <w:rsid w:val="649125B6"/>
    <w:rsid w:val="652F4C1A"/>
    <w:rsid w:val="65BE20CE"/>
    <w:rsid w:val="666D37F1"/>
    <w:rsid w:val="67087D8F"/>
    <w:rsid w:val="671F687E"/>
    <w:rsid w:val="67F415F8"/>
    <w:rsid w:val="682640D1"/>
    <w:rsid w:val="684B73E5"/>
    <w:rsid w:val="6A047A2A"/>
    <w:rsid w:val="6BBC7434"/>
    <w:rsid w:val="6EFB7548"/>
    <w:rsid w:val="6F3831C3"/>
    <w:rsid w:val="6F8B71C1"/>
    <w:rsid w:val="6FAD9676"/>
    <w:rsid w:val="70753482"/>
    <w:rsid w:val="707B522A"/>
    <w:rsid w:val="71D366A6"/>
    <w:rsid w:val="73194D05"/>
    <w:rsid w:val="73A83B0E"/>
    <w:rsid w:val="744D3EF9"/>
    <w:rsid w:val="74794411"/>
    <w:rsid w:val="75867C40"/>
    <w:rsid w:val="75B10B26"/>
    <w:rsid w:val="76432199"/>
    <w:rsid w:val="76F44829"/>
    <w:rsid w:val="76F968BA"/>
    <w:rsid w:val="76FC7AAE"/>
    <w:rsid w:val="77A267C0"/>
    <w:rsid w:val="78882278"/>
    <w:rsid w:val="78B118A6"/>
    <w:rsid w:val="79135044"/>
    <w:rsid w:val="791D6B7E"/>
    <w:rsid w:val="7A7D0F99"/>
    <w:rsid w:val="7AFF6533"/>
    <w:rsid w:val="7D1E420E"/>
    <w:rsid w:val="7DF9E914"/>
    <w:rsid w:val="7E4A0E7C"/>
    <w:rsid w:val="7EFD449D"/>
    <w:rsid w:val="979C47C3"/>
    <w:rsid w:val="FBFFB7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Balloon Text"/>
    <w:basedOn w:val="1"/>
    <w:link w:val="12"/>
    <w:unhideWhenUsed/>
    <w:qFormat/>
    <w:uiPriority w:val="99"/>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页脚 Char"/>
    <w:link w:val="3"/>
    <w:qFormat/>
    <w:uiPriority w:val="99"/>
    <w:rPr>
      <w:kern w:val="2"/>
      <w:sz w:val="18"/>
      <w:szCs w:val="18"/>
    </w:rPr>
  </w:style>
  <w:style w:type="character" w:customStyle="1" w:styleId="12">
    <w:name w:val="批注框文本 Char"/>
    <w:link w:val="4"/>
    <w:semiHidden/>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 w:type="paragraph" w:customStyle="1" w:styleId="19">
    <w:name w:val="Body Text First Indent1"/>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37</Pages>
  <Words>10425</Words>
  <Characters>12913</Characters>
  <Lines>60</Lines>
  <Paragraphs>16</Paragraphs>
  <TotalTime>0</TotalTime>
  <ScaleCrop>false</ScaleCrop>
  <LinksUpToDate>false</LinksUpToDate>
  <CharactersWithSpaces>13171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huanghe</cp:lastModifiedBy>
  <cp:lastPrinted>2018-07-26T10:50:00Z</cp:lastPrinted>
  <dcterms:modified xsi:type="dcterms:W3CDTF">2023-05-10T09:24:53Z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5B84A00E097744F39F902CE3E28609E3</vt:lpwstr>
  </property>
</Properties>
</file>