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许昌市人事培训中心</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许昌市人事培训中心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许昌市人事培训中心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许昌市人事培训中心主要职责是：按相关规定，对公务员进行依法行政等培训；</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事业单位专业技术人员进行相关培训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完成上级交给的其他培训任务。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许昌市人事培训中心内设机构</w:t>
      </w:r>
      <w:r>
        <w:rPr>
          <w:rFonts w:hint="eastAsia" w:ascii="仿宋_GB2312" w:hAnsi="仿宋_GB2312" w:eastAsia="仿宋_GB2312" w:cs="仿宋_GB2312"/>
          <w:kern w:val="0"/>
          <w:sz w:val="32"/>
          <w:szCs w:val="32"/>
          <w:highlight w:val="none"/>
          <w:lang w:val="en-US" w:eastAsia="zh-CN"/>
        </w:rPr>
        <w:t>1个，包括：办公室</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从决算单位构成看，许昌市人事培训中心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sz w:val="32"/>
          <w:szCs w:val="32"/>
          <w:highlight w:val="none"/>
        </w:rPr>
        <w:t>许昌市人事培训中心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0"/>
        <w:gridCol w:w="904"/>
        <w:gridCol w:w="1132"/>
        <w:gridCol w:w="4847"/>
        <w:gridCol w:w="904"/>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
        <w:gridCol w:w="298"/>
        <w:gridCol w:w="400"/>
        <w:gridCol w:w="420"/>
        <w:gridCol w:w="1498"/>
        <w:gridCol w:w="222"/>
        <w:gridCol w:w="223"/>
        <w:gridCol w:w="2879"/>
        <w:gridCol w:w="1077"/>
        <w:gridCol w:w="841"/>
        <w:gridCol w:w="266"/>
        <w:gridCol w:w="1128"/>
        <w:gridCol w:w="595"/>
        <w:gridCol w:w="366"/>
        <w:gridCol w:w="683"/>
        <w:gridCol w:w="153"/>
        <w:gridCol w:w="896"/>
        <w:gridCol w:w="60"/>
        <w:gridCol w:w="831"/>
        <w:gridCol w:w="173"/>
        <w:gridCol w:w="746"/>
        <w:gridCol w:w="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90" w:hRule="atLeast"/>
        </w:trPr>
        <w:tc>
          <w:tcPr>
            <w:tcW w:w="4852" w:type="pct"/>
            <w:gridSpan w:val="2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255" w:hRule="atLeast"/>
        </w:trPr>
        <w:tc>
          <w:tcPr>
            <w:tcW w:w="922" w:type="pct"/>
            <w:gridSpan w:val="4"/>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95"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89" w:type="pct"/>
            <w:gridSpan w:val="3"/>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39"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5"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51" w:type="pct"/>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255" w:hRule="atLeast"/>
        </w:trPr>
        <w:tc>
          <w:tcPr>
            <w:tcW w:w="922"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78" w:type="pct"/>
            <w:tcBorders>
              <w:top w:val="nil"/>
              <w:left w:val="nil"/>
              <w:bottom w:val="nil"/>
              <w:right w:val="nil"/>
            </w:tcBorders>
            <w:noWrap/>
            <w:vAlign w:val="bottom"/>
          </w:tcPr>
          <w:p>
            <w:pPr>
              <w:jc w:val="left"/>
              <w:rPr>
                <w:rFonts w:hint="eastAsia" w:ascii="宋体" w:hAnsi="宋体" w:eastAsia="宋体" w:cs="宋体"/>
                <w:i w:val="0"/>
                <w:iCs w:val="0"/>
                <w:color w:val="000000"/>
                <w:sz w:val="20"/>
                <w:szCs w:val="20"/>
                <w:highlight w:val="none"/>
                <w:u w:val="none"/>
              </w:rPr>
            </w:pPr>
          </w:p>
        </w:tc>
        <w:tc>
          <w:tcPr>
            <w:tcW w:w="78" w:type="pct"/>
            <w:tcBorders>
              <w:top w:val="nil"/>
              <w:left w:val="nil"/>
              <w:bottom w:val="nil"/>
              <w:right w:val="nil"/>
            </w:tcBorders>
            <w:noWrap/>
            <w:vAlign w:val="bottom"/>
          </w:tcPr>
          <w:p>
            <w:pPr>
              <w:jc w:val="left"/>
              <w:rPr>
                <w:rFonts w:hint="eastAsia" w:ascii="宋体" w:hAnsi="宋体" w:eastAsia="宋体" w:cs="宋体"/>
                <w:i w:val="0"/>
                <w:iCs w:val="0"/>
                <w:color w:val="000000"/>
                <w:sz w:val="20"/>
                <w:szCs w:val="20"/>
                <w:highlight w:val="none"/>
                <w:u w:val="none"/>
              </w:rPr>
            </w:pPr>
          </w:p>
        </w:tc>
        <w:tc>
          <w:tcPr>
            <w:tcW w:w="1395" w:type="pct"/>
            <w:gridSpan w:val="2"/>
            <w:tcBorders>
              <w:top w:val="nil"/>
              <w:left w:val="nil"/>
              <w:bottom w:val="nil"/>
              <w:right w:val="nil"/>
            </w:tcBorders>
            <w:noWrap/>
            <w:vAlign w:val="bottom"/>
          </w:tcPr>
          <w:p>
            <w:pPr>
              <w:jc w:val="left"/>
              <w:rPr>
                <w:rFonts w:hint="default" w:ascii="Arial" w:hAnsi="Arial" w:cs="Arial"/>
                <w:i w:val="0"/>
                <w:iCs w:val="0"/>
                <w:color w:val="000000"/>
                <w:sz w:val="20"/>
                <w:szCs w:val="20"/>
                <w:highlight w:val="none"/>
                <w:u w:val="none"/>
              </w:rPr>
            </w:pPr>
          </w:p>
        </w:tc>
        <w:tc>
          <w:tcPr>
            <w:tcW w:w="789" w:type="pct"/>
            <w:gridSpan w:val="3"/>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39"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5"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51" w:type="pct"/>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2475"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391"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39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339"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295"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337"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29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319"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395"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9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7"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9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7"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pct"/>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9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7"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9"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2475" w:type="pct"/>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91"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39"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95"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7"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9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9"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2475" w:type="pct"/>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95.72</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95.72</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93.05</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93.05</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66.66</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66.66</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60.41</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60.41</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6.26</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6.26</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26.39</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26.39</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24.01</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24.01</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1079" w:type="pct"/>
            <w:gridSpan w:val="6"/>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13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39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33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37"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19"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4" w:type="pct"/>
          <w:wAfter w:w="123" w:type="pct"/>
          <w:trHeight w:val="308" w:hRule="atLeast"/>
        </w:trPr>
        <w:tc>
          <w:tcPr>
            <w:tcW w:w="4852" w:type="pct"/>
            <w:gridSpan w:val="2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2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9" w:type="pct"/>
            <w:gridSpan w:val="2"/>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4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01"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79" w:type="pct"/>
            <w:gridSpan w:val="5"/>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70"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3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19" w:type="pct"/>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1379" w:type="pct"/>
            <w:gridSpan w:val="5"/>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70"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3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9"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76"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702"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70"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70"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375"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385"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701" w:type="pct"/>
            <w:gridSpan w:val="4"/>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67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5"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01" w:type="pct"/>
            <w:gridSpan w:val="4"/>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67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5"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701" w:type="pct"/>
            <w:gridSpan w:val="4"/>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676"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5"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5"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9" w:type="pct"/>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676"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70"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70"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75"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85"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19" w:type="pct"/>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111.08</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111.08</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74.79</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74.79</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60.42</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60.42</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26.64</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26.64</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1701"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67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702"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75"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85"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1"/>
        <w:gridCol w:w="544"/>
        <w:gridCol w:w="1108"/>
        <w:gridCol w:w="3918"/>
        <w:gridCol w:w="544"/>
        <w:gridCol w:w="958"/>
        <w:gridCol w:w="1366"/>
        <w:gridCol w:w="1126"/>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1"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9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8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8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30"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48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0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04"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138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30"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48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0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195"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22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9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8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3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9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3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39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4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2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8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9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9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95.72</w:t>
            </w: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95.72</w:t>
            </w: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15.37</w:t>
            </w: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15.37</w:t>
            </w:r>
          </w:p>
        </w:tc>
        <w:tc>
          <w:tcPr>
            <w:tcW w:w="138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33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92"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8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c>
          <w:tcPr>
            <w:tcW w:w="13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9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c>
          <w:tcPr>
            <w:tcW w:w="48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111.08</w:t>
            </w: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1"/>
        <w:gridCol w:w="391"/>
        <w:gridCol w:w="394"/>
        <w:gridCol w:w="5698"/>
        <w:gridCol w:w="2254"/>
        <w:gridCol w:w="2257"/>
        <w:gridCol w:w="2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00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591"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98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5"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1591"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98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57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200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9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79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9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0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00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7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9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111.08</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111.08</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106.16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74.79</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74.79</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60.42</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60.42</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14.37</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31.37</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26.64</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26.64</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200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79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9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3"/>
        <w:gridCol w:w="2974"/>
        <w:gridCol w:w="935"/>
        <w:gridCol w:w="1027"/>
        <w:gridCol w:w="2622"/>
        <w:gridCol w:w="939"/>
        <w:gridCol w:w="1023"/>
        <w:gridCol w:w="293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0"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04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2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56"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6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8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39"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36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56"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36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8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260"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04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2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36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92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36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0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4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4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2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2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76.49</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6.64</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18.21</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30.03</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0.72</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bookmarkStart w:id="0" w:name="_GoBack"/>
            <w:bookmarkEnd w:id="0"/>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0.03</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27.95</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27.95</w:t>
            </w: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03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104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4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2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36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3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9"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32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104.44</w:t>
            </w:r>
          </w:p>
        </w:tc>
        <w:tc>
          <w:tcPr>
            <w:tcW w:w="3012"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24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9"/>
        <w:gridCol w:w="1179"/>
        <w:gridCol w:w="1182"/>
        <w:gridCol w:w="1179"/>
        <w:gridCol w:w="1179"/>
        <w:gridCol w:w="1185"/>
        <w:gridCol w:w="1179"/>
        <w:gridCol w:w="1179"/>
        <w:gridCol w:w="1179"/>
        <w:gridCol w:w="1179"/>
        <w:gridCol w:w="1183"/>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6"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33"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3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9"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33" w:type="pct"/>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33"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99"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2500"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24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124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sz w:val="22"/>
                <w:szCs w:val="22"/>
                <w:highlight w:val="none"/>
              </w:rPr>
              <w:t>说明：我</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sz w:val="22"/>
                <w:szCs w:val="22"/>
                <w:highlight w:val="none"/>
              </w:rPr>
              <w:t>没有预算安排的三公经费，也没有预算安排的三公支出，故本表无数据</w:t>
            </w:r>
            <w:r>
              <w:rPr>
                <w:rFonts w:hint="eastAsia" w:ascii="宋体" w:hAnsi="宋体" w:eastAsia="宋体" w:cs="宋体"/>
                <w:sz w:val="22"/>
                <w:szCs w:val="22"/>
                <w:highlight w:val="none"/>
                <w:lang w:eastAsia="zh-CN"/>
              </w:rPr>
              <w:t>。</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
        <w:gridCol w:w="383"/>
        <w:gridCol w:w="383"/>
        <w:gridCol w:w="1890"/>
        <w:gridCol w:w="1686"/>
        <w:gridCol w:w="1686"/>
        <w:gridCol w:w="1686"/>
        <w:gridCol w:w="1686"/>
        <w:gridCol w:w="1686"/>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49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：许昌市人事培训中心</w:t>
            </w:r>
          </w:p>
        </w:tc>
        <w:tc>
          <w:tcPr>
            <w:tcW w:w="0" w:type="auto"/>
            <w:gridSpan w:val="2"/>
            <w:tcBorders>
              <w:top w:val="nil"/>
              <w:left w:val="nil"/>
              <w:bottom w:val="nil"/>
              <w:right w:val="nil"/>
            </w:tcBorders>
            <w:noWrap/>
            <w:vAlign w:val="bottom"/>
          </w:tcPr>
          <w:p>
            <w:pPr>
              <w:jc w:val="right"/>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5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仿宋_GB2312" w:cs="宋体"/>
                <w:i w:val="0"/>
                <w:iCs w:val="0"/>
                <w:color w:val="000000"/>
                <w:kern w:val="0"/>
                <w:sz w:val="22"/>
                <w:szCs w:val="22"/>
                <w:highlight w:val="none"/>
                <w:u w:val="none"/>
                <w:lang w:val="en-US" w:eastAsia="zh-CN" w:bidi="ar"/>
              </w:rPr>
            </w:pPr>
            <w:r>
              <w:rPr>
                <w:rFonts w:hint="eastAsia" w:ascii="宋体" w:hAnsi="宋体" w:eastAsia="宋体" w:cs="宋体"/>
                <w:sz w:val="22"/>
                <w:szCs w:val="22"/>
                <w:highlight w:val="none"/>
              </w:rPr>
              <w:t>说明：我</w:t>
            </w: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sz w:val="22"/>
                <w:szCs w:val="22"/>
                <w:highlight w:val="none"/>
              </w:rPr>
              <w:t>没有政府性基金收入，也没有使用政府性基金安排的支出，故本表无数据</w:t>
            </w:r>
            <w:r>
              <w:rPr>
                <w:rFonts w:hint="eastAsia" w:ascii="宋体" w:hAnsi="宋体" w:eastAsia="宋体" w:cs="宋体"/>
                <w:sz w:val="22"/>
                <w:szCs w:val="22"/>
                <w:highlight w:val="none"/>
                <w:lang w:eastAsia="zh-CN"/>
              </w:rPr>
              <w:t>。</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113.83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highlight w:val="none"/>
        </w:rPr>
        <w:t>33.71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rPr>
        <w:t>22.85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财政收回存量资金，</w:t>
      </w:r>
      <w:r>
        <w:rPr>
          <w:rFonts w:hint="eastAsia" w:ascii="仿宋_GB2312" w:hAnsi="仿宋_GB2312" w:eastAsia="仿宋_GB2312" w:cs="仿宋_GB2312"/>
          <w:sz w:val="32"/>
          <w:szCs w:val="32"/>
          <w:highlight w:val="none"/>
          <w:lang w:eastAsia="zh-CN"/>
        </w:rPr>
        <w:t>年末结转结余减少，</w:t>
      </w:r>
      <w:r>
        <w:rPr>
          <w:rFonts w:hint="eastAsia" w:ascii="仿宋_GB2312" w:hAnsi="仿宋_GB2312" w:eastAsia="仿宋_GB2312" w:cs="仿宋_GB2312"/>
          <w:sz w:val="32"/>
          <w:szCs w:val="32"/>
          <w:highlight w:val="none"/>
          <w:lang w:val="en-US" w:eastAsia="zh-CN"/>
        </w:rPr>
        <w:t>造成整体收、支下降</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highlight w:val="none"/>
          <w:lang w:val="en-US"/>
        </w:rPr>
        <w:t>95.72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highlight w:val="none"/>
          <w:lang w:val="en-US"/>
        </w:rPr>
        <w:t>95.72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highlight w:val="none"/>
          <w:lang w:val="en-US"/>
        </w:rPr>
        <w:t>111.08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highlight w:val="none"/>
          <w:lang w:val="en-US"/>
        </w:rPr>
        <w:t>111.08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eastAsia="zh-CN"/>
        </w:rPr>
        <w:t>0.00万元，占0.00%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highlight w:val="none"/>
          <w:lang w:val="en-US"/>
        </w:rPr>
        <w:t>111.08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highlight w:val="none"/>
          <w:lang w:val="en-US"/>
        </w:rPr>
        <w:t>27.67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lang w:val="en-US"/>
        </w:rPr>
        <w:t>19.94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财政收回年末结转结余资金，</w:t>
      </w:r>
      <w:r>
        <w:rPr>
          <w:rFonts w:hint="eastAsia" w:ascii="仿宋_GB2312" w:hAnsi="仿宋_GB2312" w:eastAsia="仿宋_GB2312" w:cs="仿宋_GB2312"/>
          <w:sz w:val="32"/>
          <w:szCs w:val="32"/>
          <w:highlight w:val="none"/>
          <w:lang w:eastAsia="zh-CN"/>
        </w:rPr>
        <w:t>年末结转结余减少，</w:t>
      </w:r>
      <w:r>
        <w:rPr>
          <w:rFonts w:hint="eastAsia" w:ascii="仿宋_GB2312" w:hAnsi="仿宋_GB2312" w:eastAsia="仿宋_GB2312" w:cs="仿宋_GB2312"/>
          <w:sz w:val="32"/>
          <w:szCs w:val="32"/>
          <w:highlight w:val="none"/>
          <w:lang w:val="en-US" w:eastAsia="zh-CN"/>
        </w:rPr>
        <w:t>造成整体收、支下降</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highlight w:val="none"/>
          <w:lang w:val="en-US"/>
        </w:rPr>
        <w:t>111.08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sz w:val="32"/>
          <w:szCs w:val="24"/>
          <w:highlight w:val="none"/>
          <w:lang w:val="en-US"/>
        </w:rPr>
        <w:t>减少9.06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lang w:val="en-US"/>
        </w:rPr>
        <w:t>7.54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本年单位调出</w:t>
      </w:r>
      <w:r>
        <w:rPr>
          <w:rFonts w:hint="eastAsia" w:ascii="仿宋_GB2312" w:hAnsi="仿宋_GB2312" w:eastAsia="仿宋_GB2312" w:cs="仿宋_GB2312"/>
          <w:sz w:val="32"/>
          <w:szCs w:val="32"/>
          <w:highlight w:val="none"/>
          <w:lang w:val="en-US" w:eastAsia="zh-CN"/>
        </w:rPr>
        <w:t>1人，人员经费减少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highlight w:val="none"/>
          <w:lang w:val="en-US"/>
        </w:rPr>
        <w:t>111.08</w:t>
      </w:r>
      <w:r>
        <w:rPr>
          <w:rFonts w:hint="eastAsia" w:ascii="仿宋_GB2312" w:hAnsi="仿宋_GB2312" w:eastAsia="仿宋_GB2312" w:cs="仿宋_GB2312"/>
          <w:sz w:val="32"/>
          <w:szCs w:val="32"/>
          <w:highlight w:val="none"/>
        </w:rPr>
        <w:t>万元，主要用于以下方面：一般公共服务（类）支出0.36万元，占0.32%；社会保障和就业（类）支出106.16万元，占95.57%；卫生健康（类）支出4.56万元，占4.11%。</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105.89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111.08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104.90</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2．社会保障和就业支出（类）人力资源和社会保障管理事务（款）行政运行（项）。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64.70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60.42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93.38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厉行节约，从严压缩办公经费开支及年中人员调出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．社会保障和就业支出（类）人力资源和社会保障管理事务（款）一般行政管理事务（项）。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214.48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部分支出使用结转结余资金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24.83</w:t>
      </w:r>
      <w:r>
        <w:rPr>
          <w:rFonts w:hint="eastAsia" w:ascii="仿宋_GB2312" w:hAnsi="仿宋_GB2312" w:eastAsia="仿宋_GB2312" w:cs="仿宋_GB2312"/>
          <w:sz w:val="32"/>
          <w:szCs w:val="32"/>
          <w:highlight w:val="none"/>
        </w:rPr>
        <w:t>万元，支出决算为26.64万元，完成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107.29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部分支出使用结转结余资金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100.42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部分支出使用结转结余资金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99.57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预算数存在差异的主要原因是四舍五入可能存在尾差。</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99.55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预算数存在差异的主要原因是四舍五入可能存在尾差。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年度一般公共预算财政拨款基本支出111.08万元。其中：人员经费</w:t>
      </w:r>
      <w:r>
        <w:rPr>
          <w:rFonts w:hint="eastAsia" w:ascii="仿宋_GB2312" w:hAnsi="仿宋_GB2312" w:eastAsia="仿宋_GB2312" w:cs="仿宋_GB2312"/>
          <w:sz w:val="32"/>
          <w:szCs w:val="32"/>
          <w:highlight w:val="none"/>
          <w:lang w:val="en-US" w:eastAsia="zh-CN"/>
        </w:rPr>
        <w:t>104.44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其他社会保障缴费、住房公积金、其他工资福利支出、退休费；公用经费</w:t>
      </w:r>
      <w:r>
        <w:rPr>
          <w:rFonts w:hint="eastAsia" w:ascii="仿宋_GB2312" w:hAnsi="仿宋_GB2312" w:eastAsia="仿宋_GB2312" w:cs="仿宋_GB2312"/>
          <w:sz w:val="32"/>
          <w:szCs w:val="32"/>
          <w:highlight w:val="none"/>
          <w:lang w:val="en-US" w:eastAsia="zh-CN"/>
        </w:rPr>
        <w:t>6.64</w:t>
      </w:r>
      <w:r>
        <w:rPr>
          <w:rFonts w:hint="eastAsia" w:ascii="仿宋_GB2312" w:hAnsi="仿宋_GB2312" w:eastAsia="仿宋_GB2312" w:cs="仿宋_GB2312"/>
          <w:sz w:val="32"/>
          <w:szCs w:val="32"/>
          <w:highlight w:val="none"/>
        </w:rPr>
        <w:t>万元，主要包括：办公费、邮电费、</w:t>
      </w:r>
      <w:r>
        <w:rPr>
          <w:rFonts w:hint="eastAsia" w:ascii="仿宋_GB2312" w:hAnsi="仿宋_GB2312" w:eastAsia="仿宋_GB2312" w:cs="仿宋_GB2312"/>
          <w:color w:val="auto"/>
          <w:sz w:val="32"/>
          <w:szCs w:val="32"/>
          <w:highlight w:val="none"/>
        </w:rPr>
        <w:t>差旅费、</w:t>
      </w:r>
      <w:r>
        <w:rPr>
          <w:rFonts w:hint="eastAsia" w:ascii="仿宋_GB2312" w:hAnsi="仿宋_GB2312" w:eastAsia="仿宋_GB2312" w:cs="仿宋_GB2312"/>
          <w:color w:val="auto"/>
          <w:sz w:val="32"/>
          <w:szCs w:val="32"/>
          <w:highlight w:val="none"/>
          <w:lang w:val="en-US" w:eastAsia="zh-CN"/>
        </w:rPr>
        <w:t>维修（护）费、</w:t>
      </w:r>
      <w:r>
        <w:rPr>
          <w:rFonts w:hint="eastAsia" w:ascii="仿宋_GB2312" w:hAnsi="仿宋_GB2312" w:eastAsia="仿宋_GB2312" w:cs="仿宋_GB2312"/>
          <w:sz w:val="32"/>
          <w:szCs w:val="32"/>
          <w:highlight w:val="none"/>
        </w:rPr>
        <w:t>劳务费、工会经费、福利费。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决算数与预算数不存在差异。因公出国（境）团组数0个，累计0人次。</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2021年度政府性基金预算财政拨款支出年初预算为0.00万元，支出决算为0.00万元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val="en-US" w:eastAsia="zh-CN"/>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2021年度</w:t>
      </w:r>
      <w:r>
        <w:rPr>
          <w:rFonts w:ascii="仿宋_GB2312" w:hAnsi="仿宋_GB2312" w:eastAsia="仿宋_GB2312" w:cs="仿宋_GB2312"/>
          <w:sz w:val="32"/>
          <w:szCs w:val="32"/>
          <w:highlight w:val="none"/>
        </w:rPr>
        <w:t>没有</w:t>
      </w:r>
      <w:r>
        <w:rPr>
          <w:rFonts w:hint="eastAsia" w:ascii="仿宋_GB2312" w:hAnsi="仿宋_GB2312" w:eastAsia="仿宋_GB2312" w:cs="仿宋_GB2312"/>
          <w:sz w:val="32"/>
          <w:szCs w:val="32"/>
          <w:highlight w:val="none"/>
        </w:rPr>
        <w:t>政府性</w:t>
      </w:r>
      <w:r>
        <w:rPr>
          <w:rFonts w:ascii="仿宋_GB2312" w:hAnsi="仿宋_GB2312" w:eastAsia="仿宋_GB2312" w:cs="仿宋_GB2312"/>
          <w:sz w:val="32"/>
          <w:szCs w:val="32"/>
          <w:highlight w:val="none"/>
        </w:rPr>
        <w:t>基金收入，也没有使用政府性基金</w:t>
      </w:r>
      <w:r>
        <w:rPr>
          <w:rFonts w:hint="eastAsia" w:ascii="仿宋_GB2312" w:hAnsi="仿宋_GB2312" w:eastAsia="仿宋_GB2312" w:cs="仿宋_GB2312"/>
          <w:sz w:val="32"/>
          <w:szCs w:val="32"/>
          <w:highlight w:val="none"/>
        </w:rPr>
        <w:t>安排</w:t>
      </w:r>
      <w:r>
        <w:rPr>
          <w:rFonts w:ascii="仿宋_GB2312" w:hAnsi="仿宋_GB2312" w:eastAsia="仿宋_GB2312" w:cs="仿宋_GB2312"/>
          <w:sz w:val="32"/>
          <w:szCs w:val="32"/>
          <w:highlight w:val="none"/>
        </w:rPr>
        <w:t>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i w:val="0"/>
          <w:iCs w:val="0"/>
          <w:color w:val="000000"/>
          <w:kern w:val="2"/>
          <w:sz w:val="32"/>
          <w:szCs w:val="32"/>
          <w:highlight w:val="none"/>
          <w:u w:val="none" w:color="auto"/>
          <w:lang w:val="en-US" w:eastAsia="zh-CN" w:bidi="ar-SA"/>
        </w:rPr>
        <w:t>我单位严格履行预算绩效管理主体责任，积极学习绩效培训相关课程，以绩效目标为导向，做好绩效运行监控，提升了绩效自评质量及绩效管理工作水平，充分发挥财政资金使用效益。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val="en-US" w:eastAsia="zh-CN"/>
        </w:rPr>
        <w:t>单位</w:t>
      </w:r>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较好地完成了单位整体绩效目标。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8A6DC7"/>
    <w:rsid w:val="01DC6F05"/>
    <w:rsid w:val="02824D02"/>
    <w:rsid w:val="02A3489A"/>
    <w:rsid w:val="02CA138D"/>
    <w:rsid w:val="02D82B2A"/>
    <w:rsid w:val="033646FC"/>
    <w:rsid w:val="03C75F80"/>
    <w:rsid w:val="0478364D"/>
    <w:rsid w:val="053D4C0D"/>
    <w:rsid w:val="0557532E"/>
    <w:rsid w:val="05621403"/>
    <w:rsid w:val="0799329C"/>
    <w:rsid w:val="08397436"/>
    <w:rsid w:val="086F16A7"/>
    <w:rsid w:val="0A0F7225"/>
    <w:rsid w:val="0A2B7D82"/>
    <w:rsid w:val="0AB17F49"/>
    <w:rsid w:val="0ADC40E9"/>
    <w:rsid w:val="0AE607F4"/>
    <w:rsid w:val="0B386127"/>
    <w:rsid w:val="0B451598"/>
    <w:rsid w:val="0B867103"/>
    <w:rsid w:val="0BB91287"/>
    <w:rsid w:val="0BEC73F4"/>
    <w:rsid w:val="0C392698"/>
    <w:rsid w:val="10BD36F6"/>
    <w:rsid w:val="11BF0649"/>
    <w:rsid w:val="123E3E08"/>
    <w:rsid w:val="12EA0895"/>
    <w:rsid w:val="132C67E2"/>
    <w:rsid w:val="133212F4"/>
    <w:rsid w:val="139B7994"/>
    <w:rsid w:val="13D22E22"/>
    <w:rsid w:val="14011A1D"/>
    <w:rsid w:val="14135CBD"/>
    <w:rsid w:val="141A72A6"/>
    <w:rsid w:val="161C2DFF"/>
    <w:rsid w:val="16373578"/>
    <w:rsid w:val="16D3336B"/>
    <w:rsid w:val="16FE0496"/>
    <w:rsid w:val="171952CF"/>
    <w:rsid w:val="17200028"/>
    <w:rsid w:val="17806C36"/>
    <w:rsid w:val="17A74F62"/>
    <w:rsid w:val="18A47774"/>
    <w:rsid w:val="1A8D28EB"/>
    <w:rsid w:val="1A9F2D78"/>
    <w:rsid w:val="1B2E6FD8"/>
    <w:rsid w:val="1B877D21"/>
    <w:rsid w:val="1BE702AD"/>
    <w:rsid w:val="1C4319A9"/>
    <w:rsid w:val="1C991A9B"/>
    <w:rsid w:val="1E443B4B"/>
    <w:rsid w:val="1E994F4A"/>
    <w:rsid w:val="1EAF0224"/>
    <w:rsid w:val="1F2230A4"/>
    <w:rsid w:val="20210932"/>
    <w:rsid w:val="202448E0"/>
    <w:rsid w:val="20F614FE"/>
    <w:rsid w:val="21302EEA"/>
    <w:rsid w:val="2166375E"/>
    <w:rsid w:val="22376FB5"/>
    <w:rsid w:val="23B15C7C"/>
    <w:rsid w:val="23E152D7"/>
    <w:rsid w:val="23EE2489"/>
    <w:rsid w:val="255D43C8"/>
    <w:rsid w:val="26714EF8"/>
    <w:rsid w:val="26876BDD"/>
    <w:rsid w:val="2714632A"/>
    <w:rsid w:val="27541E73"/>
    <w:rsid w:val="27B0539E"/>
    <w:rsid w:val="29365CF8"/>
    <w:rsid w:val="299469B3"/>
    <w:rsid w:val="2A805789"/>
    <w:rsid w:val="2A894B26"/>
    <w:rsid w:val="2ADC0D75"/>
    <w:rsid w:val="2B4A0E52"/>
    <w:rsid w:val="2C975890"/>
    <w:rsid w:val="2CD63AB4"/>
    <w:rsid w:val="2DEF21BB"/>
    <w:rsid w:val="2E4A2F05"/>
    <w:rsid w:val="2ECC1061"/>
    <w:rsid w:val="2FA476AD"/>
    <w:rsid w:val="303F7540"/>
    <w:rsid w:val="31DD00BF"/>
    <w:rsid w:val="3293174C"/>
    <w:rsid w:val="32BB38D4"/>
    <w:rsid w:val="32C9376D"/>
    <w:rsid w:val="33780472"/>
    <w:rsid w:val="33AF0905"/>
    <w:rsid w:val="348F6779"/>
    <w:rsid w:val="355932F4"/>
    <w:rsid w:val="35611882"/>
    <w:rsid w:val="36746FC3"/>
    <w:rsid w:val="368763AE"/>
    <w:rsid w:val="395D59E7"/>
    <w:rsid w:val="39A93932"/>
    <w:rsid w:val="3A915562"/>
    <w:rsid w:val="3B131A81"/>
    <w:rsid w:val="3B8D4765"/>
    <w:rsid w:val="3C000DBA"/>
    <w:rsid w:val="3C3009BC"/>
    <w:rsid w:val="3DC045D3"/>
    <w:rsid w:val="3E504FFB"/>
    <w:rsid w:val="3E615CD0"/>
    <w:rsid w:val="3E9C47F6"/>
    <w:rsid w:val="3F8B0112"/>
    <w:rsid w:val="3FAB3095"/>
    <w:rsid w:val="3FE45947"/>
    <w:rsid w:val="41242965"/>
    <w:rsid w:val="435671EA"/>
    <w:rsid w:val="440809E9"/>
    <w:rsid w:val="442407A6"/>
    <w:rsid w:val="446D6522"/>
    <w:rsid w:val="44805EA1"/>
    <w:rsid w:val="45710696"/>
    <w:rsid w:val="46142B1B"/>
    <w:rsid w:val="46582E6F"/>
    <w:rsid w:val="47E60DD0"/>
    <w:rsid w:val="48642014"/>
    <w:rsid w:val="48735039"/>
    <w:rsid w:val="48745EA4"/>
    <w:rsid w:val="492C684B"/>
    <w:rsid w:val="49500594"/>
    <w:rsid w:val="49E7604E"/>
    <w:rsid w:val="4BF67CDD"/>
    <w:rsid w:val="4D173441"/>
    <w:rsid w:val="4D603DD6"/>
    <w:rsid w:val="4D872FA7"/>
    <w:rsid w:val="4EBF010F"/>
    <w:rsid w:val="4F0270C1"/>
    <w:rsid w:val="4F471EB0"/>
    <w:rsid w:val="51331326"/>
    <w:rsid w:val="51740A7F"/>
    <w:rsid w:val="51A5541E"/>
    <w:rsid w:val="51C96242"/>
    <w:rsid w:val="53906AE1"/>
    <w:rsid w:val="5452177E"/>
    <w:rsid w:val="54992FD0"/>
    <w:rsid w:val="54DE4E87"/>
    <w:rsid w:val="54F46F60"/>
    <w:rsid w:val="55A37BEA"/>
    <w:rsid w:val="56227F65"/>
    <w:rsid w:val="56362CD2"/>
    <w:rsid w:val="5784687B"/>
    <w:rsid w:val="57846959"/>
    <w:rsid w:val="578E6A87"/>
    <w:rsid w:val="57DA56E8"/>
    <w:rsid w:val="5AC2203A"/>
    <w:rsid w:val="5CBB3334"/>
    <w:rsid w:val="5D0A54ED"/>
    <w:rsid w:val="5D115FAF"/>
    <w:rsid w:val="5EFF91F7"/>
    <w:rsid w:val="5F1020E1"/>
    <w:rsid w:val="614F51FF"/>
    <w:rsid w:val="61A07704"/>
    <w:rsid w:val="62811722"/>
    <w:rsid w:val="62E75A72"/>
    <w:rsid w:val="62F728DD"/>
    <w:rsid w:val="64571880"/>
    <w:rsid w:val="649125B6"/>
    <w:rsid w:val="652F4C1A"/>
    <w:rsid w:val="666D37F1"/>
    <w:rsid w:val="6683763C"/>
    <w:rsid w:val="67087D8F"/>
    <w:rsid w:val="671F687E"/>
    <w:rsid w:val="67582877"/>
    <w:rsid w:val="67F415F8"/>
    <w:rsid w:val="682640D1"/>
    <w:rsid w:val="684B73E5"/>
    <w:rsid w:val="6A047A2A"/>
    <w:rsid w:val="6A2E73C3"/>
    <w:rsid w:val="6EFB7548"/>
    <w:rsid w:val="6F3831C3"/>
    <w:rsid w:val="6F8B71C1"/>
    <w:rsid w:val="70753482"/>
    <w:rsid w:val="707B522A"/>
    <w:rsid w:val="70CD16CB"/>
    <w:rsid w:val="71D40F60"/>
    <w:rsid w:val="73194D05"/>
    <w:rsid w:val="73A83B0E"/>
    <w:rsid w:val="73CB1C40"/>
    <w:rsid w:val="744D3EF9"/>
    <w:rsid w:val="74794411"/>
    <w:rsid w:val="75867C40"/>
    <w:rsid w:val="75B10B26"/>
    <w:rsid w:val="76432199"/>
    <w:rsid w:val="76F44829"/>
    <w:rsid w:val="77A267C0"/>
    <w:rsid w:val="78882278"/>
    <w:rsid w:val="78B118A6"/>
    <w:rsid w:val="78F85751"/>
    <w:rsid w:val="79135044"/>
    <w:rsid w:val="7A7D0F99"/>
    <w:rsid w:val="7E4A0E7C"/>
    <w:rsid w:val="7EFD449D"/>
    <w:rsid w:val="7FFB0013"/>
    <w:rsid w:val="AFFF4B51"/>
    <w:rsid w:val="BFF7F7B2"/>
    <w:rsid w:val="E5FD3F35"/>
    <w:rsid w:val="EC7B1928"/>
    <w:rsid w:val="FE7B74A5"/>
    <w:rsid w:val="FFE7ED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7663</Words>
  <Characters>9239</Characters>
  <Lines>60</Lines>
  <Paragraphs>16</Paragraphs>
  <TotalTime>2</TotalTime>
  <ScaleCrop>false</ScaleCrop>
  <LinksUpToDate>false</LinksUpToDate>
  <CharactersWithSpaces>9462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huanghe</cp:lastModifiedBy>
  <cp:lastPrinted>2018-07-26T10:50:00Z</cp:lastPrinted>
  <dcterms:modified xsi:type="dcterms:W3CDTF">2023-05-10T09:26:04Z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90DC71E25BF14E30868FFA532691DB71</vt:lpwstr>
  </property>
</Properties>
</file>