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许昌市交通运输局（本级）单位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许昌市交通运输局</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48"/>
          <w:szCs w:val="4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许昌市交通运输局（本级）</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一）贯彻执行国家、省有关交通运输工作的法律法规和方针政策。承担涉及全市综合运输体系的规划协调工作,会同有关部门组织编制综合运输体系规划,负责编制公路、水路等规划，指导全市交通运输枢纽规划和管理。</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（二）组织拟订全市公路、水路等行业发展规划、规定并监督实施。参与拟订全市物流业发展规划,拟订有关规定和标准并监督实施。指导全市公路、水路行业有关体制改革工作。</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（三）承担全市道路、水路运输市场监管责任。组织拟订全市道路、水路运输有关规定和运营规范并监督实施。指导全市道路、水路客运及有关设施规划和管理工作,指导全市城乡客运、出租汽车行业管理工作。</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（四）承担全市水上交通安全监管责任。负责水上交通管制、船舶及相关水上设施检验、登记和防止污染，以及船舶与渡口设施安全保障、危险品运输监督、航道管理、渔船检验及其监督管理等工作。</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（五）负责提出全市公路、水路固定资产投资规模和方向、省市财政性资金安排意见。负责公路、水运工程项目设计审批。</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六）承担全市公路、水路建设市场监管责任。拟订全市公路、水路工程建设和维护相关规定并监督实施。组织协调全市公路、水路有关重点工程建设和工程质量、安全生产监督管理工作,指导全市交通运输基础设施建设、管理和维护工作。</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七）指导全市公路、水路行业安全生产和应急管理工作。按规定组织协调国家、省重点物资和紧急客货运输,负责全市公路路网运行监测、联网管理和协调工作。组织协调全市地方交通战备工作，承担国防动员有关工作。</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（八）指导全市交通运输信息化建设,监测分析运行情况,做好网络安全工作，开展相关统计工作,发布有关信息。指导全市公路、水路行业环境保护和节能减排工作。</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（九）制定全市交通运输行业科技有关规定并监督实施。组织重大科技研发,推动行业技术进步。</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（十）负责全市交通运输行业综合行政执法工作的统筹协调和监督指导。</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（十一）负责全市交通运输行业对外经济技术合作、引进利用外资、开展对外交流与合作。</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（十二）完成市委、市政府交办的其他任务。</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（十三）有关职责分工。</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1.许昌市交通运输局负责会同有关部门组织拟订全市综合交通运输发展战略和政策，组织编制综合交通运输规划，许昌市发展和改革委员会负责综合交通运输规划与全市经济社会发展总体规划的衔接平衡。许昌市交通运输局负责编制综合交通运输规划涉及的公路、水路等规划，许昌市发展和改革委员会负责编制综合交通运输规划涉及的铁路等规划。</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2.许昌市交通运输局负责提出全市公路、水路固定资产投资规模和方向、省市财政性资金安排意见；负责公路、水运工程建设项目设计审批。许昌市发展和改革委员会审批、核准、审核公路、水路项目须征得许昌市交通运输局同意。</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许昌市交通运输局内设机构9个，包括：办公室、法规科(政务服务科)、规划科、财务科、人事科、建设管理科、运输管理科、安全监督科(应急办公室)、许昌市交通战备办公室。另设有机关党委。</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从决算单位构成看，许昌市交通运输局决算包括：本级决算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1个</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w:t>
      </w:r>
      <w:r>
        <w:rPr>
          <w:rFonts w:hint="eastAsia" w:ascii="仿宋_GB2312" w:hAnsi="仿宋_GB2312" w:eastAsia="仿宋_GB2312" w:cs="仿宋_GB2312"/>
          <w:kern w:val="0"/>
          <w:sz w:val="32"/>
          <w:szCs w:val="32"/>
          <w:highlight w:val="none"/>
          <w:lang w:val="en-US" w:eastAsia="zh-CN"/>
        </w:rPr>
        <w:t>共1个，具体是：</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bookmarkStart w:id="0" w:name="_GoBack"/>
      <w:bookmarkEnd w:id="0"/>
      <w:r>
        <w:rPr>
          <w:rFonts w:hint="eastAsia" w:ascii="仿宋_GB2312" w:hAnsi="仿宋_GB2312" w:eastAsia="仿宋_GB2312" w:cs="仿宋_GB2312"/>
          <w:color w:val="auto"/>
          <w:kern w:val="0"/>
          <w:sz w:val="32"/>
          <w:szCs w:val="32"/>
          <w:highlight w:val="none"/>
          <w:lang w:val="en-US" w:eastAsia="zh-CN"/>
        </w:rPr>
        <w:t>许昌市交通运输局</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20"/>
        <w:gridCol w:w="829"/>
        <w:gridCol w:w="1385"/>
        <w:gridCol w:w="4442"/>
        <w:gridCol w:w="829"/>
        <w:gridCol w:w="18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4720" w:type="dxa"/>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82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38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44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82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86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4720"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：许昌市交通运输局（本级）</w:t>
            </w:r>
          </w:p>
        </w:tc>
        <w:tc>
          <w:tcPr>
            <w:tcW w:w="82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38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44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82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86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693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136" w:type="dxa"/>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8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29"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29"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8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3,156.03</w:t>
            </w: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8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8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8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47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8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8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8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8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8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8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8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8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8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8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8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8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8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8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8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8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8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8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8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3,156.03</w:t>
            </w: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3,559.66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8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3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630.39</w:t>
            </w: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44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86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29"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3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3,786.42</w:t>
            </w: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3,786.42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070" w:type="dxa"/>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0"/>
        <w:gridCol w:w="539"/>
        <w:gridCol w:w="540"/>
        <w:gridCol w:w="3956"/>
        <w:gridCol w:w="1379"/>
        <w:gridCol w:w="1379"/>
        <w:gridCol w:w="1138"/>
        <w:gridCol w:w="857"/>
        <w:gridCol w:w="857"/>
        <w:gridCol w:w="1419"/>
        <w:gridCol w:w="14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081"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540" w:type="dxa"/>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53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54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95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37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37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38"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85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85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41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477"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5575" w:type="dxa"/>
            <w:gridSpan w:val="4"/>
            <w:tcBorders>
              <w:top w:val="nil"/>
              <w:left w:val="nil"/>
              <w:bottom w:val="nil"/>
              <w:right w:val="nil"/>
            </w:tcBorders>
            <w:noWrap/>
            <w:vAlign w:val="bottom"/>
          </w:tcPr>
          <w:p>
            <w:pPr>
              <w:rPr>
                <w:rFonts w:hint="default" w:ascii="Arial" w:hAnsi="Arial" w:cs="Arial"/>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：许昌市交通运输局（本级）</w:t>
            </w:r>
          </w:p>
        </w:tc>
        <w:tc>
          <w:tcPr>
            <w:tcW w:w="137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37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38"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85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85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41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477"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575"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7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37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13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85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85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41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47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619"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7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7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3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1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619"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7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7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3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1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619"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7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7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3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1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575"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7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7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3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5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5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1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7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575"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3,156.03</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3,156.03</w:t>
            </w: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4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4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6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6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6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6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276.10</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276.10</w:t>
            </w: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6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222.87</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222.87</w:t>
            </w: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6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196.66</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196.66</w:t>
            </w: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6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26.21</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26.21</w:t>
            </w: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6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53.22</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53.22</w:t>
            </w: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6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53.22</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53.22</w:t>
            </w: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6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20.31</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20.31</w:t>
            </w: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6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20.31</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20.31</w:t>
            </w: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6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w:t>
            </w: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6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w:t>
            </w: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6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交通运输支出</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2,856.75</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2,856.75</w:t>
            </w: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6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公路水路运输</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2,856.75</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2,856.75</w:t>
            </w: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6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943.71</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943.71</w:t>
            </w: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6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46.56</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46.56</w:t>
            </w: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6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其他公路水路运输支出</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1,866.48</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1,866.48</w:t>
            </w: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081" w:type="dxa"/>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本年度取得的各项收入情况。本表金额转换为万元时，因四舍五入可能存在尾差。</w:t>
            </w:r>
          </w:p>
        </w:tc>
      </w:tr>
    </w:tbl>
    <w:p>
      <w:pPr>
        <w:rPr>
          <w:rFonts w:hint="eastAsia" w:ascii="宋体" w:hAnsi="宋体" w:eastAsia="宋体" w:cs="宋体"/>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4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9"/>
        <w:gridCol w:w="329"/>
        <w:gridCol w:w="3956"/>
        <w:gridCol w:w="1635"/>
        <w:gridCol w:w="1605"/>
        <w:gridCol w:w="1560"/>
        <w:gridCol w:w="1335"/>
        <w:gridCol w:w="1123"/>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3746"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329" w:type="dxa"/>
            <w:tcBorders>
              <w:top w:val="nil"/>
              <w:left w:val="nil"/>
              <w:bottom w:val="nil"/>
              <w:right w:val="nil"/>
            </w:tcBorders>
            <w:noWrap/>
            <w:vAlign w:val="bottom"/>
          </w:tcPr>
          <w:p>
            <w:pPr>
              <w:rPr>
                <w:rFonts w:hint="eastAsia" w:ascii="宋体" w:hAnsi="宋体" w:eastAsia="宋体" w:cs="宋体"/>
                <w:i w:val="0"/>
                <w:iCs w:val="0"/>
                <w:color w:val="000000"/>
                <w:sz w:val="18"/>
                <w:szCs w:val="18"/>
                <w:u w:val="none"/>
              </w:rPr>
            </w:pPr>
          </w:p>
        </w:tc>
        <w:tc>
          <w:tcPr>
            <w:tcW w:w="329" w:type="dxa"/>
            <w:tcBorders>
              <w:top w:val="nil"/>
              <w:left w:val="nil"/>
              <w:bottom w:val="nil"/>
              <w:right w:val="nil"/>
            </w:tcBorders>
            <w:noWrap/>
            <w:vAlign w:val="bottom"/>
          </w:tcPr>
          <w:p>
            <w:pPr>
              <w:rPr>
                <w:rFonts w:hint="eastAsia" w:ascii="宋体" w:hAnsi="宋体" w:eastAsia="宋体" w:cs="宋体"/>
                <w:i w:val="0"/>
                <w:iCs w:val="0"/>
                <w:color w:val="000000"/>
                <w:sz w:val="18"/>
                <w:szCs w:val="18"/>
                <w:u w:val="none"/>
              </w:rPr>
            </w:pPr>
          </w:p>
        </w:tc>
        <w:tc>
          <w:tcPr>
            <w:tcW w:w="329" w:type="dxa"/>
            <w:tcBorders>
              <w:top w:val="nil"/>
              <w:left w:val="nil"/>
              <w:bottom w:val="nil"/>
              <w:right w:val="nil"/>
            </w:tcBorders>
            <w:noWrap/>
            <w:vAlign w:val="bottom"/>
          </w:tcPr>
          <w:p>
            <w:pPr>
              <w:rPr>
                <w:rFonts w:hint="eastAsia" w:ascii="宋体" w:hAnsi="宋体" w:eastAsia="宋体" w:cs="宋体"/>
                <w:i w:val="0"/>
                <w:iCs w:val="0"/>
                <w:color w:val="000000"/>
                <w:sz w:val="18"/>
                <w:szCs w:val="18"/>
                <w:u w:val="none"/>
              </w:rPr>
            </w:pPr>
          </w:p>
        </w:tc>
        <w:tc>
          <w:tcPr>
            <w:tcW w:w="3956" w:type="dxa"/>
            <w:tcBorders>
              <w:top w:val="nil"/>
              <w:left w:val="nil"/>
              <w:bottom w:val="nil"/>
              <w:right w:val="nil"/>
            </w:tcBorders>
            <w:noWrap/>
            <w:vAlign w:val="bottom"/>
          </w:tcPr>
          <w:p>
            <w:pPr>
              <w:rPr>
                <w:rFonts w:hint="eastAsia" w:ascii="宋体" w:hAnsi="宋体" w:eastAsia="宋体" w:cs="宋体"/>
                <w:i w:val="0"/>
                <w:iCs w:val="0"/>
                <w:color w:val="000000"/>
                <w:sz w:val="18"/>
                <w:szCs w:val="18"/>
                <w:u w:val="none"/>
              </w:rPr>
            </w:pPr>
          </w:p>
        </w:tc>
        <w:tc>
          <w:tcPr>
            <w:tcW w:w="1635" w:type="dxa"/>
            <w:tcBorders>
              <w:top w:val="nil"/>
              <w:left w:val="nil"/>
              <w:bottom w:val="nil"/>
              <w:right w:val="nil"/>
            </w:tcBorders>
            <w:noWrap/>
            <w:vAlign w:val="bottom"/>
          </w:tcPr>
          <w:p>
            <w:pPr>
              <w:rPr>
                <w:rFonts w:hint="eastAsia" w:ascii="宋体" w:hAnsi="宋体" w:eastAsia="宋体" w:cs="宋体"/>
                <w:i w:val="0"/>
                <w:iCs w:val="0"/>
                <w:color w:val="000000"/>
                <w:sz w:val="18"/>
                <w:szCs w:val="18"/>
                <w:u w:val="none"/>
              </w:rPr>
            </w:pPr>
          </w:p>
        </w:tc>
        <w:tc>
          <w:tcPr>
            <w:tcW w:w="1605" w:type="dxa"/>
            <w:tcBorders>
              <w:top w:val="nil"/>
              <w:left w:val="nil"/>
              <w:bottom w:val="nil"/>
              <w:right w:val="nil"/>
            </w:tcBorders>
            <w:noWrap/>
            <w:vAlign w:val="bottom"/>
          </w:tcPr>
          <w:p>
            <w:pPr>
              <w:rPr>
                <w:rFonts w:hint="eastAsia" w:ascii="宋体" w:hAnsi="宋体" w:eastAsia="宋体" w:cs="宋体"/>
                <w:i w:val="0"/>
                <w:iCs w:val="0"/>
                <w:color w:val="000000"/>
                <w:sz w:val="18"/>
                <w:szCs w:val="18"/>
                <w:u w:val="none"/>
              </w:rPr>
            </w:pPr>
          </w:p>
        </w:tc>
        <w:tc>
          <w:tcPr>
            <w:tcW w:w="1560" w:type="dxa"/>
            <w:tcBorders>
              <w:top w:val="nil"/>
              <w:left w:val="nil"/>
              <w:bottom w:val="nil"/>
              <w:right w:val="nil"/>
            </w:tcBorders>
            <w:noWrap/>
            <w:vAlign w:val="bottom"/>
          </w:tcPr>
          <w:p>
            <w:pPr>
              <w:rPr>
                <w:rFonts w:hint="eastAsia" w:ascii="宋体" w:hAnsi="宋体" w:eastAsia="宋体" w:cs="宋体"/>
                <w:i w:val="0"/>
                <w:iCs w:val="0"/>
                <w:color w:val="000000"/>
                <w:sz w:val="18"/>
                <w:szCs w:val="18"/>
                <w:u w:val="none"/>
              </w:rPr>
            </w:pPr>
          </w:p>
        </w:tc>
        <w:tc>
          <w:tcPr>
            <w:tcW w:w="1335" w:type="dxa"/>
            <w:tcBorders>
              <w:top w:val="nil"/>
              <w:left w:val="nil"/>
              <w:bottom w:val="nil"/>
              <w:right w:val="nil"/>
            </w:tcBorders>
            <w:noWrap/>
            <w:vAlign w:val="bottom"/>
          </w:tcPr>
          <w:p>
            <w:pPr>
              <w:rPr>
                <w:rFonts w:hint="eastAsia" w:ascii="宋体" w:hAnsi="宋体" w:eastAsia="宋体" w:cs="宋体"/>
                <w:i w:val="0"/>
                <w:iCs w:val="0"/>
                <w:color w:val="000000"/>
                <w:sz w:val="18"/>
                <w:szCs w:val="18"/>
                <w:u w:val="none"/>
              </w:rPr>
            </w:pPr>
          </w:p>
        </w:tc>
        <w:tc>
          <w:tcPr>
            <w:tcW w:w="1123" w:type="dxa"/>
            <w:tcBorders>
              <w:top w:val="nil"/>
              <w:left w:val="nil"/>
              <w:bottom w:val="nil"/>
              <w:right w:val="nil"/>
            </w:tcBorders>
            <w:noWrap/>
            <w:vAlign w:val="bottom"/>
          </w:tcPr>
          <w:p>
            <w:pPr>
              <w:rPr>
                <w:rFonts w:hint="eastAsia" w:ascii="宋体" w:hAnsi="宋体" w:eastAsia="宋体" w:cs="宋体"/>
                <w:i w:val="0"/>
                <w:iCs w:val="0"/>
                <w:color w:val="000000"/>
                <w:sz w:val="18"/>
                <w:szCs w:val="18"/>
                <w:u w:val="none"/>
              </w:rPr>
            </w:pPr>
          </w:p>
        </w:tc>
        <w:tc>
          <w:tcPr>
            <w:tcW w:w="154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4943"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：许昌市交通运输局（本级）</w:t>
            </w:r>
          </w:p>
        </w:tc>
        <w:tc>
          <w:tcPr>
            <w:tcW w:w="1635" w:type="dxa"/>
            <w:tcBorders>
              <w:top w:val="nil"/>
              <w:left w:val="nil"/>
              <w:bottom w:val="nil"/>
              <w:right w:val="nil"/>
            </w:tcBorders>
            <w:noWrap/>
            <w:vAlign w:val="bottom"/>
          </w:tcPr>
          <w:p>
            <w:pPr>
              <w:rPr>
                <w:rFonts w:hint="eastAsia" w:ascii="宋体" w:hAnsi="宋体" w:eastAsia="宋体" w:cs="宋体"/>
                <w:i w:val="0"/>
                <w:iCs w:val="0"/>
                <w:color w:val="000000"/>
                <w:sz w:val="18"/>
                <w:szCs w:val="18"/>
                <w:u w:val="none"/>
              </w:rPr>
            </w:pPr>
          </w:p>
        </w:tc>
        <w:tc>
          <w:tcPr>
            <w:tcW w:w="1605" w:type="dxa"/>
            <w:tcBorders>
              <w:top w:val="nil"/>
              <w:left w:val="nil"/>
              <w:bottom w:val="nil"/>
              <w:right w:val="nil"/>
            </w:tcBorders>
            <w:noWrap/>
            <w:vAlign w:val="bottom"/>
          </w:tcPr>
          <w:p>
            <w:pPr>
              <w:rPr>
                <w:rFonts w:hint="eastAsia" w:ascii="宋体" w:hAnsi="宋体" w:eastAsia="宋体" w:cs="宋体"/>
                <w:i w:val="0"/>
                <w:iCs w:val="0"/>
                <w:color w:val="000000"/>
                <w:sz w:val="18"/>
                <w:szCs w:val="18"/>
                <w:u w:val="none"/>
              </w:rPr>
            </w:pPr>
          </w:p>
        </w:tc>
        <w:tc>
          <w:tcPr>
            <w:tcW w:w="1560" w:type="dxa"/>
            <w:tcBorders>
              <w:top w:val="nil"/>
              <w:left w:val="nil"/>
              <w:bottom w:val="nil"/>
              <w:right w:val="nil"/>
            </w:tcBorders>
            <w:noWrap/>
            <w:vAlign w:val="bottom"/>
          </w:tcPr>
          <w:p>
            <w:pPr>
              <w:rPr>
                <w:rFonts w:hint="eastAsia" w:ascii="宋体" w:hAnsi="宋体" w:eastAsia="宋体" w:cs="宋体"/>
                <w:i w:val="0"/>
                <w:iCs w:val="0"/>
                <w:color w:val="000000"/>
                <w:sz w:val="18"/>
                <w:szCs w:val="18"/>
                <w:u w:val="none"/>
              </w:rPr>
            </w:pPr>
          </w:p>
        </w:tc>
        <w:tc>
          <w:tcPr>
            <w:tcW w:w="1335" w:type="dxa"/>
            <w:tcBorders>
              <w:top w:val="nil"/>
              <w:left w:val="nil"/>
              <w:bottom w:val="nil"/>
              <w:right w:val="nil"/>
            </w:tcBorders>
            <w:noWrap/>
            <w:vAlign w:val="bottom"/>
          </w:tcPr>
          <w:p>
            <w:pPr>
              <w:rPr>
                <w:rFonts w:hint="eastAsia" w:ascii="宋体" w:hAnsi="宋体" w:eastAsia="宋体" w:cs="宋体"/>
                <w:i w:val="0"/>
                <w:iCs w:val="0"/>
                <w:color w:val="000000"/>
                <w:sz w:val="18"/>
                <w:szCs w:val="18"/>
                <w:u w:val="none"/>
              </w:rPr>
            </w:pPr>
          </w:p>
        </w:tc>
        <w:tc>
          <w:tcPr>
            <w:tcW w:w="1123" w:type="dxa"/>
            <w:tcBorders>
              <w:top w:val="nil"/>
              <w:left w:val="nil"/>
              <w:bottom w:val="nil"/>
              <w:right w:val="nil"/>
            </w:tcBorders>
            <w:noWrap/>
            <w:vAlign w:val="bottom"/>
          </w:tcPr>
          <w:p>
            <w:pPr>
              <w:rPr>
                <w:rFonts w:hint="eastAsia" w:ascii="宋体" w:hAnsi="宋体" w:eastAsia="宋体" w:cs="宋体"/>
                <w:i w:val="0"/>
                <w:iCs w:val="0"/>
                <w:color w:val="000000"/>
                <w:sz w:val="18"/>
                <w:szCs w:val="18"/>
                <w:u w:val="none"/>
              </w:rPr>
            </w:pPr>
          </w:p>
        </w:tc>
        <w:tc>
          <w:tcPr>
            <w:tcW w:w="154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43"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60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6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3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12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54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87"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43"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2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43"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3,559.66</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1,392.94</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2,166.72</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15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15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15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292.31</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292.31</w:t>
            </w:r>
          </w:p>
        </w:tc>
        <w:tc>
          <w:tcPr>
            <w:tcW w:w="15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239.08</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239.08</w:t>
            </w:r>
          </w:p>
        </w:tc>
        <w:tc>
          <w:tcPr>
            <w:tcW w:w="15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201.72</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201.72</w:t>
            </w:r>
          </w:p>
        </w:tc>
        <w:tc>
          <w:tcPr>
            <w:tcW w:w="15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37.37</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37.37</w:t>
            </w:r>
          </w:p>
        </w:tc>
        <w:tc>
          <w:tcPr>
            <w:tcW w:w="15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53.22</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53.22</w:t>
            </w:r>
          </w:p>
        </w:tc>
        <w:tc>
          <w:tcPr>
            <w:tcW w:w="15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53.22</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53.22</w:t>
            </w:r>
          </w:p>
        </w:tc>
        <w:tc>
          <w:tcPr>
            <w:tcW w:w="15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32.47</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32.47</w:t>
            </w:r>
          </w:p>
        </w:tc>
        <w:tc>
          <w:tcPr>
            <w:tcW w:w="15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32.47</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32.47</w:t>
            </w:r>
          </w:p>
        </w:tc>
        <w:tc>
          <w:tcPr>
            <w:tcW w:w="15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16.93</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16.93</w:t>
            </w:r>
          </w:p>
        </w:tc>
        <w:tc>
          <w:tcPr>
            <w:tcW w:w="15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15.54</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15.54</w:t>
            </w:r>
          </w:p>
        </w:tc>
        <w:tc>
          <w:tcPr>
            <w:tcW w:w="15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交通运输支出</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3,232.01</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1,065.29</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2,166.72</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公路水路运输</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3,232.01</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1,065.29</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2,166.72</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1,041.68</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1,015.29</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26.39</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323.84</w:t>
            </w:r>
          </w:p>
        </w:tc>
        <w:tc>
          <w:tcPr>
            <w:tcW w:w="16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323.84</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其他公路水路运输支出</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1,866.48</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1,816.48</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746"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w:t>
            </w: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6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14"/>
        <w:gridCol w:w="541"/>
        <w:gridCol w:w="1228"/>
        <w:gridCol w:w="3783"/>
        <w:gridCol w:w="541"/>
        <w:gridCol w:w="1179"/>
        <w:gridCol w:w="1348"/>
        <w:gridCol w:w="1041"/>
        <w:gridCol w:w="1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685"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3414" w:type="dxa"/>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541"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228"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78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541"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7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348"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41"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61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3414"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：许昌市交通运输局（本级）</w:t>
            </w:r>
          </w:p>
        </w:tc>
        <w:tc>
          <w:tcPr>
            <w:tcW w:w="541"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228"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78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541"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7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348"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41"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61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183"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502"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atLeast"/>
        </w:trPr>
        <w:tc>
          <w:tcPr>
            <w:tcW w:w="3414"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4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2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78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4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79"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4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04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6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3414"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4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2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78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4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9"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4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4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41"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2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41"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7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3,156.03</w:t>
            </w: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13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292.31</w:t>
            </w:r>
          </w:p>
        </w:tc>
        <w:tc>
          <w:tcPr>
            <w:tcW w:w="13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292.31</w:t>
            </w: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32.47</w:t>
            </w:r>
          </w:p>
        </w:tc>
        <w:tc>
          <w:tcPr>
            <w:tcW w:w="13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32.47</w:t>
            </w: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3,232.01</w:t>
            </w:r>
          </w:p>
        </w:tc>
        <w:tc>
          <w:tcPr>
            <w:tcW w:w="13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3,232.01</w:t>
            </w: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1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22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3,156.03</w:t>
            </w: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1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3,559.66</w:t>
            </w:r>
          </w:p>
        </w:tc>
        <w:tc>
          <w:tcPr>
            <w:tcW w:w="13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3,559.66</w:t>
            </w: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22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630.39</w:t>
            </w: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226.77</w:t>
            </w:r>
          </w:p>
        </w:tc>
        <w:tc>
          <w:tcPr>
            <w:tcW w:w="13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226.77</w:t>
            </w: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22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630.39</w:t>
            </w:r>
          </w:p>
        </w:tc>
        <w:tc>
          <w:tcPr>
            <w:tcW w:w="378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1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1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41"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22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3,786.42</w:t>
            </w: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1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3,786.42</w:t>
            </w:r>
          </w:p>
        </w:tc>
        <w:tc>
          <w:tcPr>
            <w:tcW w:w="13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3,786.42</w:t>
            </w: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5" w:hRule="atLeast"/>
        </w:trPr>
        <w:tc>
          <w:tcPr>
            <w:tcW w:w="14685"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w:t>
            </w: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29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16"/>
        <w:gridCol w:w="222"/>
        <w:gridCol w:w="222"/>
        <w:gridCol w:w="3616"/>
        <w:gridCol w:w="1932"/>
        <w:gridCol w:w="1725"/>
        <w:gridCol w:w="2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2977"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3216" w:type="dxa"/>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61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93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72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044"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3216"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：许昌市交通运输局（本级）</w:t>
            </w:r>
          </w:p>
        </w:tc>
        <w:tc>
          <w:tcPr>
            <w:tcW w:w="22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61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93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72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044"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27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701"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66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61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93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7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04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7" w:hRule="atLeast"/>
        </w:trPr>
        <w:tc>
          <w:tcPr>
            <w:tcW w:w="36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93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4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6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93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4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27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93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4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27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3,559.66</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1,392.94</w:t>
            </w:r>
          </w:p>
        </w:tc>
        <w:tc>
          <w:tcPr>
            <w:tcW w:w="20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2,166.72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9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20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9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20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9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20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9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292.31</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292.31</w:t>
            </w:r>
          </w:p>
        </w:tc>
        <w:tc>
          <w:tcPr>
            <w:tcW w:w="20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9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239.08</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239.08</w:t>
            </w:r>
          </w:p>
        </w:tc>
        <w:tc>
          <w:tcPr>
            <w:tcW w:w="20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3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9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201.72</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201.72</w:t>
            </w:r>
          </w:p>
        </w:tc>
        <w:tc>
          <w:tcPr>
            <w:tcW w:w="20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9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37.37</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37.37</w:t>
            </w:r>
          </w:p>
        </w:tc>
        <w:tc>
          <w:tcPr>
            <w:tcW w:w="20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3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9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53.22</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53.22</w:t>
            </w:r>
          </w:p>
        </w:tc>
        <w:tc>
          <w:tcPr>
            <w:tcW w:w="20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3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9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53.22</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53.22</w:t>
            </w:r>
          </w:p>
        </w:tc>
        <w:tc>
          <w:tcPr>
            <w:tcW w:w="20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9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32.47</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32.47</w:t>
            </w:r>
          </w:p>
        </w:tc>
        <w:tc>
          <w:tcPr>
            <w:tcW w:w="20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9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32.47</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32.47</w:t>
            </w:r>
          </w:p>
        </w:tc>
        <w:tc>
          <w:tcPr>
            <w:tcW w:w="20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9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16.93</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16.93</w:t>
            </w:r>
          </w:p>
        </w:tc>
        <w:tc>
          <w:tcPr>
            <w:tcW w:w="20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9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15.54</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15.54</w:t>
            </w:r>
          </w:p>
        </w:tc>
        <w:tc>
          <w:tcPr>
            <w:tcW w:w="20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3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交通运输支出</w:t>
            </w:r>
          </w:p>
        </w:tc>
        <w:tc>
          <w:tcPr>
            <w:tcW w:w="19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3,232.01</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1,065.29</w:t>
            </w:r>
          </w:p>
        </w:tc>
        <w:tc>
          <w:tcPr>
            <w:tcW w:w="20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2,166.72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w:t>
            </w:r>
          </w:p>
        </w:tc>
        <w:tc>
          <w:tcPr>
            <w:tcW w:w="3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公路水路运输</w:t>
            </w:r>
          </w:p>
        </w:tc>
        <w:tc>
          <w:tcPr>
            <w:tcW w:w="19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3,232.01</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1,065.29</w:t>
            </w:r>
          </w:p>
        </w:tc>
        <w:tc>
          <w:tcPr>
            <w:tcW w:w="20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2,166.72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2140101</w:t>
            </w:r>
          </w:p>
        </w:tc>
        <w:tc>
          <w:tcPr>
            <w:tcW w:w="3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9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1,041.68</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1,015.29</w:t>
            </w:r>
          </w:p>
        </w:tc>
        <w:tc>
          <w:tcPr>
            <w:tcW w:w="20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2140102</w:t>
            </w:r>
          </w:p>
        </w:tc>
        <w:tc>
          <w:tcPr>
            <w:tcW w:w="3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9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323.84</w:t>
            </w:r>
          </w:p>
        </w:tc>
        <w:tc>
          <w:tcPr>
            <w:tcW w:w="17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2140199</w:t>
            </w:r>
          </w:p>
        </w:tc>
        <w:tc>
          <w:tcPr>
            <w:tcW w:w="3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其他公路水路运输支出</w:t>
            </w:r>
          </w:p>
        </w:tc>
        <w:tc>
          <w:tcPr>
            <w:tcW w:w="19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1,866.48</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20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977" w:type="dxa"/>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8" w:type="dxa"/>
        <w:tblInd w:w="0" w:type="dxa"/>
        <w:tblLayout w:type="fixed"/>
        <w:tblCellMar>
          <w:top w:w="0" w:type="dxa"/>
          <w:left w:w="0" w:type="dxa"/>
          <w:bottom w:w="0" w:type="dxa"/>
          <w:right w:w="0" w:type="dxa"/>
        </w:tblCellMar>
      </w:tblPr>
      <w:tblGrid>
        <w:gridCol w:w="1008"/>
        <w:gridCol w:w="2785"/>
        <w:gridCol w:w="938"/>
        <w:gridCol w:w="870"/>
        <w:gridCol w:w="2066"/>
        <w:gridCol w:w="938"/>
        <w:gridCol w:w="870"/>
        <w:gridCol w:w="3575"/>
        <w:gridCol w:w="938"/>
      </w:tblGrid>
      <w:tr>
        <w:tblPrEx>
          <w:tblLayout w:type="fixed"/>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0"/>
                <w:szCs w:val="30"/>
                <w:highlight w:val="none"/>
                <w:lang w:bidi="ar"/>
              </w:rPr>
              <w:t>一般公共预算财政拨款基本支出决算明细表</w:t>
            </w:r>
          </w:p>
        </w:tc>
      </w:tr>
      <w:tr>
        <w:tblPrEx>
          <w:tblLayout w:type="fixed"/>
          <w:tblCellMar>
            <w:top w:w="0" w:type="dxa"/>
            <w:left w:w="0" w:type="dxa"/>
            <w:bottom w:w="0" w:type="dxa"/>
            <w:right w:w="0" w:type="dxa"/>
          </w:tblCellMar>
        </w:tblPrEx>
        <w:trPr>
          <w:trHeight w:val="405" w:hRule="atLeast"/>
        </w:trPr>
        <w:tc>
          <w:tcPr>
            <w:tcW w:w="100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2785"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206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3575"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938"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公开06表</w:t>
            </w:r>
          </w:p>
        </w:tc>
      </w:tr>
      <w:tr>
        <w:tblPrEx>
          <w:tblLayout w:type="fixed"/>
          <w:tblCellMar>
            <w:top w:w="0" w:type="dxa"/>
            <w:left w:w="0" w:type="dxa"/>
            <w:bottom w:w="0" w:type="dxa"/>
            <w:right w:w="0" w:type="dxa"/>
          </w:tblCellMar>
        </w:tblPrEx>
        <w:trPr>
          <w:trHeight w:val="300" w:hRule="atLeast"/>
        </w:trPr>
        <w:tc>
          <w:tcPr>
            <w:tcW w:w="1008" w:type="dxa"/>
            <w:tcBorders>
              <w:top w:val="nil"/>
              <w:left w:val="nil"/>
              <w:bottom w:val="nil"/>
              <w:right w:val="nil"/>
            </w:tcBorders>
            <w:noWrap/>
            <w:tcMar>
              <w:top w:w="15" w:type="dxa"/>
              <w:left w:w="15" w:type="dxa"/>
              <w:right w:w="15" w:type="dxa"/>
            </w:tcMar>
            <w:vAlign w:val="center"/>
          </w:tcPr>
          <w:p>
            <w:pPr>
              <w:widowControl/>
              <w:jc w:val="left"/>
              <w:textAlignment w:val="center"/>
              <w:rPr>
                <w:rFonts w:ascii="Arial" w:hAnsi="Arial" w:cs="Arial"/>
                <w:color w:val="000000"/>
                <w:sz w:val="18"/>
                <w:szCs w:val="18"/>
                <w:highlight w:val="none"/>
              </w:rPr>
            </w:pPr>
            <w:r>
              <w:rPr>
                <w:rFonts w:hint="eastAsia" w:ascii="Arial" w:hAnsi="Arial" w:cs="Arial"/>
                <w:color w:val="000000"/>
                <w:kern w:val="0"/>
                <w:sz w:val="18"/>
                <w:szCs w:val="18"/>
                <w:highlight w:val="none"/>
                <w:lang w:eastAsia="zh-CN" w:bidi="ar"/>
              </w:rPr>
              <w:t>单位</w:t>
            </w:r>
            <w:r>
              <w:rPr>
                <w:rFonts w:ascii="Arial" w:hAnsi="Arial" w:cs="Arial"/>
                <w:color w:val="000000"/>
                <w:kern w:val="0"/>
                <w:sz w:val="18"/>
                <w:szCs w:val="18"/>
                <w:highlight w:val="none"/>
                <w:lang w:bidi="ar"/>
              </w:rPr>
              <w:t>：</w:t>
            </w:r>
          </w:p>
        </w:tc>
        <w:tc>
          <w:tcPr>
            <w:tcW w:w="2785" w:type="dxa"/>
            <w:tcBorders>
              <w:top w:val="nil"/>
              <w:left w:val="nil"/>
              <w:bottom w:val="nil"/>
              <w:right w:val="nil"/>
            </w:tcBorders>
            <w:noWrap/>
            <w:tcMar>
              <w:top w:w="15" w:type="dxa"/>
              <w:left w:w="15" w:type="dxa"/>
              <w:right w:w="15" w:type="dxa"/>
            </w:tcMar>
            <w:vAlign w:val="center"/>
          </w:tcPr>
          <w:p>
            <w:pPr>
              <w:rPr>
                <w:rFonts w:ascii="Arial" w:hAnsi="Arial" w:cs="Arial"/>
                <w:color w:val="000000"/>
                <w:sz w:val="18"/>
                <w:szCs w:val="18"/>
                <w:highlight w:val="none"/>
              </w:rPr>
            </w:pPr>
            <w:r>
              <w:rPr>
                <w:rFonts w:hint="eastAsia" w:ascii="Arial" w:hAnsi="Arial" w:cs="Arial"/>
                <w:color w:val="000000"/>
                <w:sz w:val="18"/>
                <w:szCs w:val="18"/>
                <w:highlight w:val="none"/>
              </w:rPr>
              <w:t>许昌市交通运输局（本级）</w:t>
            </w: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000000"/>
                <w:sz w:val="18"/>
                <w:szCs w:val="18"/>
                <w:highlight w:val="none"/>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000000"/>
                <w:sz w:val="18"/>
                <w:szCs w:val="18"/>
                <w:highlight w:val="none"/>
              </w:rPr>
            </w:pPr>
          </w:p>
        </w:tc>
        <w:tc>
          <w:tcPr>
            <w:tcW w:w="2066" w:type="dxa"/>
            <w:tcBorders>
              <w:top w:val="nil"/>
              <w:left w:val="nil"/>
              <w:bottom w:val="nil"/>
              <w:right w:val="nil"/>
            </w:tcBorders>
            <w:noWrap/>
            <w:tcMar>
              <w:top w:w="15" w:type="dxa"/>
              <w:left w:w="15" w:type="dxa"/>
              <w:right w:w="15" w:type="dxa"/>
            </w:tcMar>
            <w:vAlign w:val="center"/>
          </w:tcPr>
          <w:p>
            <w:pPr>
              <w:rPr>
                <w:rFonts w:ascii="Arial" w:hAnsi="Arial" w:cs="Arial"/>
                <w:color w:val="000000"/>
                <w:sz w:val="18"/>
                <w:szCs w:val="18"/>
                <w:highlight w:val="none"/>
              </w:rPr>
            </w:pP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000000"/>
                <w:sz w:val="18"/>
                <w:szCs w:val="18"/>
                <w:highlight w:val="none"/>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000000"/>
                <w:sz w:val="18"/>
                <w:szCs w:val="18"/>
                <w:highlight w:val="none"/>
              </w:rPr>
            </w:pPr>
          </w:p>
        </w:tc>
        <w:tc>
          <w:tcPr>
            <w:tcW w:w="3575" w:type="dxa"/>
            <w:tcBorders>
              <w:top w:val="nil"/>
              <w:left w:val="nil"/>
              <w:bottom w:val="nil"/>
              <w:right w:val="nil"/>
            </w:tcBorders>
            <w:noWrap/>
            <w:tcMar>
              <w:top w:w="15" w:type="dxa"/>
              <w:left w:w="15" w:type="dxa"/>
              <w:right w:w="15" w:type="dxa"/>
            </w:tcMar>
            <w:vAlign w:val="center"/>
          </w:tcPr>
          <w:p>
            <w:pPr>
              <w:rPr>
                <w:rFonts w:ascii="Arial" w:hAnsi="Arial" w:cs="Arial"/>
                <w:color w:val="000000"/>
                <w:sz w:val="18"/>
                <w:szCs w:val="18"/>
                <w:highlight w:val="none"/>
              </w:rPr>
            </w:pPr>
          </w:p>
        </w:tc>
        <w:tc>
          <w:tcPr>
            <w:tcW w:w="938" w:type="dxa"/>
            <w:tcBorders>
              <w:top w:val="nil"/>
              <w:left w:val="nil"/>
              <w:bottom w:val="nil"/>
              <w:right w:val="nil"/>
            </w:tcBorders>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单位：万元</w:t>
            </w:r>
          </w:p>
        </w:tc>
      </w:tr>
      <w:tr>
        <w:tblPrEx>
          <w:tblLayout w:type="fixed"/>
          <w:tblCellMar>
            <w:top w:w="0" w:type="dxa"/>
            <w:left w:w="0" w:type="dxa"/>
            <w:bottom w:w="0" w:type="dxa"/>
            <w:right w:w="0" w:type="dxa"/>
          </w:tblCellMar>
        </w:tblPrEx>
        <w:trPr>
          <w:trHeight w:val="615" w:hRule="atLeast"/>
        </w:trPr>
        <w:tc>
          <w:tcPr>
            <w:tcW w:w="1008"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经济分类科目编码</w:t>
            </w:r>
          </w:p>
        </w:tc>
        <w:tc>
          <w:tcPr>
            <w:tcW w:w="278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经济分类科目编码</w:t>
            </w:r>
          </w:p>
        </w:tc>
        <w:tc>
          <w:tcPr>
            <w:tcW w:w="206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经济分类科目编码</w:t>
            </w:r>
          </w:p>
        </w:tc>
        <w:tc>
          <w:tcPr>
            <w:tcW w:w="357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科目名称</w:t>
            </w:r>
          </w:p>
        </w:tc>
        <w:tc>
          <w:tcPr>
            <w:tcW w:w="938"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决算数</w:t>
            </w:r>
          </w:p>
        </w:tc>
      </w:tr>
      <w:tr>
        <w:tblPrEx>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849.23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278.93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3.53</w:t>
            </w:r>
          </w:p>
        </w:tc>
      </w:tr>
      <w:tr>
        <w:tblPrEx>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基本工资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148.72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办公费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32.02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Layout w:type="fixed"/>
          <w:tblCellMar>
            <w:top w:w="0" w:type="dxa"/>
            <w:left w:w="0" w:type="dxa"/>
            <w:bottom w:w="0" w:type="dxa"/>
            <w:right w:w="0" w:type="dxa"/>
          </w:tblCellMar>
        </w:tblPrEx>
        <w:trPr>
          <w:trHeight w:val="90"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津贴补贴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564.25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印刷费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18.40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3.53</w:t>
            </w:r>
          </w:p>
        </w:tc>
      </w:tr>
      <w:tr>
        <w:tblPrEx>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奖金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28.86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咨询费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30106</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伙食补助费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手续费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30107</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绩效工资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3.37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大型修缮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30108</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机关事业单位基本养老保险费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37.37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32.67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职业年金缴费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邮电费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8.05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物资储备</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30110</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职工基本医疗保险缴费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17.60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取暖费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31009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土地补偿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30111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公务员医疗补助缴费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16.77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55.45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安置补助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30112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其他社会保障缴费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0.26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差旅费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9.50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31011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30113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住房公积金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35.23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拆迁补偿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30114</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医疗费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维修（护）费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27.25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30199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其他工资福利支出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0.18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租赁费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31019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对个人和家庭的补助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261.24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会议费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0.26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31021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离休费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39.32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培训费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7.86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31022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退休费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139.57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公务招待费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0.22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退职（役）费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30304</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抚恤金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53.22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31201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资本金注入</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30305</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生活补助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6.15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31203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政府投资基金股权投资</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30306</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救济费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劳务费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31204</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费用补贴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30307</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医疗费补助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29.35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31205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利息补贴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30308</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助学金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工会经费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2.87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31299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其他对企业补助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奖励金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福利费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9.23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对社会保障基金补助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30310</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个人农业生产补贴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30231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31302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对社会保险基金补助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30399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对其他个人和家庭的补助支出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30239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32.02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31303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补充全国社会保障基金</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30240</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30299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6.48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39906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赠与</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债务利息及费用支出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39907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30701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国内债务付息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39908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30702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国外债务付息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39999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Layout w:type="fixed"/>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30703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国内债务发行费用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Layout w:type="fixed"/>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30704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国外债务发行费用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Layout w:type="fixed"/>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人员经费合计</w:t>
            </w:r>
          </w:p>
        </w:tc>
        <w:tc>
          <w:tcPr>
            <w:tcW w:w="938"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1,110.47</w:t>
            </w:r>
          </w:p>
        </w:tc>
        <w:tc>
          <w:tcPr>
            <w:tcW w:w="8319"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公用经费合计</w:t>
            </w:r>
          </w:p>
        </w:tc>
        <w:tc>
          <w:tcPr>
            <w:tcW w:w="93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282.47</w:t>
            </w:r>
          </w:p>
        </w:tc>
      </w:tr>
      <w:tr>
        <w:tblPrEx>
          <w:tblLayout w:type="fixed"/>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注：本表反映</w:t>
            </w:r>
            <w:r>
              <w:rPr>
                <w:rFonts w:hint="eastAsia" w:ascii="宋体" w:hAnsi="宋体" w:cs="宋体"/>
                <w:color w:val="000000"/>
                <w:kern w:val="0"/>
                <w:sz w:val="22"/>
                <w:szCs w:val="22"/>
                <w:highlight w:val="none"/>
                <w:lang w:eastAsia="zh-CN" w:bidi="ar"/>
              </w:rPr>
              <w:t>单位</w:t>
            </w:r>
            <w:r>
              <w:rPr>
                <w:rFonts w:hint="eastAsia" w:ascii="宋体" w:hAnsi="宋体" w:cs="宋体"/>
                <w:color w:val="000000"/>
                <w:kern w:val="0"/>
                <w:sz w:val="22"/>
                <w:szCs w:val="22"/>
                <w:highlight w:val="none"/>
                <w:lang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07" w:type="dxa"/>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Layout w:type="fixed"/>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0"/>
                <w:szCs w:val="30"/>
                <w:highlight w:val="none"/>
                <w:lang w:bidi="ar"/>
              </w:rPr>
              <w:t>一般公共预算财政拨款“三公”经费支出决算表</w:t>
            </w:r>
          </w:p>
        </w:tc>
      </w:tr>
      <w:tr>
        <w:tblPrEx>
          <w:tblLayout w:type="fixed"/>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公开07表</w:t>
            </w:r>
          </w:p>
        </w:tc>
      </w:tr>
      <w:tr>
        <w:tblPrEx>
          <w:tblLayout w:type="fixed"/>
          <w:tblCellMar>
            <w:top w:w="0" w:type="dxa"/>
            <w:left w:w="0" w:type="dxa"/>
            <w:bottom w:w="0" w:type="dxa"/>
            <w:right w:w="0" w:type="dxa"/>
          </w:tblCellMar>
        </w:tblPrEx>
        <w:trPr>
          <w:trHeight w:val="300" w:hRule="atLeast"/>
        </w:trPr>
        <w:tc>
          <w:tcPr>
            <w:tcW w:w="3450" w:type="dxa"/>
            <w:gridSpan w:val="3"/>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eastAsia="zh-CN" w:bidi="ar"/>
              </w:rPr>
              <w:t>单位</w:t>
            </w:r>
            <w:r>
              <w:rPr>
                <w:rFonts w:hint="eastAsia" w:ascii="宋体" w:hAnsi="宋体" w:cs="宋体"/>
                <w:color w:val="000000"/>
                <w:kern w:val="0"/>
                <w:sz w:val="18"/>
                <w:szCs w:val="18"/>
                <w:highlight w:val="none"/>
                <w:lang w:bidi="ar"/>
              </w:rPr>
              <w:t>：许昌市交通运输局（本级）</w:t>
            </w: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单位：万元</w:t>
            </w:r>
          </w:p>
        </w:tc>
      </w:tr>
      <w:tr>
        <w:tblPrEx>
          <w:tblLayout w:type="fixed"/>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决算数</w:t>
            </w:r>
          </w:p>
        </w:tc>
      </w:tr>
      <w:tr>
        <w:tblPrEx>
          <w:tblLayout w:type="fixed"/>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公务接待费</w:t>
            </w:r>
          </w:p>
        </w:tc>
      </w:tr>
      <w:tr>
        <w:tblPrEx>
          <w:tblLayout w:type="fixed"/>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lang w:eastAsia="zh-CN" w:bidi="ar"/>
              </w:rPr>
            </w:pPr>
            <w:r>
              <w:rPr>
                <w:rFonts w:hint="eastAsia" w:ascii="宋体" w:hAnsi="宋体" w:cs="宋体"/>
                <w:color w:val="000000"/>
                <w:kern w:val="0"/>
                <w:sz w:val="22"/>
                <w:szCs w:val="22"/>
                <w:highlight w:val="none"/>
                <w:lang w:bidi="ar"/>
              </w:rPr>
              <w:t>公务用车</w:t>
            </w:r>
          </w:p>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lang w:eastAsia="zh-CN" w:bidi="ar"/>
              </w:rPr>
            </w:pPr>
            <w:r>
              <w:rPr>
                <w:rFonts w:hint="eastAsia" w:ascii="宋体" w:hAnsi="宋体" w:cs="宋体"/>
                <w:color w:val="000000"/>
                <w:kern w:val="0"/>
                <w:sz w:val="22"/>
                <w:szCs w:val="22"/>
                <w:highlight w:val="none"/>
                <w:lang w:bidi="ar"/>
              </w:rPr>
              <w:t>公务用车</w:t>
            </w:r>
          </w:p>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lang w:eastAsia="zh-CN" w:bidi="ar"/>
              </w:rPr>
            </w:pPr>
            <w:r>
              <w:rPr>
                <w:rFonts w:hint="eastAsia" w:ascii="宋体" w:hAnsi="宋体" w:cs="宋体"/>
                <w:color w:val="000000"/>
                <w:kern w:val="0"/>
                <w:sz w:val="22"/>
                <w:szCs w:val="22"/>
                <w:highlight w:val="none"/>
                <w:lang w:bidi="ar"/>
              </w:rPr>
              <w:t>公务用车</w:t>
            </w:r>
          </w:p>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lang w:eastAsia="zh-CN" w:bidi="ar"/>
              </w:rPr>
            </w:pPr>
            <w:r>
              <w:rPr>
                <w:rFonts w:hint="eastAsia" w:ascii="宋体" w:hAnsi="宋体" w:cs="宋体"/>
                <w:color w:val="000000"/>
                <w:kern w:val="0"/>
                <w:sz w:val="22"/>
                <w:szCs w:val="22"/>
                <w:highlight w:val="none"/>
                <w:lang w:bidi="ar"/>
              </w:rPr>
              <w:t>公务用车</w:t>
            </w:r>
          </w:p>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Layout w:type="fixed"/>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12</w:t>
            </w:r>
          </w:p>
        </w:tc>
      </w:tr>
      <w:tr>
        <w:tblPrEx>
          <w:tblLayout w:type="fixed"/>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12.44</w:t>
            </w: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12.22</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12.22</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0.22</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12.44</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12.22</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12.22</w:t>
            </w: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0.22</w:t>
            </w:r>
          </w:p>
        </w:tc>
      </w:tr>
      <w:tr>
        <w:tblPrEx>
          <w:tblLayout w:type="fixed"/>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注：本表反映</w:t>
            </w:r>
            <w:r>
              <w:rPr>
                <w:rFonts w:hint="eastAsia" w:ascii="宋体" w:hAnsi="宋体" w:cs="宋体"/>
                <w:color w:val="000000"/>
                <w:kern w:val="0"/>
                <w:sz w:val="22"/>
                <w:szCs w:val="22"/>
                <w:highlight w:val="none"/>
                <w:lang w:eastAsia="zh-CN" w:bidi="ar"/>
              </w:rPr>
              <w:t>单位</w:t>
            </w:r>
            <w:r>
              <w:rPr>
                <w:rFonts w:hint="eastAsia" w:ascii="宋体" w:hAnsi="宋体" w:cs="宋体"/>
                <w:color w:val="000000"/>
                <w:kern w:val="0"/>
                <w:sz w:val="22"/>
                <w:szCs w:val="22"/>
                <w:highlight w:val="none"/>
                <w:lang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4018" w:type="dxa"/>
        <w:tblInd w:w="0" w:type="dxa"/>
        <w:tblLayout w:type="fixed"/>
        <w:tblCellMar>
          <w:top w:w="0" w:type="dxa"/>
          <w:left w:w="0" w:type="dxa"/>
          <w:bottom w:w="0" w:type="dxa"/>
          <w:right w:w="0" w:type="dxa"/>
        </w:tblCellMar>
      </w:tblPr>
      <w:tblGrid>
        <w:gridCol w:w="612"/>
        <w:gridCol w:w="536"/>
        <w:gridCol w:w="1276"/>
        <w:gridCol w:w="1926"/>
        <w:gridCol w:w="30"/>
        <w:gridCol w:w="1896"/>
        <w:gridCol w:w="30"/>
        <w:gridCol w:w="1896"/>
        <w:gridCol w:w="30"/>
        <w:gridCol w:w="1897"/>
        <w:gridCol w:w="30"/>
        <w:gridCol w:w="1896"/>
        <w:gridCol w:w="30"/>
        <w:gridCol w:w="1903"/>
        <w:gridCol w:w="30"/>
      </w:tblGrid>
      <w:tr>
        <w:tblPrEx>
          <w:tblLayout w:type="fixed"/>
          <w:tblCellMar>
            <w:top w:w="0" w:type="dxa"/>
            <w:left w:w="0" w:type="dxa"/>
            <w:bottom w:w="0" w:type="dxa"/>
            <w:right w:w="0" w:type="dxa"/>
          </w:tblCellMar>
        </w:tblPrEx>
        <w:trPr>
          <w:gridAfter w:val="1"/>
          <w:wAfter w:w="30" w:type="dxa"/>
          <w:trHeight w:val="600" w:hRule="atLeast"/>
        </w:trPr>
        <w:tc>
          <w:tcPr>
            <w:tcW w:w="13988" w:type="dxa"/>
            <w:gridSpan w:val="14"/>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0"/>
                <w:szCs w:val="30"/>
                <w:highlight w:val="none"/>
                <w:lang w:bidi="ar"/>
              </w:rPr>
              <w:t>政府性基金预算财政拨款收入支出决算表</w:t>
            </w:r>
          </w:p>
        </w:tc>
      </w:tr>
      <w:tr>
        <w:tblPrEx>
          <w:tblLayout w:type="fixed"/>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127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7"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公开08表</w:t>
            </w:r>
          </w:p>
        </w:tc>
      </w:tr>
      <w:tr>
        <w:tblPrEx>
          <w:tblLayout w:type="fixed"/>
          <w:tblCellMar>
            <w:top w:w="0" w:type="dxa"/>
            <w:left w:w="0" w:type="dxa"/>
            <w:bottom w:w="0" w:type="dxa"/>
            <w:right w:w="0" w:type="dxa"/>
          </w:tblCellMar>
        </w:tblPrEx>
        <w:trPr>
          <w:trHeight w:val="300" w:hRule="atLeast"/>
        </w:trPr>
        <w:tc>
          <w:tcPr>
            <w:tcW w:w="4380" w:type="dxa"/>
            <w:gridSpan w:val="5"/>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kern w:val="0"/>
                <w:sz w:val="18"/>
                <w:szCs w:val="18"/>
                <w:highlight w:val="none"/>
                <w:lang w:eastAsia="zh-CN" w:bidi="ar"/>
              </w:rPr>
              <w:t>单位</w:t>
            </w:r>
            <w:r>
              <w:rPr>
                <w:rFonts w:hint="eastAsia" w:ascii="宋体" w:hAnsi="宋体" w:cs="宋体"/>
                <w:color w:val="000000"/>
                <w:kern w:val="0"/>
                <w:sz w:val="18"/>
                <w:szCs w:val="18"/>
                <w:highlight w:val="none"/>
                <w:lang w:bidi="ar"/>
              </w:rPr>
              <w:t>：许昌市交通运输局（本级）</w:t>
            </w: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单位：万元</w:t>
            </w:r>
          </w:p>
        </w:tc>
      </w:tr>
      <w:tr>
        <w:tblPrEx>
          <w:tblLayout w:type="fixed"/>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项    目</w:t>
            </w:r>
          </w:p>
        </w:tc>
        <w:tc>
          <w:tcPr>
            <w:tcW w:w="1926" w:type="dxa"/>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eastAsia="zh-CN" w:bidi="ar"/>
              </w:rPr>
              <w:t>年初</w:t>
            </w:r>
            <w:r>
              <w:rPr>
                <w:rFonts w:hint="eastAsia" w:ascii="宋体" w:hAnsi="宋体" w:cs="宋体"/>
                <w:color w:val="000000"/>
                <w:kern w:val="0"/>
                <w:sz w:val="22"/>
                <w:szCs w:val="22"/>
                <w:highlight w:val="none"/>
                <w:lang w:bidi="ar"/>
              </w:rPr>
              <w:t>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本年收入</w:t>
            </w:r>
          </w:p>
        </w:tc>
        <w:tc>
          <w:tcPr>
            <w:tcW w:w="5779"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年末结转和结余</w:t>
            </w:r>
          </w:p>
        </w:tc>
      </w:tr>
      <w:tr>
        <w:tblPrEx>
          <w:tblLayout w:type="fixed"/>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功能分类</w:t>
            </w:r>
          </w:p>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科目名称</w:t>
            </w: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Layout w:type="fixed"/>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Layout w:type="fixed"/>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Layout w:type="fixed"/>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栏次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6</w:t>
            </w:r>
          </w:p>
        </w:tc>
      </w:tr>
      <w:tr>
        <w:tblPrEx>
          <w:tblLayout w:type="fixed"/>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合计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Layout w:type="fixed"/>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Layout w:type="fixed"/>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Layout w:type="fixed"/>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Layout w:type="fixed"/>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Layout w:type="fixed"/>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Layout w:type="fixed"/>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33"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Layout w:type="fixed"/>
          <w:tblCellMar>
            <w:top w:w="0" w:type="dxa"/>
            <w:left w:w="0" w:type="dxa"/>
            <w:bottom w:w="0" w:type="dxa"/>
            <w:right w:w="0" w:type="dxa"/>
          </w:tblCellMar>
        </w:tblPrEx>
        <w:trPr>
          <w:gridAfter w:val="1"/>
          <w:wAfter w:w="30" w:type="dxa"/>
          <w:trHeight w:val="645" w:hRule="atLeast"/>
        </w:trPr>
        <w:tc>
          <w:tcPr>
            <w:tcW w:w="13988" w:type="dxa"/>
            <w:gridSpan w:val="14"/>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注：本表反映</w:t>
            </w:r>
            <w:r>
              <w:rPr>
                <w:rFonts w:hint="eastAsia" w:ascii="宋体" w:hAnsi="宋体" w:cs="宋体"/>
                <w:color w:val="000000"/>
                <w:kern w:val="0"/>
                <w:sz w:val="22"/>
                <w:szCs w:val="22"/>
                <w:highlight w:val="none"/>
                <w:lang w:eastAsia="zh-CN" w:bidi="ar"/>
              </w:rPr>
              <w:t>单位</w:t>
            </w:r>
            <w:r>
              <w:rPr>
                <w:rFonts w:hint="eastAsia" w:ascii="宋体" w:hAnsi="宋体" w:cs="宋体"/>
                <w:color w:val="000000"/>
                <w:kern w:val="0"/>
                <w:sz w:val="22"/>
                <w:szCs w:val="22"/>
                <w:highlight w:val="none"/>
                <w:lang w:bidi="ar"/>
              </w:rPr>
              <w:t>本年度政府性基金预算财政拨款收入、支出及结转和结余情况。</w:t>
            </w:r>
          </w:p>
          <w:p>
            <w:pPr>
              <w:widowControl/>
              <w:jc w:val="left"/>
              <w:textAlignment w:val="center"/>
              <w:rPr>
                <w:rFonts w:ascii="宋体" w:hAnsi="宋体" w:cs="宋体"/>
                <w:color w:val="000000"/>
                <w:sz w:val="22"/>
                <w:szCs w:val="22"/>
                <w:highlight w:val="none"/>
              </w:rPr>
            </w:pPr>
            <w:r>
              <w:rPr>
                <w:rFonts w:hint="eastAsia" w:ascii="宋体" w:hAnsi="宋体" w:eastAsia="宋体" w:cs="宋体"/>
                <w:color w:val="auto"/>
                <w:sz w:val="32"/>
                <w:szCs w:val="32"/>
                <w:highlight w:val="none"/>
                <w:lang w:val="en-US" w:eastAsia="zh-CN"/>
              </w:rPr>
              <w:t>说明：我</w:t>
            </w:r>
            <w:r>
              <w:rPr>
                <w:rFonts w:hint="eastAsia" w:ascii="宋体" w:hAnsi="宋体" w:cs="宋体"/>
                <w:color w:val="auto"/>
                <w:sz w:val="32"/>
                <w:szCs w:val="32"/>
                <w:highlight w:val="none"/>
                <w:lang w:val="en-US" w:eastAsia="zh-CN"/>
              </w:rPr>
              <w:t>单位</w:t>
            </w:r>
            <w:r>
              <w:rPr>
                <w:rFonts w:hint="eastAsia" w:ascii="宋体" w:hAnsi="宋体" w:eastAsia="宋体" w:cs="宋体"/>
                <w:color w:val="auto"/>
                <w:sz w:val="32"/>
                <w:szCs w:val="32"/>
                <w:highlight w:val="none"/>
                <w:lang w:val="en-US" w:eastAsia="zh-CN"/>
              </w:rPr>
              <w:t>没有政府性基金收入，也没有使用政府性基金安排的支出，故本表无数据。</w:t>
            </w:r>
          </w:p>
          <w:p>
            <w:pPr>
              <w:widowControl/>
              <w:jc w:val="center"/>
              <w:textAlignment w:val="center"/>
              <w:rPr>
                <w:rFonts w:hint="eastAsia" w:ascii="宋体" w:hAnsi="宋体" w:cs="宋体"/>
                <w:color w:val="000000"/>
                <w:sz w:val="22"/>
                <w:szCs w:val="22"/>
                <w:highlight w:val="none"/>
              </w:rPr>
            </w:pP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sz w:val="32"/>
          <w:szCs w:val="24"/>
        </w:rPr>
        <w:t>3,786.42</w:t>
      </w:r>
      <w:r>
        <w:rPr>
          <w:rFonts w:hint="eastAsia" w:ascii="仿宋_GB2312" w:hAnsi="仿宋_GB2312" w:eastAsia="仿宋_GB2312" w:cs="仿宋_GB2312"/>
          <w:sz w:val="32"/>
          <w:szCs w:val="32"/>
          <w:highlight w:val="none"/>
        </w:rPr>
        <w:t>万元。与上年度相比，收、支总计各增加</w:t>
      </w:r>
      <w:r>
        <w:rPr>
          <w:rFonts w:hint="eastAsia" w:ascii="仿宋_GB2312" w:hAnsi="仿宋_GB2312" w:eastAsia="仿宋_GB2312"/>
          <w:sz w:val="32"/>
          <w:szCs w:val="24"/>
        </w:rPr>
        <w:t>1,856.36</w:t>
      </w:r>
      <w:r>
        <w:rPr>
          <w:rFonts w:hint="eastAsia" w:ascii="仿宋_GB2312" w:hAnsi="仿宋_GB2312" w:eastAsia="仿宋_GB2312" w:cs="仿宋_GB2312"/>
          <w:sz w:val="32"/>
          <w:szCs w:val="32"/>
          <w:highlight w:val="none"/>
        </w:rPr>
        <w:t>万元，增长</w:t>
      </w:r>
      <w:r>
        <w:rPr>
          <w:rFonts w:hint="eastAsia" w:ascii="仿宋_GB2312" w:hAnsi="仿宋_GB2312" w:eastAsia="仿宋_GB2312"/>
          <w:sz w:val="32"/>
          <w:szCs w:val="24"/>
        </w:rPr>
        <w:t>96.18</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新增国三及以下排放标准营运柴油货车淘汰工作经费、化解信访事项困难救助金等</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收入合计3,156.03万元，其中：财政拨款收入3,156.03万元，占100.00%；上级补助收入0.00万元，占0.00%；事业收入0.00万元，占0.00%；经营收入0.00万元，占0.00%；附属单位上缴收入0.00万元，占0.00%；其他收入0.00万元，占0.00%。</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2021年度支出合计3,559.66万元，其中：基本支出1,392.94万元，占39.13%；项目支出2,166.72万元，占60.87%；上缴上级支出0.00万元，占0.00%；经营支出0.00万元，占0.00%；对附属单位补助支出0.00万元，占0.00%。</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sz w:val="32"/>
          <w:szCs w:val="24"/>
          <w:lang w:val="en-US"/>
        </w:rPr>
        <w:t>3,786.42</w:t>
      </w:r>
      <w:r>
        <w:rPr>
          <w:rFonts w:hint="eastAsia" w:ascii="仿宋_GB2312" w:hAnsi="仿宋_GB2312" w:eastAsia="仿宋_GB2312" w:cs="仿宋_GB2312"/>
          <w:sz w:val="32"/>
          <w:szCs w:val="32"/>
          <w:highlight w:val="none"/>
        </w:rPr>
        <w:t>万元。与上年度相比，财政拨款收、支总计各增加</w:t>
      </w:r>
      <w:r>
        <w:rPr>
          <w:rFonts w:hint="eastAsia" w:ascii="仿宋_GB2312" w:hAnsi="仿宋_GB2312" w:eastAsia="仿宋_GB2312"/>
          <w:sz w:val="32"/>
          <w:szCs w:val="24"/>
          <w:lang w:val="en-US"/>
        </w:rPr>
        <w:t>1,856.36</w:t>
      </w:r>
      <w:r>
        <w:rPr>
          <w:rFonts w:hint="eastAsia" w:ascii="仿宋_GB2312" w:hAnsi="仿宋_GB2312" w:eastAsia="仿宋_GB2312" w:cs="仿宋_GB2312"/>
          <w:sz w:val="32"/>
          <w:szCs w:val="32"/>
          <w:highlight w:val="none"/>
        </w:rPr>
        <w:t>万元，增长</w:t>
      </w:r>
      <w:r>
        <w:rPr>
          <w:rFonts w:hint="eastAsia" w:ascii="仿宋_GB2312" w:hAnsi="仿宋_GB2312" w:eastAsia="仿宋_GB2312"/>
          <w:sz w:val="32"/>
          <w:szCs w:val="24"/>
          <w:lang w:val="en-US"/>
        </w:rPr>
        <w:t>96.18</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新增国三及以下排放标准营运柴油货车淘汰工作经费、化解信访事项困难救助金等</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年度一般公共预算财政拨款支出3,559.66万元，占支出合计的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%。与上年度相比，一般公共预算财政拨款支出增加2,419.07万元，增长212.09%。主要原因是</w:t>
      </w:r>
      <w:r>
        <w:rPr>
          <w:rFonts w:hint="eastAsia" w:ascii="仿宋_GB2312" w:hAnsi="仿宋_GB2312" w:eastAsia="仿宋_GB2312" w:cs="仿宋_GB2312"/>
          <w:sz w:val="32"/>
          <w:szCs w:val="32"/>
          <w:highlight w:val="none"/>
          <w:lang w:eastAsia="zh-CN"/>
        </w:rPr>
        <w:t>支出国三及以下排放标准营运柴油货车淘汰工作经费、化解信访事项困难救助金和滨河路公交首末站项目资金等</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年度一般公共预算财政拨款支出3,559.66万元，主要用于以下方面：一般公共服务（类）支出</w:t>
      </w:r>
      <w:r>
        <w:rPr>
          <w:rFonts w:hint="eastAsia" w:ascii="仿宋_GB2312" w:hAnsi="仿宋_GB2312" w:eastAsia="仿宋_GB2312" w:cs="仿宋_GB2312"/>
          <w:sz w:val="32"/>
          <w:szCs w:val="32"/>
          <w:highlight w:val="none"/>
          <w:lang w:val="en-US" w:eastAsia="zh-CN"/>
        </w:rPr>
        <w:t>2.87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社会保障和就业（类）支出</w:t>
      </w:r>
      <w:r>
        <w:rPr>
          <w:rFonts w:hint="eastAsia" w:ascii="仿宋_GB2312" w:hAnsi="仿宋_GB2312" w:eastAsia="仿宋_GB2312" w:cs="仿宋_GB2312"/>
          <w:sz w:val="32"/>
          <w:szCs w:val="32"/>
          <w:highlight w:val="none"/>
          <w:lang w:val="en-US" w:eastAsia="zh-CN"/>
        </w:rPr>
        <w:t>292.31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8.21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卫生健康（类）支出32.47万元，占0.91%；交通运输支出（类）支出3232.01万元，占90.80%。</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预算为942.24万元，支出决算为3,559.66万元，完成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预算的377.79%。其中：</w:t>
      </w:r>
    </w:p>
    <w:p>
      <w:pPr>
        <w:widowControl/>
        <w:numPr>
          <w:ilvl w:val="0"/>
          <w:numId w:val="0"/>
        </w:numPr>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1.一般公共服务支出（类）群众团体事务（款）工会事务（项）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2.87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2.87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color w:val="auto"/>
          <w:sz w:val="32"/>
          <w:szCs w:val="32"/>
          <w:highlight w:val="none"/>
          <w:lang w:val="en-US" w:eastAsia="zh-CN"/>
        </w:rPr>
        <w:t>社会保障和就业支出（类）行政事业单位养老支出（款）行政单位离退休（项）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192.01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201.72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105.06</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追加离休干部医药费。</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color w:val="auto"/>
          <w:sz w:val="32"/>
          <w:szCs w:val="32"/>
          <w:highlight w:val="none"/>
          <w:lang w:val="en-US" w:eastAsia="zh-CN"/>
        </w:rPr>
        <w:t>社会保障和就业支出（类）行政事业单位养老支出（款）机关事业单位基本养老保险缴费支出（项）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34.96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37.37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106.89</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7月份基数调整，增加全年</w:t>
      </w:r>
      <w:r>
        <w:rPr>
          <w:rFonts w:hint="eastAsia" w:ascii="仿宋_GB2312" w:hAnsi="仿宋_GB2312" w:eastAsia="仿宋_GB2312" w:cs="仿宋_GB2312"/>
          <w:sz w:val="32"/>
          <w:szCs w:val="32"/>
          <w:highlight w:val="none"/>
          <w:lang w:eastAsia="zh-CN"/>
        </w:rPr>
        <w:t>基本养老保险经费</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color w:val="auto"/>
          <w:sz w:val="32"/>
          <w:szCs w:val="32"/>
          <w:highlight w:val="none"/>
          <w:lang w:val="en-US" w:eastAsia="zh-CN"/>
        </w:rPr>
        <w:t>社会保障和就业支出（类）抚恤（款）死亡抚恤（项）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53.22</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2021年</w:t>
      </w:r>
      <w:r>
        <w:rPr>
          <w:rFonts w:hint="eastAsia" w:ascii="仿宋_GB2312" w:hAnsi="仿宋_GB2312" w:eastAsia="仿宋_GB2312" w:cs="仿宋_GB2312"/>
          <w:sz w:val="32"/>
          <w:szCs w:val="32"/>
          <w:highlight w:val="none"/>
          <w:lang w:eastAsia="zh-CN"/>
        </w:rPr>
        <w:t>离休人员去世</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人</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color w:val="auto"/>
          <w:sz w:val="32"/>
          <w:szCs w:val="32"/>
          <w:highlight w:val="none"/>
          <w:lang w:val="en-US" w:eastAsia="zh-CN"/>
        </w:rPr>
        <w:t>卫生健康支出（类）行政事业单位医疗（款）行政单位医疗（项）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17.95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16.93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94.32</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退休一人，行政单位医疗费用减少</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color w:val="auto"/>
          <w:sz w:val="32"/>
          <w:szCs w:val="32"/>
          <w:highlight w:val="none"/>
          <w:lang w:val="en-US" w:eastAsia="zh-CN"/>
        </w:rPr>
        <w:t>卫生健康支出（类）行政事业单位医疗（款）公务员医疗补助（项）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17.10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15.54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90.88</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退休一人，公务员医疗补助减少</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7</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color w:val="auto"/>
          <w:sz w:val="32"/>
          <w:szCs w:val="32"/>
          <w:highlight w:val="none"/>
          <w:lang w:val="en-US" w:eastAsia="zh-CN"/>
        </w:rPr>
        <w:t>交通运输支出（类）公路水路运输（款）行政运行（项）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677.35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1041.68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153.79</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追加高速公路前期工作经费</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lang w:val="en-US" w:eastAsia="zh-CN"/>
        </w:rPr>
        <w:t>8.交通运输支出（类）公路水路运输（款）一般行政管理事务（项）</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323.84</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追加化解信访困难救助金、滨河路公交首末站项目资金等</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lang w:val="en-US" w:eastAsia="zh-CN"/>
        </w:rPr>
        <w:t>9.交通运输支出（类）公路水路运输（款）其他公路水路运输支出（项）</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1866.48</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追加</w:t>
      </w:r>
      <w:r>
        <w:rPr>
          <w:rFonts w:hint="eastAsia" w:ascii="仿宋_GB2312" w:hAnsi="仿宋_GB2312" w:eastAsia="仿宋_GB2312" w:cs="仿宋_GB2312"/>
          <w:sz w:val="32"/>
          <w:szCs w:val="32"/>
          <w:highlight w:val="none"/>
        </w:rPr>
        <w:t>十四五综合交通发展规划编制费</w:t>
      </w:r>
      <w:r>
        <w:rPr>
          <w:rFonts w:hint="eastAsia" w:ascii="仿宋_GB2312" w:hAnsi="仿宋_GB2312" w:eastAsia="仿宋_GB2312" w:cs="仿宋_GB2312"/>
          <w:sz w:val="32"/>
          <w:szCs w:val="32"/>
          <w:highlight w:val="none"/>
          <w:lang w:eastAsia="zh-CN"/>
        </w:rPr>
        <w:t>、国三及以下排放标准营运柴油货车淘汰工作经费等</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sz w:val="32"/>
          <w:szCs w:val="24"/>
          <w:lang w:val="en-US"/>
        </w:rPr>
        <w:t>1,392.94</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sz w:val="32"/>
          <w:szCs w:val="24"/>
          <w:lang w:val="en-US"/>
        </w:rPr>
        <w:t>1,110.47</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机关事业单位基本养老保险缴费、职工基本医疗保险缴费</w:t>
      </w:r>
      <w:r>
        <w:rPr>
          <w:rFonts w:hint="eastAsia" w:ascii="仿宋_GB2312" w:hAnsi="仿宋_GB2312" w:eastAsia="仿宋_GB2312" w:cs="仿宋_GB2312"/>
          <w:sz w:val="32"/>
          <w:szCs w:val="32"/>
          <w:highlight w:val="none"/>
          <w:lang w:eastAsia="zh-CN"/>
        </w:rPr>
        <w:t>、公务员医疗补助缴费、</w:t>
      </w:r>
      <w:r>
        <w:rPr>
          <w:rFonts w:hint="eastAsia" w:ascii="仿宋_GB2312" w:hAnsi="仿宋_GB2312" w:eastAsia="仿宋_GB2312" w:cs="仿宋_GB2312"/>
          <w:sz w:val="32"/>
          <w:szCs w:val="32"/>
          <w:highlight w:val="none"/>
        </w:rPr>
        <w:t>其他社会保障缴费、住房公积金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其他工资福利支出、离休费、退休费、抚恤金、生活补助、医疗费</w:t>
      </w:r>
      <w:r>
        <w:rPr>
          <w:rFonts w:hint="eastAsia" w:ascii="仿宋_GB2312" w:hAnsi="仿宋_GB2312" w:eastAsia="仿宋_GB2312" w:cs="仿宋_GB2312"/>
          <w:sz w:val="32"/>
          <w:szCs w:val="32"/>
          <w:highlight w:val="none"/>
          <w:lang w:val="en-US" w:eastAsia="zh-CN"/>
        </w:rPr>
        <w:t>补助</w:t>
      </w:r>
      <w:r>
        <w:rPr>
          <w:rFonts w:hint="eastAsia" w:ascii="仿宋_GB2312" w:hAnsi="仿宋_GB2312" w:eastAsia="仿宋_GB2312" w:cs="仿宋_GB2312"/>
          <w:sz w:val="32"/>
          <w:szCs w:val="32"/>
          <w:highlight w:val="none"/>
        </w:rPr>
        <w:t>；公用经费</w:t>
      </w:r>
      <w:r>
        <w:rPr>
          <w:rFonts w:hint="eastAsia" w:ascii="仿宋_GB2312" w:hAnsi="仿宋_GB2312" w:eastAsia="仿宋_GB2312"/>
          <w:sz w:val="32"/>
          <w:szCs w:val="24"/>
          <w:lang w:val="en-US"/>
        </w:rPr>
        <w:t>282.4</w:t>
      </w:r>
      <w:r>
        <w:rPr>
          <w:rFonts w:hint="eastAsia" w:ascii="仿宋_GB2312" w:hAnsi="仿宋_GB2312" w:eastAsia="仿宋_GB2312"/>
          <w:sz w:val="32"/>
          <w:szCs w:val="24"/>
          <w:lang w:val="en-US" w:eastAsia="zh-CN"/>
        </w:rPr>
        <w:t>7</w:t>
      </w:r>
      <w:r>
        <w:rPr>
          <w:rFonts w:hint="eastAsia" w:ascii="仿宋_GB2312" w:hAnsi="仿宋_GB2312" w:eastAsia="仿宋_GB2312" w:cs="仿宋_GB2312"/>
          <w:sz w:val="32"/>
          <w:szCs w:val="32"/>
          <w:highlight w:val="none"/>
        </w:rPr>
        <w:t>万元，主要包括：办公费、印刷费、水费、电费、邮电费、物业管理费、差旅费、维修（护）费、会议费、培训费、公务接待费、委托业务费、工会经费、福利费、公务用车运行维护费、其他交通费用、其他商品和服务支出、办公设备购置。</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sz w:val="32"/>
          <w:szCs w:val="24"/>
          <w:lang w:val="en-US"/>
        </w:rPr>
        <w:t>12.44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12.44</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%；公务用车购置及运行费支出决算</w:t>
      </w:r>
      <w:r>
        <w:rPr>
          <w:rFonts w:hint="eastAsia" w:ascii="仿宋_GB2312" w:hAnsi="仿宋_GB2312" w:eastAsia="仿宋_GB2312" w:cs="仿宋_GB2312"/>
          <w:sz w:val="32"/>
          <w:szCs w:val="32"/>
          <w:highlight w:val="none"/>
          <w:lang w:val="en-US" w:eastAsia="zh-CN"/>
        </w:rPr>
        <w:t>12.22</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98.23</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0.22</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1.77</w:t>
      </w:r>
      <w:r>
        <w:rPr>
          <w:rFonts w:hint="eastAsia" w:ascii="仿宋_GB2312" w:hAnsi="仿宋_GB2312" w:eastAsia="仿宋_GB2312" w:cs="仿宋_GB2312"/>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r>
        <w:rPr>
          <w:rFonts w:hint="eastAsia" w:ascii="仿宋_GB2312" w:hAnsi="仿宋_GB2312" w:eastAsia="仿宋_GB2312" w:cs="仿宋_GB2312"/>
          <w:sz w:val="32"/>
          <w:szCs w:val="32"/>
          <w:highlight w:val="none"/>
          <w:lang w:eastAsia="zh-CN"/>
        </w:rPr>
        <w:t>。因公出国（境）团组数0个，因公出国（境）人次数0人。</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12.22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12.22</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b/>
          <w:bCs/>
          <w:sz w:val="32"/>
          <w:szCs w:val="32"/>
          <w:highlight w:val="none"/>
          <w:lang w:val="en-US" w:eastAsia="zh-CN"/>
        </w:rPr>
        <w:t>12.22</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eastAsia="zh-CN"/>
        </w:rPr>
        <w:t>局本级和高速公路指挥部车辆维修、保险、加油等支出</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0.22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0.22</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0.22</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eastAsia="zh-CN"/>
        </w:rPr>
        <w:t>接待部和省厅检查、调研等</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不存在项目年末结转和结余资金数额较大</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情况说明：我单位</w:t>
      </w:r>
      <w:r>
        <w:rPr>
          <w:rFonts w:hint="eastAsia" w:ascii="仿宋_GB2312" w:hAnsi="仿宋_GB2312" w:eastAsia="仿宋_GB2312" w:cs="仿宋_GB2312"/>
          <w:sz w:val="32"/>
          <w:szCs w:val="32"/>
          <w:highlight w:val="none"/>
          <w:lang w:val="en-US" w:eastAsia="zh-CN"/>
        </w:rPr>
        <w:t>2021年度没有政府性基金收入，也没有使用政府性基金安排的支出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200.86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282.47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140.63</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使用</w:t>
      </w:r>
      <w:r>
        <w:rPr>
          <w:rFonts w:hint="eastAsia" w:ascii="仿宋_GB2312" w:hAnsi="仿宋_GB2312" w:eastAsia="仿宋_GB2312" w:cs="仿宋_GB2312"/>
          <w:color w:val="auto"/>
          <w:sz w:val="32"/>
          <w:szCs w:val="32"/>
          <w:highlight w:val="none"/>
          <w:lang w:val="en-US" w:eastAsia="zh-CN"/>
        </w:rPr>
        <w:t>结转的部分机关运行费</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spacing w:line="590" w:lineRule="exact"/>
        <w:ind w:firstLine="640"/>
        <w:rPr>
          <w:rFonts w:hint="default" w:eastAsia="Times New Roman"/>
          <w:kern w:val="0"/>
          <w:sz w:val="18"/>
          <w:szCs w:val="24"/>
          <w:lang w:val="en-US"/>
        </w:rPr>
      </w:pPr>
      <w:r>
        <w:rPr>
          <w:rFonts w:hint="eastAsia" w:ascii="仿宋_GB2312" w:hAnsi="仿宋_GB2312" w:eastAsia="仿宋_GB2312"/>
          <w:sz w:val="32"/>
          <w:szCs w:val="24"/>
          <w:lang w:val="en-US"/>
        </w:rPr>
        <w:t>2021年期末，我单位共有车辆2辆，其中：省级领导干部用车0辆、主要领导干部用车0辆、机要通信用车0辆、应急保障车0辆、执法执勤用车0辆、特种专业技术用车0辆、离退休干部用车0辆、其他用车2辆；单位价值50万元以上通用设备0台（套），单位价值100万元以上专用设备0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一是绩效评价管理机制不断完善。加强了绩效评价管理与财政资金监管、财政监督检查工作的相互融合，绩效评价在预算分配、预算执行、结果应用的全过程管理机制不断完善。规范了工作程序，明确了分阶段工作任务，强化了预算绩效在预算编制、执行中的全过程管理。二是绩效管理理念逐步建立。积极配合市财政部门对实施过程及运行情况的跟踪管理，对资金投入、资金使用方向、项目实施产生的效益有了总体把握，在年度预算资金分配中掌握了主动权，促进了预算编制的科学合理性。三是全面实施绩效自评。认真组织对2021年整体预算支出和项目预算支出开展绩效自评，评价过程中，针对存在问题，立即进行整改</w:t>
      </w:r>
    </w:p>
    <w:p>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2021年我单位纳入预算绩效管理的支出总额为3559.66万元，其中：基本支出1392.94万元；支出项目9个，支出金额2166.72万元。开展项目绩效自评项目4个，自评金额343.00万元；纳入重点绩效评价0个，评价金额0.00万元。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较好，总体得分93。二是项目绩效自评情况。我单位共有4个项目批复了绩效目标，项目金额343.00万元。其中：</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许昌市交通运输（本级）4个，项目金额343.00万元。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96.07分。其中：4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OXYcNCtAQAASwMA&#10;AA4AAAAAAAAAAQAgAAAAHgEAAGRycy9lMm9Eb2MueG1sUEsFBgAAAAAGAAYAWQEAAD0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IpoaUsQEA&#10;AE4DAAAOAAAAAAAAAAEAIAAAAB4BAABkcnMvZTJvRG9jLnhtbFBLBQYAAAAABgAGAFkBAABBBQAA&#10;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7H568BAABLAwAADgAAAGRycy9lMm9Eb2MueG1srVPNThsxEL5X4h0s&#10;34mXI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tqHnlDhucUS7Xz93v//u/jyRL7k9fYAasx4C5qXhyg845tEP6MyqBxVt/qIe&#10;gnFs9PbYXDkkIvKj2XQ2qzAkMDZeEJ89Pw8R0q30lmSjoRGnV5rKN18h7VPHlFzN+RttTJmgcf85&#10;EDN7WOa+55itNCyHg6Clb7eop8fBN9ThZlJi7hz2Ne/IaMTRWI7GOkS96soS5XoQLtcJSRRuucIe&#10;9lAYJ1bUHbYrr8TLe8l6/gcW/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Fb7H568BAABL&#10;AwAADgAAAAAAAAABACAAAAAeAQAAZHJzL2Uyb0RvYy54bWxQSwUGAAAAAAYABgBZAQAAPw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wMWFlNjMyYWZjMDU0OTE5ZTZlMzAyNDI4NTAyZmQ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723AB4"/>
    <w:rsid w:val="01C55106"/>
    <w:rsid w:val="01DC6F05"/>
    <w:rsid w:val="022846FA"/>
    <w:rsid w:val="02A3489A"/>
    <w:rsid w:val="02CA138D"/>
    <w:rsid w:val="033646FC"/>
    <w:rsid w:val="03C75F80"/>
    <w:rsid w:val="0478364D"/>
    <w:rsid w:val="0488690C"/>
    <w:rsid w:val="04CE302F"/>
    <w:rsid w:val="053D4C0D"/>
    <w:rsid w:val="0557532E"/>
    <w:rsid w:val="06837680"/>
    <w:rsid w:val="0799329C"/>
    <w:rsid w:val="08397436"/>
    <w:rsid w:val="086F16A7"/>
    <w:rsid w:val="08F05523"/>
    <w:rsid w:val="0A0F7225"/>
    <w:rsid w:val="0A2B7D82"/>
    <w:rsid w:val="0A9D1242"/>
    <w:rsid w:val="0ADC40E9"/>
    <w:rsid w:val="0AE607F4"/>
    <w:rsid w:val="0B386127"/>
    <w:rsid w:val="0B451598"/>
    <w:rsid w:val="0BEC73F4"/>
    <w:rsid w:val="0C392698"/>
    <w:rsid w:val="0CCB15A6"/>
    <w:rsid w:val="0CEC1C98"/>
    <w:rsid w:val="0FE321C6"/>
    <w:rsid w:val="10BD36F6"/>
    <w:rsid w:val="11BF0649"/>
    <w:rsid w:val="123E3E08"/>
    <w:rsid w:val="12826AC3"/>
    <w:rsid w:val="133212F4"/>
    <w:rsid w:val="13D22E22"/>
    <w:rsid w:val="14E21195"/>
    <w:rsid w:val="15926E24"/>
    <w:rsid w:val="160F1A73"/>
    <w:rsid w:val="161C2DFF"/>
    <w:rsid w:val="16373578"/>
    <w:rsid w:val="16D3336B"/>
    <w:rsid w:val="17200028"/>
    <w:rsid w:val="17806C36"/>
    <w:rsid w:val="17A74F62"/>
    <w:rsid w:val="18A47774"/>
    <w:rsid w:val="1A0F3454"/>
    <w:rsid w:val="1A5E72C2"/>
    <w:rsid w:val="1A8D28EB"/>
    <w:rsid w:val="1A9F2D78"/>
    <w:rsid w:val="1AAC7F70"/>
    <w:rsid w:val="1AE845F0"/>
    <w:rsid w:val="1B2E6FD8"/>
    <w:rsid w:val="1B877D21"/>
    <w:rsid w:val="1C4319A9"/>
    <w:rsid w:val="1E443B4B"/>
    <w:rsid w:val="1E994F4A"/>
    <w:rsid w:val="1EAF0224"/>
    <w:rsid w:val="1F2230A4"/>
    <w:rsid w:val="20210932"/>
    <w:rsid w:val="202448E0"/>
    <w:rsid w:val="20852D53"/>
    <w:rsid w:val="20F614FE"/>
    <w:rsid w:val="21302EEA"/>
    <w:rsid w:val="22376FB5"/>
    <w:rsid w:val="227710FC"/>
    <w:rsid w:val="23E152D7"/>
    <w:rsid w:val="23EE2489"/>
    <w:rsid w:val="255D43C8"/>
    <w:rsid w:val="26714EF8"/>
    <w:rsid w:val="26876BDD"/>
    <w:rsid w:val="2714632A"/>
    <w:rsid w:val="27541E73"/>
    <w:rsid w:val="27B0539E"/>
    <w:rsid w:val="29365CF8"/>
    <w:rsid w:val="299469B3"/>
    <w:rsid w:val="2A805789"/>
    <w:rsid w:val="2ADC0D75"/>
    <w:rsid w:val="2B4A0E52"/>
    <w:rsid w:val="2B4A43C5"/>
    <w:rsid w:val="2C975890"/>
    <w:rsid w:val="2CF0667B"/>
    <w:rsid w:val="2CFB7349"/>
    <w:rsid w:val="2D2A2F7B"/>
    <w:rsid w:val="2DEF21BB"/>
    <w:rsid w:val="2E4A2F05"/>
    <w:rsid w:val="2EB859E8"/>
    <w:rsid w:val="2ECC1061"/>
    <w:rsid w:val="2FA476AD"/>
    <w:rsid w:val="303F7540"/>
    <w:rsid w:val="31D73E4F"/>
    <w:rsid w:val="31DD00BF"/>
    <w:rsid w:val="32093FAF"/>
    <w:rsid w:val="320E67F7"/>
    <w:rsid w:val="3293174C"/>
    <w:rsid w:val="32BB38D4"/>
    <w:rsid w:val="32C9376D"/>
    <w:rsid w:val="32DD0626"/>
    <w:rsid w:val="33780472"/>
    <w:rsid w:val="33AF0905"/>
    <w:rsid w:val="33B56969"/>
    <w:rsid w:val="355932F4"/>
    <w:rsid w:val="35611882"/>
    <w:rsid w:val="36746FC3"/>
    <w:rsid w:val="368763AE"/>
    <w:rsid w:val="39456D42"/>
    <w:rsid w:val="395D59E7"/>
    <w:rsid w:val="39A93932"/>
    <w:rsid w:val="3A915562"/>
    <w:rsid w:val="3A94633F"/>
    <w:rsid w:val="3B8D4765"/>
    <w:rsid w:val="3C000DBA"/>
    <w:rsid w:val="3DC045D3"/>
    <w:rsid w:val="3E504FFB"/>
    <w:rsid w:val="3E615CD0"/>
    <w:rsid w:val="3E9C47F6"/>
    <w:rsid w:val="3F8B0112"/>
    <w:rsid w:val="3FAB3095"/>
    <w:rsid w:val="3FE45947"/>
    <w:rsid w:val="41242965"/>
    <w:rsid w:val="4154262F"/>
    <w:rsid w:val="43433227"/>
    <w:rsid w:val="435671EA"/>
    <w:rsid w:val="44060890"/>
    <w:rsid w:val="440809E9"/>
    <w:rsid w:val="442407A6"/>
    <w:rsid w:val="44453EC9"/>
    <w:rsid w:val="44805EA1"/>
    <w:rsid w:val="453E7B2C"/>
    <w:rsid w:val="45710696"/>
    <w:rsid w:val="46142B1B"/>
    <w:rsid w:val="47E60DD0"/>
    <w:rsid w:val="48735039"/>
    <w:rsid w:val="48795655"/>
    <w:rsid w:val="492C684B"/>
    <w:rsid w:val="49500594"/>
    <w:rsid w:val="49E7604E"/>
    <w:rsid w:val="4A536389"/>
    <w:rsid w:val="4BF67CDD"/>
    <w:rsid w:val="4D173441"/>
    <w:rsid w:val="4D557D7C"/>
    <w:rsid w:val="4D603DD6"/>
    <w:rsid w:val="4DB95A4C"/>
    <w:rsid w:val="4EBF010F"/>
    <w:rsid w:val="4F471EB0"/>
    <w:rsid w:val="510B6626"/>
    <w:rsid w:val="51331326"/>
    <w:rsid w:val="51740A7F"/>
    <w:rsid w:val="51A5541E"/>
    <w:rsid w:val="51C96242"/>
    <w:rsid w:val="53906AE1"/>
    <w:rsid w:val="541B59D7"/>
    <w:rsid w:val="54F46F60"/>
    <w:rsid w:val="559E4158"/>
    <w:rsid w:val="55A37BEA"/>
    <w:rsid w:val="55E96801"/>
    <w:rsid w:val="56362CD2"/>
    <w:rsid w:val="5784687B"/>
    <w:rsid w:val="57846959"/>
    <w:rsid w:val="578E6A87"/>
    <w:rsid w:val="5AC2203A"/>
    <w:rsid w:val="5B0B3E9E"/>
    <w:rsid w:val="5CBB3334"/>
    <w:rsid w:val="5D0E2082"/>
    <w:rsid w:val="5D115FAF"/>
    <w:rsid w:val="5D445AA3"/>
    <w:rsid w:val="5F6A2235"/>
    <w:rsid w:val="610D0B4B"/>
    <w:rsid w:val="61D27B22"/>
    <w:rsid w:val="62181AF6"/>
    <w:rsid w:val="62811722"/>
    <w:rsid w:val="628630E1"/>
    <w:rsid w:val="62E75A72"/>
    <w:rsid w:val="64571880"/>
    <w:rsid w:val="649125B6"/>
    <w:rsid w:val="64A532CB"/>
    <w:rsid w:val="652F4C1A"/>
    <w:rsid w:val="65BE0315"/>
    <w:rsid w:val="666D37F1"/>
    <w:rsid w:val="67087D8F"/>
    <w:rsid w:val="671F687E"/>
    <w:rsid w:val="67E764CD"/>
    <w:rsid w:val="67F415F8"/>
    <w:rsid w:val="682640D1"/>
    <w:rsid w:val="68284659"/>
    <w:rsid w:val="684B73E5"/>
    <w:rsid w:val="689C5480"/>
    <w:rsid w:val="696718EF"/>
    <w:rsid w:val="6A047A2A"/>
    <w:rsid w:val="6E8850C1"/>
    <w:rsid w:val="6EFB7548"/>
    <w:rsid w:val="6F3831C3"/>
    <w:rsid w:val="6F8B71C1"/>
    <w:rsid w:val="70753482"/>
    <w:rsid w:val="707B522A"/>
    <w:rsid w:val="70AC1A77"/>
    <w:rsid w:val="71E52F59"/>
    <w:rsid w:val="73194D05"/>
    <w:rsid w:val="73A83B0E"/>
    <w:rsid w:val="7415331D"/>
    <w:rsid w:val="744D3EF9"/>
    <w:rsid w:val="74794411"/>
    <w:rsid w:val="75867C40"/>
    <w:rsid w:val="75B10B26"/>
    <w:rsid w:val="762B5381"/>
    <w:rsid w:val="76432199"/>
    <w:rsid w:val="76F44829"/>
    <w:rsid w:val="778F713D"/>
    <w:rsid w:val="77A267C0"/>
    <w:rsid w:val="78882278"/>
    <w:rsid w:val="78B118A6"/>
    <w:rsid w:val="79135044"/>
    <w:rsid w:val="796A072B"/>
    <w:rsid w:val="79C626D0"/>
    <w:rsid w:val="7A7D0F99"/>
    <w:rsid w:val="7D3C78EA"/>
    <w:rsid w:val="7D49232B"/>
    <w:rsid w:val="7D4F34D8"/>
    <w:rsid w:val="7E4A0E7C"/>
    <w:rsid w:val="7EDA0185"/>
    <w:rsid w:val="7EFD44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34</Pages>
  <Words>9611</Words>
  <Characters>11914</Characters>
  <Lines>60</Lines>
  <Paragraphs>16</Paragraphs>
  <TotalTime>18</TotalTime>
  <ScaleCrop>false</ScaleCrop>
  <LinksUpToDate>false</LinksUpToDate>
  <CharactersWithSpaces>12169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Administrator</cp:lastModifiedBy>
  <cp:lastPrinted>2018-07-24T10:50:00Z</cp:lastPrinted>
  <dcterms:modified xsi:type="dcterms:W3CDTF">2023-05-09T08:21:10Z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F56CEF538C8E4E10ACFF733A6122BDDA</vt:lpwstr>
  </property>
</Properties>
</file>