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许昌市乡村振兴局</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本级</w:t>
      </w:r>
      <w:r>
        <w:rPr>
          <w:rFonts w:hint="eastAsia" w:ascii="黑体" w:hAnsi="黑体" w:eastAsia="黑体" w:cs="黑体"/>
          <w:sz w:val="52"/>
          <w:szCs w:val="52"/>
          <w:highlight w:val="none"/>
        </w:rPr>
        <w:t>）</w:t>
      </w: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许昌市乡村振兴局（本级）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许昌市乡村振兴局（本级）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（一）</w:t>
      </w:r>
      <w:r>
        <w:rPr>
          <w:rFonts w:hint="eastAsia" w:eastAsia="仿宋_GB2312"/>
          <w:sz w:val="32"/>
          <w:szCs w:val="32"/>
        </w:rPr>
        <w:t>组织拟订全市扶贫开发工作规划、年度计划并会同有关部门监督检查执行情况。</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（二）</w:t>
      </w:r>
      <w:r>
        <w:rPr>
          <w:rFonts w:hint="eastAsia" w:eastAsia="仿宋_GB2312"/>
          <w:color w:val="000000"/>
          <w:sz w:val="32"/>
          <w:szCs w:val="32"/>
        </w:rPr>
        <w:t>贯彻执行贫困退出机制，</w:t>
      </w:r>
      <w:r>
        <w:rPr>
          <w:rFonts w:hint="eastAsia" w:eastAsia="仿宋_GB2312"/>
          <w:sz w:val="32"/>
          <w:szCs w:val="32"/>
        </w:rPr>
        <w:t>负责全市贫困人口建档立卡、精准扶贫工作。</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（三）</w:t>
      </w:r>
      <w:r>
        <w:rPr>
          <w:rFonts w:hint="eastAsia" w:eastAsia="仿宋_GB2312"/>
          <w:sz w:val="32"/>
          <w:szCs w:val="32"/>
        </w:rPr>
        <w:t>统筹协调行业扶贫工作，动员组织推动社会扶贫工作，联系协调党政机关、企事业单位、社会团体定点扶贫工作。</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（四）</w:t>
      </w:r>
      <w:r>
        <w:rPr>
          <w:rFonts w:hint="eastAsia" w:eastAsia="仿宋_GB2312"/>
          <w:sz w:val="32"/>
          <w:szCs w:val="32"/>
        </w:rPr>
        <w:t>参与制定全市财政专项扶贫资金分配方案，检查扶贫开发资金的使用，指导全市扶贫开发内部审计工作，会同有关</w:t>
      </w:r>
      <w:bookmarkStart w:id="0" w:name="_GoBack"/>
      <w:r>
        <w:rPr>
          <w:rFonts w:hint="eastAsia" w:eastAsia="仿宋_GB2312"/>
          <w:sz w:val="32"/>
          <w:szCs w:val="32"/>
        </w:rPr>
        <w:t>部门</w:t>
      </w:r>
      <w:bookmarkEnd w:id="0"/>
      <w:r>
        <w:rPr>
          <w:rFonts w:hint="eastAsia" w:eastAsia="仿宋_GB2312"/>
          <w:sz w:val="32"/>
          <w:szCs w:val="32"/>
        </w:rPr>
        <w:t>负责贫困村扶贫开发目标任务完成情况监督、考核、评估，指导项目库建设。</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（五）</w:t>
      </w:r>
      <w:r>
        <w:rPr>
          <w:rFonts w:hint="eastAsia" w:eastAsia="仿宋_GB2312"/>
          <w:sz w:val="32"/>
          <w:szCs w:val="32"/>
        </w:rPr>
        <w:t>指导全市产业扶贫工作，会同有关部门拟订扶贫开发产业相关规范性文件，协同推进金融扶贫工作。</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（六）</w:t>
      </w:r>
      <w:r>
        <w:rPr>
          <w:rFonts w:hint="eastAsia" w:eastAsia="仿宋_GB2312"/>
          <w:sz w:val="32"/>
          <w:szCs w:val="32"/>
        </w:rPr>
        <w:t xml:space="preserve">协调指导全市革命老区扶贫开发工作。 </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（七）</w:t>
      </w:r>
      <w:r>
        <w:rPr>
          <w:rFonts w:hint="eastAsia" w:eastAsia="仿宋_GB2312"/>
          <w:sz w:val="32"/>
          <w:szCs w:val="32"/>
        </w:rPr>
        <w:t>负责组织指导农村贫困劳动力技能培训、扶贫干部教育培训工作，负责扶贫开发宣传工作。</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（八）</w:t>
      </w:r>
      <w:r>
        <w:rPr>
          <w:rFonts w:hint="eastAsia" w:eastAsia="仿宋_GB2312"/>
          <w:sz w:val="32"/>
          <w:szCs w:val="32"/>
        </w:rPr>
        <w:t>负责组织全市脱贫攻坚督查巡查工作。</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（九）</w:t>
      </w:r>
      <w:r>
        <w:rPr>
          <w:rFonts w:hint="eastAsia" w:eastAsia="仿宋_GB2312"/>
          <w:sz w:val="32"/>
          <w:szCs w:val="32"/>
        </w:rPr>
        <w:t>负责全市扶贫系统信息化建设和统计工作。</w:t>
      </w:r>
    </w:p>
    <w:p>
      <w:pPr>
        <w:spacing w:line="600" w:lineRule="exact"/>
        <w:ind w:firstLine="642" w:firstLineChars="200"/>
        <w:rPr>
          <w:rFonts w:hint="eastAsia" w:eastAsia="仿宋_GB2312"/>
          <w:sz w:val="32"/>
          <w:szCs w:val="32"/>
        </w:rPr>
      </w:pPr>
      <w:r>
        <w:rPr>
          <w:rFonts w:hint="eastAsia" w:ascii="楷体_GB2312" w:hAnsi="楷体_GB2312" w:eastAsia="楷体_GB2312" w:cs="楷体_GB2312"/>
          <w:b/>
          <w:bCs/>
          <w:sz w:val="32"/>
          <w:szCs w:val="32"/>
        </w:rPr>
        <w:t>（十）</w:t>
      </w:r>
      <w:r>
        <w:rPr>
          <w:rFonts w:hint="eastAsia" w:eastAsia="仿宋_GB2312"/>
          <w:sz w:val="32"/>
          <w:szCs w:val="32"/>
        </w:rPr>
        <w:t>参与开展有关扶贫的对外交流与合作。</w:t>
      </w:r>
    </w:p>
    <w:p>
      <w:pPr>
        <w:spacing w:line="600" w:lineRule="exact"/>
        <w:ind w:firstLine="642" w:firstLineChars="200"/>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（十一）</w:t>
      </w:r>
      <w:r>
        <w:rPr>
          <w:rFonts w:hint="eastAsia" w:eastAsia="仿宋_GB2312"/>
          <w:sz w:val="32"/>
          <w:szCs w:val="32"/>
        </w:rPr>
        <w:t>完成市委、市政府交办的其他任务。</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eastAsia="zh-CN"/>
        </w:rPr>
        <w:t>许昌市乡村振兴局（本级）</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kern w:val="0"/>
          <w:sz w:val="32"/>
          <w:szCs w:val="32"/>
        </w:rPr>
        <w:t>综合科、规划评价科、行业和社会扶贫科、督查考核科</w:t>
      </w:r>
      <w:r>
        <w:rPr>
          <w:rFonts w:hint="eastAsia" w:ascii="仿宋_GB2312" w:hAnsi="仿宋_GB2312" w:eastAsia="仿宋_GB2312" w:cs="仿宋_GB2312"/>
          <w:kern w:val="0"/>
          <w:sz w:val="32"/>
          <w:szCs w:val="32"/>
          <w:lang w:eastAsia="zh-CN"/>
        </w:rPr>
        <w:t>、产业开发科</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许昌市乡村振兴局（本级）单位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sz w:val="32"/>
          <w:szCs w:val="32"/>
          <w:highlight w:val="none"/>
          <w:lang w:eastAsia="zh-CN"/>
        </w:rPr>
        <w:t>(1个)</w:t>
      </w:r>
      <w:r>
        <w:rPr>
          <w:rFonts w:hint="eastAsia" w:ascii="仿宋_GB2312" w:hAnsi="仿宋_GB2312" w:eastAsia="仿宋_GB2312" w:cs="仿宋_GB2312"/>
          <w:kern w:val="0"/>
          <w:sz w:val="32"/>
          <w:szCs w:val="32"/>
          <w:highlight w:val="none"/>
        </w:rPr>
        <w:t>。</w:t>
      </w:r>
    </w:p>
    <w:p>
      <w:pPr>
        <w:widowControl/>
        <w:wordWrap/>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lang w:eastAsia="zh-CN"/>
        </w:rPr>
        <w:t>许昌市乡村振兴局（本级）</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27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4"/>
        <w:gridCol w:w="791"/>
        <w:gridCol w:w="1189"/>
        <w:gridCol w:w="4239"/>
        <w:gridCol w:w="791"/>
        <w:gridCol w:w="1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2702"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23" w:type="dxa"/>
            <w:gridSpan w:val="4"/>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197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723"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197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48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218"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2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9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2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791"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1,401.17</w:t>
            </w: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1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1,401.17</w:t>
            </w:r>
          </w:p>
        </w:tc>
        <w:tc>
          <w:tcPr>
            <w:tcW w:w="42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1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53.23</w:t>
            </w:r>
          </w:p>
        </w:tc>
        <w:tc>
          <w:tcPr>
            <w:tcW w:w="423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18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23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8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504"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91"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18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c>
          <w:tcPr>
            <w:tcW w:w="423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7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02"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2"/>
        <w:gridCol w:w="2895"/>
        <w:gridCol w:w="1605"/>
        <w:gridCol w:w="1590"/>
        <w:gridCol w:w="1560"/>
        <w:gridCol w:w="1230"/>
        <w:gridCol w:w="1140"/>
        <w:gridCol w:w="1350"/>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771"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92" w:type="dxa"/>
            <w:gridSpan w:val="7"/>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247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1292"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2479"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16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0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5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5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123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11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35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12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289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89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0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3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5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167"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0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5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3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3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1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167"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1,401.17</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1,401.17</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11.14</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11.14</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11.14</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11.20</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11.20</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11.20</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11.20</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5.78</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5.78</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5.42</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5.42</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1,377.81</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1,377.81</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1,377.81</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1,377.81</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2130501</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224.66</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224.66</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2130502</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3.14</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2130504</w:t>
            </w:r>
          </w:p>
        </w:tc>
        <w:tc>
          <w:tcPr>
            <w:tcW w:w="289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农村基础设施建设</w:t>
            </w:r>
          </w:p>
        </w:tc>
        <w:tc>
          <w:tcPr>
            <w:tcW w:w="16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3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5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771"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8"/>
        <w:gridCol w:w="3974"/>
        <w:gridCol w:w="1590"/>
        <w:gridCol w:w="1245"/>
        <w:gridCol w:w="1140"/>
        <w:gridCol w:w="1740"/>
        <w:gridCol w:w="1271"/>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917"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10917"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00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917"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300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52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9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24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1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74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27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72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397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7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97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9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4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520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9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4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7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7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520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1,454.40</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265.71</w:t>
            </w:r>
          </w:p>
        </w:tc>
        <w:tc>
          <w:tcPr>
            <w:tcW w:w="11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1,188.69</w:t>
            </w: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1,429.22</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11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1,429.22</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11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2130501</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124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11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2130502</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c>
          <w:tcPr>
            <w:tcW w:w="12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228"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2130504</w:t>
            </w:r>
          </w:p>
        </w:tc>
        <w:tc>
          <w:tcPr>
            <w:tcW w:w="3974"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农村基础设施建设</w:t>
            </w:r>
          </w:p>
        </w:tc>
        <w:tc>
          <w:tcPr>
            <w:tcW w:w="15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24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174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917"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6"/>
        <w:gridCol w:w="443"/>
        <w:gridCol w:w="1085"/>
        <w:gridCol w:w="3516"/>
        <w:gridCol w:w="443"/>
        <w:gridCol w:w="986"/>
        <w:gridCol w:w="1378"/>
        <w:gridCol w:w="121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707"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7"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64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67" w:type="dxa"/>
            <w:gridSpan w:val="7"/>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264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474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96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321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08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44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98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37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12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14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321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8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4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44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8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443"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98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37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2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0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9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3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9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3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9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13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9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1,429.22</w:t>
            </w:r>
          </w:p>
        </w:tc>
        <w:tc>
          <w:tcPr>
            <w:tcW w:w="13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1,429.22</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0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1,401.17</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9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c>
          <w:tcPr>
            <w:tcW w:w="13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0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53.23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0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53.23</w:t>
            </w: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08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98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37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321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443"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08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c>
          <w:tcPr>
            <w:tcW w:w="351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44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98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c>
          <w:tcPr>
            <w:tcW w:w="137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1,454.40</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2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3707"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4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2"/>
        <w:gridCol w:w="5117"/>
        <w:gridCol w:w="2651"/>
        <w:gridCol w:w="2282"/>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482" w:type="dxa"/>
            <w:gridSpan w:val="5"/>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40" w:type="dxa"/>
            <w:gridSpan w:val="3"/>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444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040" w:type="dxa"/>
            <w:gridSpan w:val="3"/>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444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093"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11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65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28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1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jc w:val="center"/>
        </w:trPr>
        <w:tc>
          <w:tcPr>
            <w:tcW w:w="127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1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8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11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5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8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1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8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65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28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1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389"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1,454.40</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265.71</w:t>
            </w: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11.65</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12.50</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6.29</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农林水支出</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1,429.22</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扶贫</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1,429.22</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2130501</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2282"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240.53</w:t>
            </w:r>
          </w:p>
        </w:tc>
        <w:tc>
          <w:tcPr>
            <w:tcW w:w="21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2130502</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c>
          <w:tcPr>
            <w:tcW w:w="22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272"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2130504</w:t>
            </w:r>
          </w:p>
        </w:tc>
        <w:tc>
          <w:tcPr>
            <w:tcW w:w="511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农村基础设施建设</w:t>
            </w:r>
          </w:p>
        </w:tc>
        <w:tc>
          <w:tcPr>
            <w:tcW w:w="265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c>
          <w:tcPr>
            <w:tcW w:w="228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1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482" w:type="dxa"/>
            <w:gridSpan w:val="5"/>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3516"/>
        <w:gridCol w:w="890"/>
        <w:gridCol w:w="825"/>
        <w:gridCol w:w="2288"/>
        <w:gridCol w:w="711"/>
        <w:gridCol w:w="766"/>
        <w:gridCol w:w="292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jc w:val="center"/>
        </w:trPr>
        <w:tc>
          <w:tcPr>
            <w:tcW w:w="13692"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62" w:type="dxa"/>
            <w:gridSpan w:val="7"/>
            <w:tcBorders>
              <w:top w:val="nil"/>
              <w:left w:val="nil"/>
              <w:bottom w:val="nil"/>
              <w:right w:val="nil"/>
            </w:tcBorders>
            <w:vAlign w:val="bottom"/>
          </w:tcPr>
          <w:p>
            <w:pPr>
              <w:rPr>
                <w:rFonts w:hint="eastAsia" w:ascii="Arial" w:hAnsi="Arial" w:cs="Arial"/>
                <w:i w:val="0"/>
                <w:iCs w:val="0"/>
                <w:color w:val="000000"/>
                <w:sz w:val="18"/>
                <w:szCs w:val="18"/>
                <w:u w:val="none"/>
              </w:rPr>
            </w:pPr>
          </w:p>
        </w:tc>
        <w:tc>
          <w:tcPr>
            <w:tcW w:w="393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762" w:type="dxa"/>
            <w:gridSpan w:val="7"/>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393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517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8520"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51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9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8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28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7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92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00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51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9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8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92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227.72</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37.99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57.09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39.73</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92.09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13.39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6.52</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6.21</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0.09</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12.40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0.20</w:t>
            </w: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0.96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2.28</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29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11.99</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351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7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51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9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25"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28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7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0.54</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925"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4282"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89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227.72</w:t>
            </w:r>
          </w:p>
        </w:tc>
        <w:tc>
          <w:tcPr>
            <w:tcW w:w="7515"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100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5" w:hRule="atLeast"/>
          <w:jc w:val="center"/>
        </w:trPr>
        <w:tc>
          <w:tcPr>
            <w:tcW w:w="13692"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1110"/>
        <w:gridCol w:w="855"/>
        <w:gridCol w:w="1155"/>
        <w:gridCol w:w="1155"/>
        <w:gridCol w:w="1470"/>
        <w:gridCol w:w="855"/>
        <w:gridCol w:w="1260"/>
        <w:gridCol w:w="1050"/>
        <w:gridCol w:w="1215"/>
        <w:gridCol w:w="1215"/>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4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30"/>
                <w:szCs w:val="30"/>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85" w:type="dxa"/>
            <w:gridSpan w:val="10"/>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265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85" w:type="dxa"/>
            <w:gridSpan w:val="10"/>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265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70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7035"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6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1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165"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47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85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480"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44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6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47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5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44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6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1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8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7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85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05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4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960"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5.25</w:t>
            </w:r>
          </w:p>
        </w:tc>
        <w:tc>
          <w:tcPr>
            <w:tcW w:w="111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15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470"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1.25</w:t>
            </w:r>
          </w:p>
        </w:tc>
        <w:tc>
          <w:tcPr>
            <w:tcW w:w="85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w:t>
            </w:r>
          </w:p>
        </w:tc>
        <w:tc>
          <w:tcPr>
            <w:tcW w:w="12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5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2.55</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2.55</w:t>
            </w:r>
          </w:p>
        </w:tc>
        <w:tc>
          <w:tcPr>
            <w:tcW w:w="144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74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00"/>
        <w:gridCol w:w="1621"/>
        <w:gridCol w:w="1801"/>
        <w:gridCol w:w="1613"/>
        <w:gridCol w:w="1707"/>
        <w:gridCol w:w="1920"/>
        <w:gridCol w:w="1703"/>
        <w:gridCol w:w="2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3937" w:type="dxa"/>
            <w:gridSpan w:val="8"/>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62"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p>
        </w:tc>
        <w:tc>
          <w:tcPr>
            <w:tcW w:w="377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162" w:type="dxa"/>
            <w:gridSpan w:val="6"/>
            <w:tcBorders>
              <w:top w:val="nil"/>
              <w:left w:val="nil"/>
              <w:bottom w:val="nil"/>
              <w:right w:val="nil"/>
            </w:tcBorders>
            <w:vAlign w:val="bottom"/>
          </w:tcPr>
          <w:p>
            <w:pPr>
              <w:rPr>
                <w:rFonts w:hint="default" w:ascii="Arial" w:hAnsi="Arial" w:cs="Arial"/>
                <w:i w:val="0"/>
                <w:iCs w:val="0"/>
                <w:color w:val="000000"/>
                <w:sz w:val="18"/>
                <w:szCs w:val="18"/>
                <w:u w:val="none"/>
              </w:rPr>
            </w:pPr>
            <w:r>
              <w:rPr>
                <w:rFonts w:hint="eastAsia" w:ascii="宋体" w:hAnsi="宋体" w:cs="宋体"/>
                <w:i w:val="0"/>
                <w:iCs w:val="0"/>
                <w:color w:val="000000"/>
                <w:kern w:val="0"/>
                <w:sz w:val="18"/>
                <w:szCs w:val="18"/>
                <w:u w:val="none"/>
                <w:lang w:val="en-US" w:eastAsia="zh-CN"/>
              </w:rPr>
              <w:t>单位</w:t>
            </w:r>
            <w:r>
              <w:rPr>
                <w:rFonts w:hint="eastAsia" w:ascii="宋体" w:hAnsi="宋体" w:eastAsia="宋体" w:cs="宋体"/>
                <w:i w:val="0"/>
                <w:iCs w:val="0"/>
                <w:color w:val="000000"/>
                <w:kern w:val="0"/>
                <w:sz w:val="18"/>
                <w:szCs w:val="18"/>
                <w:u w:val="none"/>
                <w:lang w:val="en-US" w:eastAsia="zh-CN"/>
              </w:rPr>
              <w:t>：许昌市乡村振兴局（本级）</w:t>
            </w:r>
          </w:p>
        </w:tc>
        <w:tc>
          <w:tcPr>
            <w:tcW w:w="377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12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80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61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5330"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2072"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62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8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0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92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70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207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2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0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7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2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0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0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92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70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72"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12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80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1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707"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92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70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072"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3121"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80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07"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920"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70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072"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2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2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2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2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2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500"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621"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80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61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7"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92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70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72"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3937" w:type="dxa"/>
            <w:gridSpan w:val="8"/>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bl>
    <w:p>
      <w:pPr>
        <w:jc w:val="center"/>
        <w:rPr>
          <w:rFonts w:hint="eastAsia" w:ascii="仿宋_GB2312" w:hAnsi="仿宋_GB2312" w:eastAsia="仿宋_GB2312" w:cs="仿宋_GB2312"/>
          <w:sz w:val="36"/>
          <w:szCs w:val="36"/>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sz w:val="36"/>
          <w:szCs w:val="36"/>
        </w:rPr>
        <w:t>说明：我</w:t>
      </w:r>
      <w:r>
        <w:rPr>
          <w:rFonts w:hint="eastAsia" w:ascii="仿宋_GB2312" w:hAnsi="仿宋_GB2312" w:eastAsia="仿宋_GB2312" w:cs="仿宋_GB2312"/>
          <w:sz w:val="36"/>
          <w:szCs w:val="36"/>
          <w:lang w:eastAsia="zh-CN"/>
        </w:rPr>
        <w:t>单位</w:t>
      </w:r>
      <w:r>
        <w:rPr>
          <w:rFonts w:hint="eastAsia" w:ascii="仿宋_GB2312" w:hAnsi="仿宋_GB2312" w:eastAsia="仿宋_GB2312" w:cs="仿宋_GB2312"/>
          <w:sz w:val="36"/>
          <w:szCs w:val="36"/>
        </w:rPr>
        <w:t>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1454.40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60.17</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3.97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1401.17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1401.17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1454.40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265.71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18.27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1188.69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81.73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1454.40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58.83</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3.89</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1454.40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21.88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1.48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1454.40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1.03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11.65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0.80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12.50万元，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0.86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农林水</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1429.22万元，</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98.27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240.74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1454.40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604.14</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12.57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92.68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6.70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93.88</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卫生健康支出（类）行政事业单位医疗（款） 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6.38</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6.21</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97.34</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农林水支出（类）扶贫（款）行政运行（项）。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214.06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240.53</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112.37</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部分</w:t>
      </w:r>
      <w:r>
        <w:rPr>
          <w:rFonts w:hint="eastAsia" w:ascii="仿宋_GB2312" w:hAnsi="仿宋_GB2312" w:eastAsia="仿宋_GB2312" w:cs="仿宋_GB2312"/>
          <w:sz w:val="32"/>
          <w:szCs w:val="32"/>
          <w:highlight w:val="none"/>
          <w:lang w:val="en-US" w:eastAsia="zh-CN"/>
        </w:rPr>
        <w:t>2020年结转资金，在2021年度支出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农林水支出（类）扶贫（款）一般行政管理事务（项）。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38.69</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2020年结转资金，在2021年度支出</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农林水支出（类）扶贫（款）农村基础设施建设（项）。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1150.00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《中共河南省委办公厅</w:t>
      </w:r>
      <w:r>
        <w:rPr>
          <w:rFonts w:hint="eastAsia" w:ascii="仿宋_GB2312" w:hAnsi="仿宋_GB2312" w:eastAsia="仿宋_GB2312" w:cs="仿宋_GB2312"/>
          <w:sz w:val="32"/>
          <w:szCs w:val="32"/>
          <w:lang w:val="en-US" w:eastAsia="zh-CN"/>
        </w:rPr>
        <w:t xml:space="preserve"> 河南省人民政府办公厅印发&lt;关于调整优化市县结对帮扶工作的实施方案&gt;的通知</w:t>
      </w:r>
      <w:r>
        <w:rPr>
          <w:rFonts w:hint="eastAsia" w:ascii="仿宋_GB2312" w:hAnsi="仿宋_GB2312" w:eastAsia="仿宋_GB2312" w:cs="仿宋_GB2312"/>
          <w:sz w:val="32"/>
          <w:szCs w:val="32"/>
          <w:lang w:eastAsia="zh-CN"/>
        </w:rPr>
        <w:t>》（厅文〔</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年我市继续结对帮扶</w:t>
      </w:r>
      <w:r>
        <w:rPr>
          <w:rFonts w:hint="eastAsia" w:ascii="仿宋_GB2312" w:hAnsi="仿宋_GB2312" w:eastAsia="仿宋_GB2312" w:cs="仿宋_GB2312"/>
          <w:sz w:val="32"/>
          <w:szCs w:val="32"/>
          <w:lang w:eastAsia="zh-CN"/>
        </w:rPr>
        <w:t>省级乡村振兴重点帮扶县</w:t>
      </w:r>
      <w:r>
        <w:rPr>
          <w:rFonts w:hint="eastAsia" w:ascii="仿宋_GB2312" w:hAnsi="仿宋_GB2312" w:eastAsia="仿宋_GB2312" w:cs="仿宋_GB2312"/>
          <w:sz w:val="32"/>
          <w:szCs w:val="32"/>
        </w:rPr>
        <w:t>淅川县，为保障工作的顺利开展，经常务会研究决定，年中追加帮扶淅川县援助资金支出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265.71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227.72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color w:val="auto"/>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机关事业单位基本养老保险缴费、其他社会保障缴费、职工基本医疗保险缴费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住房公积金、其他工资福利支出；公用经费</w:t>
      </w:r>
      <w:r>
        <w:rPr>
          <w:rFonts w:hint="eastAsia" w:ascii="仿宋_GB2312" w:hAnsi="仿宋_GB2312" w:eastAsia="仿宋_GB2312" w:cs="仿宋_GB2312"/>
          <w:sz w:val="32"/>
          <w:szCs w:val="32"/>
          <w:highlight w:val="none"/>
          <w:lang w:val="en-US" w:eastAsia="zh-CN"/>
        </w:rPr>
        <w:t>37.99</w:t>
      </w:r>
      <w:r>
        <w:rPr>
          <w:rFonts w:hint="eastAsia" w:ascii="仿宋_GB2312" w:hAnsi="仿宋_GB2312" w:eastAsia="仿宋_GB2312" w:cs="仿宋_GB2312"/>
          <w:sz w:val="32"/>
          <w:szCs w:val="32"/>
          <w:highlight w:val="none"/>
        </w:rPr>
        <w:t>万元，主要包括：办公费、电费、邮电费、差旅费、维修（护）费、租赁费、会议费、公务接待费、委托业务费、工会经费、福利费、公务用车运行维护费、其他交通费用、其他商品和服务支出。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5.25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2.84</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54.10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63.75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89.47</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10.53</w:t>
      </w:r>
      <w:r>
        <w:rPr>
          <w:rFonts w:hint="eastAsia" w:ascii="仿宋_GB2312" w:hAnsi="仿宋_GB2312" w:eastAsia="仿宋_GB2312" w:cs="仿宋_GB2312"/>
          <w:sz w:val="32"/>
          <w:szCs w:val="32"/>
          <w:highlight w:val="none"/>
        </w:rPr>
        <w:t>%。具体情况如下：</w:t>
      </w:r>
    </w:p>
    <w:p>
      <w:pPr>
        <w:widowControl/>
        <w:spacing w:line="59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63.75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rPr>
        <w:t>保险费、维修费、油费、过路费等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量。</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24.00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贯彻落实上级过紧日子要求，厉行节约，压减支出</w:t>
      </w: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巩固拓展脱贫攻坚成果业务接待</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37.93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37.99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100.16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color w:val="000000"/>
          <w:sz w:val="32"/>
          <w:szCs w:val="32"/>
          <w:lang w:eastAsia="zh-CN"/>
        </w:rPr>
        <w:t>保障机构正常运转及正常履职，根据工作计划安排支出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left="0" w:leftChars="0" w:right="0" w:firstLine="963"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认真贯彻落实预算绩效管理方面的规定及关于推进预算绩效管理改革各项要求的情况。通过科学规范制定管理制度有效的加强了预算绩效管理，基本构建起“预算编制有目标、预算执行有监控、预算完成有评价、评价结果有反馈、反馈结果有应用”的预算绩效管理机制和覆盖预算管理事前、事中、事后全过程的预算绩效管理体系，有效促进了财政资金使用效益的提高。</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val="0"/>
        <w:wordWrap/>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w:t>
      </w:r>
      <w:r>
        <w:rPr>
          <w:rFonts w:hint="eastAsia" w:ascii="仿宋_GB2312" w:hAnsi="仿宋_GB2312" w:eastAsia="仿宋_GB2312" w:cs="仿宋_GB2312"/>
          <w:sz w:val="32"/>
          <w:szCs w:val="32"/>
        </w:rPr>
        <w:t>（许财效〔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w:t>
      </w:r>
      <w:r>
        <w:rPr>
          <w:rFonts w:hint="eastAsia" w:ascii="仿宋_GB2312" w:hAnsi="仿宋_GB2312" w:eastAsia="仿宋_GB2312" w:cs="仿宋_GB2312"/>
          <w:color w:val="auto"/>
          <w:sz w:val="32"/>
          <w:szCs w:val="32"/>
          <w:highlight w:val="none"/>
          <w:lang w:val="en-US" w:eastAsia="zh-CN"/>
        </w:rPr>
        <w:t>等文件精神，我单位对本单位整体绩效目标和项目支出绩效目标进行了自评。一是单位整体绩效自评情况。2021年我单位积极履行职责职能，强化管理，整体工作均达到设置的绩效目标。其中，预算管理方面：预算编制完整并按计划执行，财政资金结转结余率为0，国库集中支付合规；收支管理方面：收入和支出管理合理合规；财务管理方面：财务管理制度完备，银行账户管理规范，严格按规定进行政府采购；单位预、决算编报质量符合要求，并按时完成预、决算的上报和公开；固定资产管理方面：资产管理制度完备，定期对固定资产进行盘点，资产的保存、使用及处置均符合规范。二是项目绩效自评情况。我单位共有5个项目批复了绩效目标，项目金额1188.69万元。其中：</w:t>
      </w:r>
    </w:p>
    <w:p>
      <w:pPr>
        <w:widowControl/>
        <w:wordWrap/>
        <w:adjustRightInd/>
        <w:snapToGrid/>
        <w:spacing w:line="360" w:lineRule="auto"/>
        <w:ind w:right="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许昌市乡村振兴局（本级）5个，项目金额1188.69万元。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100分。其中：5个项目评价等级为“优”、0个项目评价等级为“良”、0个项目评价等级为“中”、0个项目评价等级为“差”。</w:t>
      </w:r>
    </w:p>
    <w:p>
      <w:pPr>
        <w:widowControl/>
        <w:wordWrap/>
        <w:adjustRightInd/>
        <w:snapToGrid/>
        <w:spacing w:line="360" w:lineRule="auto"/>
        <w:ind w:right="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ind w:firstLine="640" w:firstLineChars="200"/>
        <w:jc w:val="left"/>
        <w:textAlignment w:val="auto"/>
        <w:rPr>
          <w:rFonts w:hint="default" w:ascii="黑体" w:hAnsi="宋体" w:eastAsia="黑体" w:cs="宋体"/>
          <w:kern w:val="0"/>
          <w:sz w:val="28"/>
          <w:szCs w:val="28"/>
          <w:highlight w:val="none"/>
          <w:lang w:val="en-US"/>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FEE0182"/>
    <w:rsid w:val="8CCE7295"/>
    <w:rsid w:val="B9FE0B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character" w:customStyle="1" w:styleId="9">
    <w:name w:val="页脚 Char Char Char"/>
    <w:link w:val="3"/>
    <w:qFormat/>
    <w:uiPriority w:val="99"/>
    <w:rPr>
      <w:kern w:val="2"/>
      <w:sz w:val="18"/>
      <w:szCs w:val="18"/>
    </w:rPr>
  </w:style>
  <w:style w:type="character" w:customStyle="1" w:styleId="10">
    <w:name w:val="页眉 Char Char Char"/>
    <w:link w:val="4"/>
    <w:qFormat/>
    <w:uiPriority w:val="99"/>
    <w:rPr>
      <w:kern w:val="2"/>
      <w:sz w:val="18"/>
      <w:szCs w:val="18"/>
    </w:rPr>
  </w:style>
  <w:style w:type="character" w:customStyle="1" w:styleId="11">
    <w:name w:val="font11"/>
    <w:qFormat/>
    <w:uiPriority w:val="0"/>
    <w:rPr>
      <w:rFonts w:hint="eastAsia" w:ascii="宋体" w:hAnsi="宋体" w:eastAsia="宋体" w:cs="宋体"/>
      <w:color w:val="000000"/>
      <w:sz w:val="20"/>
      <w:szCs w:val="20"/>
      <w:u w:val="none"/>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font21"/>
    <w:qFormat/>
    <w:uiPriority w:val="0"/>
    <w:rPr>
      <w:rFonts w:hint="eastAsia" w:ascii="宋体" w:hAnsi="宋体" w:eastAsia="宋体" w:cs="宋体"/>
      <w:color w:val="000000"/>
      <w:sz w:val="22"/>
      <w:szCs w:val="22"/>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批注框文本 Char Char Char"/>
    <w:link w:val="2"/>
    <w:qFormat/>
    <w:uiPriority w:val="99"/>
    <w:rPr>
      <w:kern w:val="2"/>
      <w:sz w:val="18"/>
      <w:szCs w:val="18"/>
    </w:rPr>
  </w:style>
  <w:style w:type="character" w:customStyle="1" w:styleId="16">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8640</Words>
  <Characters>10541</Characters>
  <Lines>60</Lines>
  <Paragraphs>16</Paragraphs>
  <TotalTime>15</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2007-12-01T19:41:00Z</dcterms:created>
  <dc:creator>管理者</dc:creator>
  <cp:lastModifiedBy>huanghe</cp:lastModifiedBy>
  <cp:lastPrinted>2018-07-27T02:50:00Z</cp:lastPrinted>
  <dcterms:modified xsi:type="dcterms:W3CDTF">2023-05-09T16:59:14Z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C4D5A314A02646AABB797D0E5B3EF594</vt:lpwstr>
  </property>
</Properties>
</file>