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许昌市中心血站</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许昌市中心血站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许昌市中心血站</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许昌市中心血站成立于1998年3月6日，是经河南省卫健委批准设置的许昌市唯一一家采供血机构，担负着许昌市行政区域范围内(两县、两市、五区）490余万人民群众的临床用血任务，属差额事业单位。</w:t>
      </w:r>
    </w:p>
    <w:p>
      <w:pPr>
        <w:spacing w:line="60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主要职责：</w:t>
      </w:r>
    </w:p>
    <w:p>
      <w:pPr>
        <w:ind w:firstLine="640" w:firstLineChars="200"/>
        <w:rPr>
          <w:rFonts w:hint="eastAsia" w:ascii="仿宋_GB2312" w:eastAsia="仿宋_GB2312"/>
          <w:bCs/>
          <w:sz w:val="32"/>
          <w:szCs w:val="32"/>
        </w:rPr>
      </w:pPr>
      <w:r>
        <w:rPr>
          <w:rFonts w:hint="eastAsia" w:ascii="仿宋_GB2312" w:eastAsia="仿宋_GB2312"/>
          <w:bCs/>
          <w:sz w:val="32"/>
          <w:szCs w:val="32"/>
        </w:rPr>
        <w:t>(一)承担着许昌市行政区域内(两市、两县、三区)的血液采集和成分制备工作。</w:t>
      </w:r>
    </w:p>
    <w:p>
      <w:pPr>
        <w:ind w:firstLine="640" w:firstLineChars="200"/>
        <w:rPr>
          <w:rFonts w:hint="eastAsia" w:ascii="仿宋_GB2312" w:eastAsia="仿宋_GB2312"/>
          <w:bCs/>
          <w:sz w:val="32"/>
          <w:szCs w:val="32"/>
        </w:rPr>
      </w:pPr>
      <w:r>
        <w:rPr>
          <w:rFonts w:hint="eastAsia" w:ascii="仿宋_GB2312" w:eastAsia="仿宋_GB2312"/>
          <w:bCs/>
          <w:sz w:val="32"/>
          <w:szCs w:val="32"/>
        </w:rPr>
        <w:t>(二)承担着许昌市行政区域内(两市、两县、三区)14家供血库及100余家医疗机构的安全用血供应。</w:t>
      </w:r>
    </w:p>
    <w:p>
      <w:pPr>
        <w:ind w:firstLine="640" w:firstLineChars="200"/>
        <w:rPr>
          <w:rFonts w:hint="eastAsia" w:ascii="仿宋_GB2312" w:eastAsia="仿宋_GB2312"/>
          <w:bCs/>
          <w:sz w:val="32"/>
          <w:szCs w:val="32"/>
        </w:rPr>
      </w:pPr>
      <w:r>
        <w:rPr>
          <w:rFonts w:hint="eastAsia" w:ascii="仿宋_GB2312" w:eastAsia="仿宋_GB2312"/>
          <w:bCs/>
          <w:sz w:val="32"/>
          <w:szCs w:val="32"/>
        </w:rPr>
        <w:t>(三)承担着许昌市行政区域内(两市、两县、三区)的血液检测工作。</w:t>
      </w:r>
    </w:p>
    <w:p>
      <w:pPr>
        <w:ind w:firstLine="640" w:firstLineChars="200"/>
        <w:rPr>
          <w:rFonts w:hint="eastAsia" w:ascii="仿宋_GB2312" w:eastAsia="仿宋_GB2312"/>
          <w:bCs/>
          <w:sz w:val="32"/>
          <w:szCs w:val="32"/>
        </w:rPr>
      </w:pPr>
      <w:r>
        <w:rPr>
          <w:rFonts w:hint="eastAsia" w:ascii="仿宋_GB2312" w:eastAsia="仿宋_GB2312"/>
          <w:bCs/>
          <w:sz w:val="32"/>
          <w:szCs w:val="32"/>
        </w:rPr>
        <w:t>(四) 承担着许昌市行政区域内(两市、两县、三区)的无偿献血招募工作。</w:t>
      </w:r>
    </w:p>
    <w:p>
      <w:pPr>
        <w:widowControl/>
        <w:ind w:firstLine="640" w:firstLineChars="200"/>
        <w:jc w:val="left"/>
        <w:outlineLvl w:val="1"/>
        <w:rPr>
          <w:rFonts w:hint="eastAsia" w:ascii="仿宋_GB2312" w:eastAsia="仿宋_GB2312"/>
          <w:bCs/>
          <w:sz w:val="32"/>
          <w:szCs w:val="32"/>
          <w:lang w:val="en-US" w:eastAsia="zh-CN"/>
        </w:rPr>
      </w:pPr>
      <w:r>
        <w:rPr>
          <w:rFonts w:hint="eastAsia" w:ascii="仿宋_GB2312" w:eastAsia="仿宋_GB2312"/>
          <w:bCs/>
          <w:sz w:val="32"/>
          <w:szCs w:val="32"/>
        </w:rPr>
        <w:t>(五) 承担着许昌市行政区域内(两市、两县、三区)的县市区供血库的业务培训与指导及血液相关的科研等工作。</w:t>
      </w:r>
      <w:r>
        <w:rPr>
          <w:rFonts w:hint="eastAsia" w:ascii="仿宋_GB2312" w:eastAsia="仿宋_GB2312"/>
          <w:bCs/>
          <w:sz w:val="32"/>
          <w:szCs w:val="32"/>
          <w:lang w:val="en-US" w:eastAsia="zh-CN"/>
        </w:rPr>
        <w:t xml:space="preserve">     </w:t>
      </w:r>
    </w:p>
    <w:p>
      <w:pPr>
        <w:widowControl/>
        <w:ind w:firstLine="643" w:firstLineChars="200"/>
        <w:jc w:val="left"/>
        <w:outlineLvl w:val="1"/>
        <w:rPr>
          <w:rFonts w:hint="eastAsia" w:ascii="仿宋_GB2312" w:eastAsia="仿宋_GB2312"/>
          <w:b/>
          <w:bCs w:val="0"/>
          <w:sz w:val="32"/>
          <w:szCs w:val="32"/>
          <w:lang w:val="en-US" w:eastAsia="zh-CN"/>
        </w:rPr>
      </w:pPr>
      <w:r>
        <w:rPr>
          <w:rFonts w:hint="eastAsia" w:ascii="黑体" w:hAnsi="黑体" w:eastAsia="黑体" w:cs="黑体"/>
          <w:b/>
          <w:bCs w:val="0"/>
          <w:sz w:val="32"/>
          <w:szCs w:val="32"/>
          <w:lang w:val="en-US" w:eastAsia="zh-CN"/>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eastAsia="zh-CN"/>
        </w:rPr>
        <w:t>许昌市中心血站</w:t>
      </w:r>
      <w:r>
        <w:rPr>
          <w:rFonts w:hint="eastAsia" w:ascii="仿宋_GB2312" w:hAnsi="仿宋_GB2312" w:eastAsia="仿宋_GB2312" w:cs="仿宋_GB2312"/>
          <w:kern w:val="0"/>
          <w:sz w:val="32"/>
          <w:szCs w:val="32"/>
          <w:highlight w:val="none"/>
        </w:rPr>
        <w:t>内设</w:t>
      </w:r>
      <w:r>
        <w:rPr>
          <w:rFonts w:hint="eastAsia" w:ascii="仿宋_GB2312" w:hAnsi="仿宋_GB2312" w:eastAsia="仿宋_GB2312" w:cs="仿宋_GB2312"/>
          <w:kern w:val="0"/>
          <w:sz w:val="32"/>
          <w:szCs w:val="32"/>
          <w:highlight w:val="none"/>
          <w:lang w:eastAsia="zh-CN"/>
        </w:rPr>
        <w:t>机构</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个，包括：</w:t>
      </w:r>
      <w:r>
        <w:rPr>
          <w:rFonts w:hint="eastAsia" w:ascii="仿宋_GB2312" w:eastAsia="仿宋_GB2312"/>
          <w:bCs/>
          <w:sz w:val="32"/>
          <w:szCs w:val="32"/>
        </w:rPr>
        <w:t>献血办、体采科、业务科、成分科、检验科、供血科、质管科、后勤保障科、信息宣传科、财务科、办公室</w:t>
      </w:r>
      <w:r>
        <w:rPr>
          <w:rFonts w:hint="eastAsia" w:ascii="仿宋_GB2312" w:eastAsia="仿宋_GB2312"/>
          <w:bCs/>
          <w:sz w:val="32"/>
          <w:szCs w:val="32"/>
          <w:lang w:eastAsia="zh-CN"/>
        </w:rPr>
        <w:t>、工会</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许昌市中心血站</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许昌市中心血站。</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sectPr>
      </w:pPr>
    </w:p>
    <w:tbl>
      <w:tblPr>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848"/>
        <w:gridCol w:w="1417"/>
        <w:gridCol w:w="4545"/>
        <w:gridCol w:w="848"/>
        <w:gridCol w:w="1417"/>
      </w:tblGrid>
      <w:tr>
        <w:trPr>
          <w:trHeight w:val="390" w:hRule="atLeast"/>
        </w:trPr>
        <w:tc>
          <w:tcPr>
            <w:tcW w:w="13905"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rPr>
          <w:trHeight w:val="255" w:hRule="atLeast"/>
        </w:trPr>
        <w:tc>
          <w:tcPr>
            <w:tcW w:w="483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1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6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rPr>
          <w:trHeight w:val="255" w:hRule="atLeast"/>
        </w:trPr>
        <w:tc>
          <w:tcPr>
            <w:tcW w:w="4830"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8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1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6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70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81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4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4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2,265.09</w:t>
            </w: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4,217.63</w:t>
            </w: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2,265.09</w:t>
            </w:r>
          </w:p>
        </w:tc>
        <w:tc>
          <w:tcPr>
            <w:tcW w:w="4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2,008.51</w:t>
            </w:r>
          </w:p>
        </w:tc>
        <w:tc>
          <w:tcPr>
            <w:tcW w:w="45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41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rPr>
          <w:trHeight w:val="308" w:hRule="atLeast"/>
        </w:trPr>
        <w:tc>
          <w:tcPr>
            <w:tcW w:w="48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48"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c>
          <w:tcPr>
            <w:tcW w:w="4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4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r>
      <w:tr>
        <w:trPr>
          <w:trHeight w:val="308" w:hRule="atLeast"/>
        </w:trPr>
        <w:tc>
          <w:tcPr>
            <w:tcW w:w="13905"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6"/>
        <w:gridCol w:w="222"/>
        <w:gridCol w:w="222"/>
        <w:gridCol w:w="2416"/>
        <w:gridCol w:w="1650"/>
        <w:gridCol w:w="1455"/>
        <w:gridCol w:w="1091"/>
        <w:gridCol w:w="1135"/>
        <w:gridCol w:w="1215"/>
        <w:gridCol w:w="1215"/>
        <w:gridCol w:w="1125"/>
      </w:tblGrid>
      <w:tr>
        <w:trPr>
          <w:trHeight w:val="390" w:hRule="atLeast"/>
        </w:trPr>
        <w:tc>
          <w:tcPr>
            <w:tcW w:w="13962"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rPr>
          <w:trHeight w:val="255" w:hRule="atLeast"/>
        </w:trPr>
        <w:tc>
          <w:tcPr>
            <w:tcW w:w="22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4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rPr>
          <w:trHeight w:val="255" w:hRule="atLeast"/>
        </w:trPr>
        <w:tc>
          <w:tcPr>
            <w:tcW w:w="22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4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07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45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09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13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21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21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1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rPr>
          <w:trHeight w:val="308" w:hRule="atLeast"/>
        </w:trPr>
        <w:tc>
          <w:tcPr>
            <w:tcW w:w="26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2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2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50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rPr>
          <w:trHeight w:val="308" w:hRule="atLeast"/>
        </w:trPr>
        <w:tc>
          <w:tcPr>
            <w:tcW w:w="50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2,265.09</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2,265.09</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7.67</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7.67</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7.67</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7.67</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18.14</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18.14</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18.14</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18.14</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18.14</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18.14</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2,239.28</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2,239.28</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2,239.28</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2,239.28</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采供血机构</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1,978.28</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1,978.28</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261.00</w:t>
            </w:r>
          </w:p>
        </w:tc>
        <w:tc>
          <w:tcPr>
            <w:tcW w:w="14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261.00</w:t>
            </w: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962"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sectPr>
      </w:pPr>
    </w:p>
    <w:tbl>
      <w:tblPr>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6"/>
        <w:gridCol w:w="222"/>
        <w:gridCol w:w="222"/>
        <w:gridCol w:w="2416"/>
        <w:gridCol w:w="1575"/>
        <w:gridCol w:w="1575"/>
        <w:gridCol w:w="1575"/>
        <w:gridCol w:w="1341"/>
        <w:gridCol w:w="1380"/>
        <w:gridCol w:w="1425"/>
      </w:tblGrid>
      <w:tr>
        <w:trPr>
          <w:trHeight w:val="390" w:hRule="atLeast"/>
        </w:trPr>
        <w:tc>
          <w:tcPr>
            <w:tcW w:w="13947"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rPr>
          <w:trHeight w:val="255" w:hRule="atLeast"/>
        </w:trPr>
        <w:tc>
          <w:tcPr>
            <w:tcW w:w="22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0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rPr>
          <w:trHeight w:val="255" w:hRule="atLeast"/>
        </w:trPr>
        <w:tc>
          <w:tcPr>
            <w:tcW w:w="22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0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07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5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5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34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3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4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rPr>
          <w:trHeight w:val="308" w:hRule="atLeast"/>
        </w:trPr>
        <w:tc>
          <w:tcPr>
            <w:tcW w:w="26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2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2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50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308" w:hRule="atLeast"/>
        </w:trPr>
        <w:tc>
          <w:tcPr>
            <w:tcW w:w="50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4,273.60</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784.90</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3,488.70</w:t>
            </w: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4,217.63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728.93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3,488.70</w:t>
            </w: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4,217.63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728.93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3,488.70</w:t>
            </w: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采供血机构</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3,818.87</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728.93</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3,089.94</w:t>
            </w: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398.76</w:t>
            </w: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398.76</w:t>
            </w: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26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947"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70"/>
        <w:gridCol w:w="1185"/>
        <w:gridCol w:w="3516"/>
        <w:gridCol w:w="570"/>
        <w:gridCol w:w="1096"/>
        <w:gridCol w:w="1305"/>
        <w:gridCol w:w="1399"/>
        <w:gridCol w:w="1275"/>
      </w:tblGrid>
      <w:tr>
        <w:trPr>
          <w:trHeight w:val="390" w:hRule="atLeast"/>
        </w:trPr>
        <w:tc>
          <w:tcPr>
            <w:tcW w:w="13992"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rPr>
          <w:trHeight w:val="255" w:hRule="atLeast"/>
        </w:trPr>
        <w:tc>
          <w:tcPr>
            <w:tcW w:w="307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7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rPr>
          <w:trHeight w:val="255" w:hRule="atLeast"/>
        </w:trPr>
        <w:tc>
          <w:tcPr>
            <w:tcW w:w="4831"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35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7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483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16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rPr>
          <w:trHeight w:val="292" w:hRule="atLeast"/>
        </w:trPr>
        <w:tc>
          <w:tcPr>
            <w:tcW w:w="307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8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0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39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2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rPr>
          <w:trHeight w:val="615" w:hRule="atLeast"/>
        </w:trPr>
        <w:tc>
          <w:tcPr>
            <w:tcW w:w="307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2,265.09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3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3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4,217.63</w:t>
            </w:r>
          </w:p>
        </w:tc>
        <w:tc>
          <w:tcPr>
            <w:tcW w:w="13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4,217.63</w:t>
            </w: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2,265.09</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c>
          <w:tcPr>
            <w:tcW w:w="13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2,008.51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2,008.51</w:t>
            </w: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c>
          <w:tcPr>
            <w:tcW w:w="13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4,273.60</w:t>
            </w: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585" w:hRule="atLeast"/>
        </w:trPr>
        <w:tc>
          <w:tcPr>
            <w:tcW w:w="13992"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
        <w:gridCol w:w="358"/>
        <w:gridCol w:w="358"/>
        <w:gridCol w:w="3900"/>
        <w:gridCol w:w="3046"/>
        <w:gridCol w:w="2867"/>
        <w:gridCol w:w="3048"/>
      </w:tblGrid>
      <w:tr>
        <w:trPr>
          <w:trHeight w:val="390" w:hRule="atLeast"/>
        </w:trPr>
        <w:tc>
          <w:tcPr>
            <w:tcW w:w="13935"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rPr>
          <w:trHeight w:val="255" w:hRule="atLeast"/>
        </w:trPr>
        <w:tc>
          <w:tcPr>
            <w:tcW w:w="35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0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91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rPr>
          <w:trHeight w:val="255" w:hRule="atLeast"/>
        </w:trPr>
        <w:tc>
          <w:tcPr>
            <w:tcW w:w="4974"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30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91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497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96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rPr>
          <w:trHeight w:val="308" w:hRule="atLeast"/>
        </w:trPr>
        <w:tc>
          <w:tcPr>
            <w:tcW w:w="1074"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304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8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304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rPr>
          <w:trHeight w:val="277" w:hRule="atLeast"/>
        </w:trPr>
        <w:tc>
          <w:tcPr>
            <w:tcW w:w="107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0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04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07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0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04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497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30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8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30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rPr>
          <w:trHeight w:val="308" w:hRule="atLeast"/>
        </w:trPr>
        <w:tc>
          <w:tcPr>
            <w:tcW w:w="497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4,273.60</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784.90</w:t>
            </w:r>
          </w:p>
        </w:tc>
        <w:tc>
          <w:tcPr>
            <w:tcW w:w="3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3,488.70</w:t>
            </w: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16.44</w:t>
            </w: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39.53</w:t>
            </w: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4,217.63</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728.93</w:t>
            </w:r>
          </w:p>
        </w:tc>
        <w:tc>
          <w:tcPr>
            <w:tcW w:w="3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3,488.70</w:t>
            </w: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4,217.63</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728.93</w:t>
            </w:r>
          </w:p>
        </w:tc>
        <w:tc>
          <w:tcPr>
            <w:tcW w:w="3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3,488.70</w:t>
            </w: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2100406</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采供血机构</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3,818.87</w:t>
            </w:r>
          </w:p>
        </w:tc>
        <w:tc>
          <w:tcPr>
            <w:tcW w:w="28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728.93</w:t>
            </w:r>
          </w:p>
        </w:tc>
        <w:tc>
          <w:tcPr>
            <w:tcW w:w="3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3,089.94</w:t>
            </w: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3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30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398.76</w:t>
            </w:r>
          </w:p>
        </w:tc>
        <w:tc>
          <w:tcPr>
            <w:tcW w:w="28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0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398.76</w:t>
            </w: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0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8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0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8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0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935"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
        <w:gridCol w:w="3134"/>
        <w:gridCol w:w="1000"/>
        <w:gridCol w:w="900"/>
        <w:gridCol w:w="1930"/>
        <w:gridCol w:w="800"/>
        <w:gridCol w:w="840"/>
        <w:gridCol w:w="3720"/>
        <w:gridCol w:w="944"/>
      </w:tblGrid>
      <w:tr>
        <w:trPr>
          <w:trHeight w:val="390" w:hRule="atLeast"/>
        </w:trPr>
        <w:tc>
          <w:tcPr>
            <w:tcW w:w="14081"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rPr>
          <w:trHeight w:val="255" w:hRule="atLeast"/>
        </w:trPr>
        <w:tc>
          <w:tcPr>
            <w:tcW w:w="813"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1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6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rPr>
          <w:trHeight w:val="255" w:hRule="atLeast"/>
        </w:trPr>
        <w:tc>
          <w:tcPr>
            <w:tcW w:w="3947"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10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6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08" w:hRule="atLeast"/>
        </w:trPr>
        <w:tc>
          <w:tcPr>
            <w:tcW w:w="494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13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rPr>
          <w:trHeight w:val="308" w:hRule="atLeast"/>
        </w:trPr>
        <w:tc>
          <w:tcPr>
            <w:tcW w:w="81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13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9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19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7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308" w:hRule="atLeast"/>
        </w:trPr>
        <w:tc>
          <w:tcPr>
            <w:tcW w:w="81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7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664.00</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71.05</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88.08</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9.64</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229.82</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135.51</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0.15</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60.68</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33.57</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0.35</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19.93</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0.15</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0.51</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84.37</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49.85</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0.84</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46.51</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0.06</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0.21</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2.50</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0.72</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33.42</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0.84</w:t>
            </w: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9.74</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15.20</w:t>
            </w:r>
          </w:p>
        </w:tc>
        <w:tc>
          <w:tcPr>
            <w:tcW w:w="8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37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8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72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1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0.74</w:t>
            </w:r>
          </w:p>
        </w:tc>
        <w:tc>
          <w:tcPr>
            <w:tcW w:w="84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72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81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13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1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8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2.65</w:t>
            </w:r>
          </w:p>
        </w:tc>
        <w:tc>
          <w:tcPr>
            <w:tcW w:w="84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72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947"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10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713.85</w:t>
            </w:r>
          </w:p>
        </w:tc>
        <w:tc>
          <w:tcPr>
            <w:tcW w:w="819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9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71.05</w:t>
            </w:r>
          </w:p>
        </w:tc>
      </w:tr>
      <w:tr>
        <w:trPr>
          <w:trHeight w:val="308" w:hRule="atLeast"/>
        </w:trPr>
        <w:tc>
          <w:tcPr>
            <w:tcW w:w="14081"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55"/>
        <w:gridCol w:w="1155"/>
        <w:gridCol w:w="1155"/>
      </w:tblGrid>
      <w:tr>
        <w:trPr>
          <w:trHeight w:val="540" w:hRule="atLeast"/>
        </w:trPr>
        <w:tc>
          <w:tcPr>
            <w:tcW w:w="1386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rPr>
          <w:trHeight w:val="255" w:hRule="atLeast"/>
        </w:trPr>
        <w:tc>
          <w:tcPr>
            <w:tcW w:w="1155"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rPr>
          <w:trHeight w:val="255" w:hRule="atLeast"/>
        </w:trPr>
        <w:tc>
          <w:tcPr>
            <w:tcW w:w="2310"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693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93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308" w:hRule="atLeast"/>
        </w:trPr>
        <w:tc>
          <w:tcPr>
            <w:tcW w:w="115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46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46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rPr>
          <w:trHeight w:val="615" w:hRule="atLeast"/>
        </w:trPr>
        <w:tc>
          <w:tcPr>
            <w:tcW w:w="115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15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rPr>
          <w:trHeight w:val="308" w:hRule="atLeast"/>
        </w:trPr>
        <w:tc>
          <w:tcPr>
            <w:tcW w:w="1155"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174.12</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172.00</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110.00</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62.00</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2.12</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170.50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170.44</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109.80</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60.64</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0.06</w:t>
            </w:r>
          </w:p>
        </w:tc>
      </w:tr>
      <w:tr>
        <w:trPr>
          <w:trHeight w:val="615" w:hRule="atLeast"/>
        </w:trPr>
        <w:tc>
          <w:tcPr>
            <w:tcW w:w="1386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sectPr>
      </w:pPr>
    </w:p>
    <w:tbl>
      <w:tblPr>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7"/>
        <w:gridCol w:w="387"/>
        <w:gridCol w:w="387"/>
        <w:gridCol w:w="1912"/>
        <w:gridCol w:w="1808"/>
        <w:gridCol w:w="1808"/>
        <w:gridCol w:w="1808"/>
        <w:gridCol w:w="1808"/>
        <w:gridCol w:w="1808"/>
        <w:gridCol w:w="1807"/>
      </w:tblGrid>
      <w:tr>
        <w:trPr>
          <w:trHeight w:val="390" w:hRule="atLeast"/>
        </w:trPr>
        <w:tc>
          <w:tcPr>
            <w:tcW w:w="1392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rPr>
          <w:trHeight w:val="255" w:hRule="atLeast"/>
        </w:trPr>
        <w:tc>
          <w:tcPr>
            <w:tcW w:w="38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1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1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rPr>
          <w:trHeight w:val="255" w:hRule="atLeast"/>
        </w:trPr>
        <w:tc>
          <w:tcPr>
            <w:tcW w:w="3073"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：许昌市中心血站</w:t>
            </w: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1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307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8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8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542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80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rPr>
          <w:trHeight w:val="308" w:hRule="atLeast"/>
        </w:trPr>
        <w:tc>
          <w:tcPr>
            <w:tcW w:w="1161"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91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8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8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8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8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16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16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07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8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308" w:hRule="atLeast"/>
        </w:trPr>
        <w:tc>
          <w:tcPr>
            <w:tcW w:w="307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0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116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6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6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6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6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6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92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说明：我单位没有政府性基金收入，也没有使用政府性基金安排的支出，故本表无数据。</w:t>
            </w: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4273.60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1309.55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23.46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由于疫情影响，采供血量急剧下降</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2265.09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2265.09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4273.60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784.90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18.37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3488.70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81.63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4273.60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1309.55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23.46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由于疫情影响，采供血量急剧下降</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4273.60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504.87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13.40</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sz w:val="32"/>
          <w:szCs w:val="32"/>
          <w:highlight w:val="none"/>
          <w:lang w:val="en-US" w:eastAsia="zh-CN"/>
        </w:rPr>
        <w:t>2021年我单位购置一批采供血专用设备以及为保障采供血工作正常运行年底购置储备了一部分专用血袋、试剂、耗材等</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4273.60</w:t>
      </w:r>
      <w:r>
        <w:rPr>
          <w:rFonts w:hint="eastAsia" w:ascii="仿宋_GB2312" w:hAnsi="仿宋_GB2312" w:eastAsia="仿宋_GB2312" w:cs="仿宋_GB2312"/>
          <w:sz w:val="32"/>
          <w:szCs w:val="32"/>
          <w:highlight w:val="none"/>
        </w:rPr>
        <w:t>万元，主要用于以下方面：一般公共服务支出</w:t>
      </w:r>
      <w:r>
        <w:rPr>
          <w:rFonts w:hint="eastAsia" w:ascii="仿宋_GB2312" w:hAnsi="仿宋_GB2312" w:eastAsia="仿宋_GB2312" w:cs="仿宋_GB2312"/>
          <w:sz w:val="32"/>
          <w:szCs w:val="32"/>
          <w:highlight w:val="none"/>
          <w:lang w:val="en-US" w:eastAsia="zh-CN"/>
        </w:rPr>
        <w:t>16.44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39.53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卫生健康支出</w:t>
      </w:r>
      <w:r>
        <w:rPr>
          <w:rFonts w:hint="eastAsia" w:ascii="仿宋_GB2312" w:hAnsi="仿宋_GB2312" w:eastAsia="仿宋_GB2312" w:cs="仿宋_GB2312"/>
          <w:sz w:val="32"/>
          <w:szCs w:val="32"/>
          <w:highlight w:val="none"/>
          <w:lang w:val="en-US" w:eastAsia="zh-CN"/>
        </w:rPr>
        <w:t>4217.63万元，占98.69%</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4005.20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4273.60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106.70</w:t>
      </w:r>
      <w:r>
        <w:rPr>
          <w:rFonts w:hint="eastAsia" w:ascii="仿宋_GB2312" w:hAnsi="仿宋_GB2312" w:eastAsia="仿宋_GB2312" w:cs="仿宋_GB2312"/>
          <w:sz w:val="32"/>
          <w:szCs w:val="32"/>
          <w:highlight w:val="none"/>
        </w:rPr>
        <w:t>%。其中：</w:t>
      </w:r>
    </w:p>
    <w:p>
      <w:pPr>
        <w:widowControl/>
        <w:numPr>
          <w:ilvl w:val="0"/>
          <w:numId w:val="2"/>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一般公共服务支出</w:t>
      </w:r>
      <w:r>
        <w:rPr>
          <w:rFonts w:hint="eastAsia" w:ascii="仿宋_GB2312" w:hAnsi="宋体" w:eastAsia="仿宋_GB2312"/>
          <w:b/>
          <w:bCs/>
          <w:sz w:val="32"/>
          <w:szCs w:val="32"/>
          <w:highlight w:val="none"/>
        </w:rPr>
        <w:t>（类）群众团体事务（款）工会事务（项）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16.44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16.44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支出</w:t>
      </w:r>
      <w:r>
        <w:rPr>
          <w:rFonts w:hint="eastAsia" w:ascii="仿宋_GB2312" w:hAnsi="宋体" w:eastAsia="仿宋_GB2312"/>
          <w:b/>
          <w:bCs/>
          <w:sz w:val="32"/>
          <w:szCs w:val="32"/>
          <w:highlight w:val="none"/>
        </w:rPr>
        <w:t>（类）行政事业单位</w:t>
      </w:r>
      <w:r>
        <w:rPr>
          <w:rFonts w:hint="eastAsia" w:ascii="仿宋_GB2312" w:hAnsi="宋体" w:eastAsia="仿宋_GB2312"/>
          <w:b/>
          <w:bCs/>
          <w:sz w:val="32"/>
          <w:szCs w:val="32"/>
          <w:highlight w:val="none"/>
          <w:lang w:eastAsia="zh-CN"/>
        </w:rPr>
        <w:t>养老支出</w:t>
      </w:r>
      <w:r>
        <w:rPr>
          <w:rFonts w:hint="eastAsia" w:ascii="仿宋_GB2312" w:hAnsi="宋体" w:eastAsia="仿宋_GB2312"/>
          <w:b/>
          <w:bCs/>
          <w:sz w:val="32"/>
          <w:szCs w:val="32"/>
          <w:highlight w:val="none"/>
        </w:rPr>
        <w:t>（款）事业单位离退休（项）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39.53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．卫生健</w:t>
      </w:r>
      <w:r>
        <w:rPr>
          <w:rFonts w:hint="eastAsia" w:ascii="仿宋_GB2312" w:hAnsi="仿宋_GB2312" w:eastAsia="仿宋_GB2312" w:cs="仿宋_GB2312"/>
          <w:b/>
          <w:bCs/>
          <w:sz w:val="32"/>
          <w:szCs w:val="32"/>
        </w:rPr>
        <w:t>康支出（类）公共卫生（款）采供血机构（项）。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3677.17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3818.87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103.85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。决算数与年初预算数存在差异的主要原因是部分支出结转下年支付。</w:t>
      </w:r>
    </w:p>
    <w:p>
      <w:pPr>
        <w:autoSpaceDE w:val="0"/>
        <w:autoSpaceDN w:val="0"/>
        <w:adjustRightInd w:val="0"/>
        <w:ind w:firstLine="643" w:firstLineChars="200"/>
        <w:jc w:val="lef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4.卫生健</w:t>
      </w:r>
      <w:r>
        <w:rPr>
          <w:rFonts w:hint="eastAsia" w:ascii="仿宋_GB2312" w:hAnsi="仿宋_GB2312" w:eastAsia="仿宋_GB2312" w:cs="仿宋_GB2312"/>
          <w:b/>
          <w:bCs/>
          <w:sz w:val="32"/>
          <w:szCs w:val="32"/>
        </w:rPr>
        <w:t>康支出（类）公共卫生（款）重大公共卫生服务（项）。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272.06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398.76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146.57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。决算数与年初预算数存在差异的主要原因是部分支出结转下年支付</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784.90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713.85</w:t>
      </w:r>
      <w:r>
        <w:rPr>
          <w:rFonts w:hint="eastAsia" w:ascii="仿宋_GB2312" w:hAnsi="仿宋_GB2312" w:eastAsia="仿宋_GB2312" w:cs="仿宋_GB2312"/>
          <w:sz w:val="32"/>
          <w:szCs w:val="32"/>
          <w:highlight w:val="none"/>
        </w:rPr>
        <w:t>万元，主要包括：基本工资、津贴补贴、绩效工资、机关事业单位基本养老保险缴费、职业年金缴费、其他社会保障缴费、其他工资福利支出、离休费、退休费、抚恤金、生活补助、奖励金、住房公积金、物业服务补贴、其他对个人和家庭的补助支出；公用经费</w:t>
      </w:r>
      <w:r>
        <w:rPr>
          <w:rFonts w:hint="eastAsia" w:ascii="仿宋_GB2312" w:hAnsi="仿宋_GB2312" w:eastAsia="仿宋_GB2312" w:cs="仿宋_GB2312"/>
          <w:sz w:val="32"/>
          <w:szCs w:val="32"/>
          <w:highlight w:val="none"/>
          <w:lang w:val="en-US" w:eastAsia="zh-CN"/>
        </w:rPr>
        <w:t>71.05</w:t>
      </w:r>
      <w:r>
        <w:rPr>
          <w:rFonts w:hint="eastAsia" w:ascii="仿宋_GB2312" w:hAnsi="仿宋_GB2312" w:eastAsia="仿宋_GB2312" w:cs="仿宋_GB2312"/>
          <w:sz w:val="32"/>
          <w:szCs w:val="32"/>
          <w:highlight w:val="none"/>
        </w:rPr>
        <w:t>万元，主要包括：办公费、水费、电费、邮电费、物业管理费、差旅费、培训费、公务接待费、工会经费、福利费、公务用车运行维护费、税金及附加费用、。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174.12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170.50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97.92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因为疫情</w:t>
      </w:r>
      <w:r>
        <w:rPr>
          <w:rFonts w:hint="eastAsia" w:ascii="仿宋_GB2312" w:hAnsi="仿宋_GB2312" w:eastAsia="仿宋_GB2312" w:cs="仿宋_GB2312"/>
          <w:sz w:val="32"/>
          <w:szCs w:val="32"/>
          <w:lang w:eastAsia="zh-CN"/>
        </w:rPr>
        <w:t>单位减少招待次数。</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170.44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99.09</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99.96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2.88</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%。具体情况如下：</w:t>
      </w:r>
    </w:p>
    <w:p>
      <w:pPr>
        <w:widowControl/>
        <w:numPr>
          <w:ilvl w:val="0"/>
          <w:numId w:val="3"/>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eastAsia="zh-CN"/>
        </w:rPr>
        <w:t>数</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sz w:val="32"/>
          <w:szCs w:val="32"/>
          <w:highlight w:val="none"/>
          <w:lang w:eastAsia="zh-CN"/>
        </w:rPr>
        <w:t>数</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numPr>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eastAsia="zh-CN"/>
        </w:rPr>
        <w:t>数</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172.00</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sz w:val="32"/>
          <w:szCs w:val="32"/>
          <w:highlight w:val="none"/>
          <w:lang w:eastAsia="zh-CN"/>
        </w:rPr>
        <w:t>数</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170.44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99.09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单位减少公务用车维修维护费</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109.80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台，其中特种专业技术用车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60.64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单位采供血专用车辆的油修、保险、过路费等支出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eastAsia="zh-CN"/>
        </w:rPr>
        <w:t>数</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2.12</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sz w:val="32"/>
          <w:szCs w:val="32"/>
          <w:highlight w:val="none"/>
          <w:lang w:eastAsia="zh-CN"/>
        </w:rPr>
        <w:t>数</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2.88</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单位减少公务接待</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血站间的交流学习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187.77</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187.77</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77.97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41.52</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77.97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41.52</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4273.60万元，其中：基本支出784.90万元；支出项目6个，支出金额3488.70万元。开展项目绩效自评项目6个，自评金额3488.70万元。</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（二）部门（单位）整体和项目绩效自评结果。</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_GB2312" w:hAnsi="仿宋_GB2312" w:eastAsia="仿宋_GB2312" w:cs="仿宋_GB2312"/>
          <w:sz w:val="32"/>
          <w:szCs w:val="32"/>
        </w:rPr>
        <w:t>许昌市中心血站202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年绩效自评覆盖体采科、检验科、质控科、成分科、供血科、业务科、献血办、信息宣传科、后勤保障科、办公室、财务科</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11个科室，</w:t>
      </w:r>
      <w:r>
        <w:rPr>
          <w:rFonts w:ascii="仿宋_GB2312" w:hAnsi="仿宋_GB2312" w:eastAsia="仿宋_GB2312" w:cs="仿宋_GB2312"/>
          <w:sz w:val="32"/>
          <w:szCs w:val="32"/>
        </w:rPr>
        <w:t>通过评价资料的收集与核实，获取必要的基础资料，采取现场考查、问卷调查等形式组织完成评价工作的实施</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color w:val="auto"/>
          <w:sz w:val="32"/>
          <w:szCs w:val="32"/>
          <w:highlight w:val="none"/>
          <w:lang w:val="en-US" w:eastAsia="zh-CN"/>
        </w:rPr>
        <w:t>得分为96.36，评价等级为“优”。二是项目绩效自评情况。我单位共有6个项目批复了绩效目标。其中：</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许昌市中心血站6个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93.46。其中：6个项目评价等级为“优”、0个项目评价等级为“良”、0个项目评价等级为“中”、0个项目评价等级为“差”。</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仿宋_GB2312" w:cs="宋体"/>
          <w:color w:val="auto"/>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1"/>
      <w:numFmt w:val="decimal"/>
      <w:suff w:val="nothing"/>
      <w:lvlText w:val="%1．"/>
      <w:lvlJc w:val="left"/>
    </w:lvl>
  </w:abstractNum>
  <w:abstractNum w:abstractNumId="3">
    <w:nsid w:val="00000003"/>
    <w:multiLevelType w:val="singleLevel"/>
    <w:tmpl w:val="00000003"/>
    <w:lvl w:ilvl="0" w:tentative="1">
      <w:start w:val="1"/>
      <w:numFmt w:val="chineseCounting"/>
      <w:suff w:val="nothing"/>
      <w:lvlText w:val="%1、"/>
      <w:lvlJc w:val="left"/>
    </w:lvl>
  </w:abstractNum>
  <w:abstractNum w:abstractNumId="4">
    <w:nsid w:val="00000004"/>
    <w:multiLevelType w:val="singleLevel"/>
    <w:tmpl w:val="00000004"/>
    <w:lvl w:ilvl="0" w:tentative="1">
      <w:start w:val="1"/>
      <w:numFmt w:val="decimal"/>
      <w:suff w:val="nothing"/>
      <w:lvlText w:val="%1．"/>
      <w:lvlJc w:val="left"/>
    </w:lvl>
  </w:abstractNum>
  <w:num w:numId="1">
    <w:abstractNumId w:val="3"/>
  </w:num>
  <w:num w:numId="2">
    <w:abstractNumId w:val="2"/>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tyle>
  <w:style w:type="paragraph" w:styleId="2">
    <w:name w:val="批注框文本"/>
    <w:basedOn w:val="1"/>
    <w:link w:val="14"/>
    <w:rPr>
      <w:kern w:val="2"/>
      <w:sz w:val="18"/>
      <w:szCs w:val="18"/>
    </w:rPr>
  </w:style>
  <w:style w:type="paragraph" w:styleId="3">
    <w:name w:val="footer"/>
    <w:basedOn w:val="1"/>
    <w:link w:val="13"/>
    <w:pPr>
      <w:tabs>
        <w:tab w:val="center" w:pos="4153"/>
        <w:tab w:val="right" w:pos="8306"/>
      </w:tabs>
      <w:snapToGrid w:val="0"/>
      <w:jc w:val="left"/>
    </w:pPr>
    <w:rPr>
      <w:kern w:val="2"/>
      <w:sz w:val="18"/>
      <w:szCs w:val="18"/>
    </w:rPr>
  </w:style>
  <w:style w:type="paragraph" w:styleId="4">
    <w:name w:val="header"/>
    <w:basedOn w:val="1"/>
    <w:link w:val="15"/>
    <w:pPr>
      <w:pBdr>
        <w:bottom w:val="single" w:color="auto" w:sz="6" w:space="1"/>
      </w:pBdr>
      <w:tabs>
        <w:tab w:val="center" w:pos="4153"/>
        <w:tab w:val="right" w:pos="8306"/>
      </w:tabs>
      <w:snapToGrid w:val="0"/>
      <w:jc w:val="center"/>
    </w:pPr>
    <w:rPr>
      <w:kern w:val="2"/>
      <w:sz w:val="18"/>
      <w:szCs w:val="18"/>
    </w:rPr>
  </w:style>
  <w:style w:type="character" w:styleId="6">
    <w:name w:val="FollowedHyperlink"/>
    <w:rPr>
      <w:color w:val="800080"/>
      <w:u w:val="single"/>
    </w:rPr>
  </w:style>
  <w:style w:type="character" w:styleId="7">
    <w:name w:val="Hyperlink"/>
    <w:rPr>
      <w:color w:val="0000FF"/>
      <w:u w:val="single"/>
    </w:rPr>
  </w:style>
  <w:style w:type="character" w:customStyle="1" w:styleId="8">
    <w:name w:val="font41"/>
    <w:rPr>
      <w:rFonts w:hint="eastAsia" w:ascii="宋体" w:hAnsi="宋体" w:eastAsia="宋体" w:cs="宋体"/>
      <w:color w:val="000000"/>
      <w:sz w:val="24"/>
      <w:szCs w:val="24"/>
      <w:u w:val="none"/>
    </w:rPr>
  </w:style>
  <w:style w:type="character" w:customStyle="1" w:styleId="9">
    <w:name w:val="font51"/>
    <w:rPr>
      <w:rFonts w:hint="eastAsia" w:ascii="宋体" w:hAnsi="宋体" w:eastAsia="宋体" w:cs="宋体"/>
      <w:color w:val="000000"/>
      <w:sz w:val="24"/>
      <w:szCs w:val="24"/>
      <w:u w:val="none"/>
    </w:rPr>
  </w:style>
  <w:style w:type="character" w:customStyle="1" w:styleId="10">
    <w:name w:val="font11"/>
    <w:rPr>
      <w:rFonts w:hint="eastAsia" w:ascii="宋体" w:hAnsi="宋体" w:eastAsia="宋体" w:cs="宋体"/>
      <w:color w:val="000000"/>
      <w:sz w:val="20"/>
      <w:szCs w:val="20"/>
      <w:u w:val="none"/>
    </w:rPr>
  </w:style>
  <w:style w:type="character" w:customStyle="1" w:styleId="11">
    <w:name w:val="font01"/>
    <w:rPr>
      <w:rFonts w:hint="eastAsia" w:ascii="宋体" w:hAnsi="宋体" w:eastAsia="宋体" w:cs="宋体"/>
      <w:color w:val="000000"/>
      <w:sz w:val="22"/>
      <w:szCs w:val="22"/>
      <w:u w:val="none"/>
    </w:rPr>
  </w:style>
  <w:style w:type="character" w:customStyle="1" w:styleId="12">
    <w:name w:val="font21"/>
    <w:rPr>
      <w:rFonts w:hint="eastAsia" w:ascii="宋体" w:hAnsi="宋体" w:eastAsia="宋体" w:cs="宋体"/>
      <w:color w:val="000000"/>
      <w:sz w:val="22"/>
      <w:szCs w:val="22"/>
      <w:u w:val="none"/>
    </w:rPr>
  </w:style>
  <w:style w:type="character" w:customStyle="1" w:styleId="13">
    <w:name w:val="页脚 Char Char"/>
    <w:link w:val="3"/>
    <w:semiHidden/>
    <w:rPr>
      <w:kern w:val="2"/>
      <w:sz w:val="18"/>
      <w:szCs w:val="18"/>
    </w:rPr>
  </w:style>
  <w:style w:type="character" w:customStyle="1" w:styleId="14">
    <w:name w:val="批注框文本 Char Char"/>
    <w:link w:val="2"/>
    <w:semiHidden/>
    <w:rPr>
      <w:kern w:val="2"/>
      <w:sz w:val="18"/>
      <w:szCs w:val="18"/>
    </w:rPr>
  </w:style>
  <w:style w:type="character" w:customStyle="1" w:styleId="15">
    <w:name w:val="页眉 Char Char"/>
    <w:link w:val="4"/>
    <w:semiHidden/>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7727</Words>
  <Characters>9549</Characters>
  <Lines>60</Lines>
  <Paragraphs>16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Printed>2018-07-24T18:50:00Z</cp:lastPrinted>
  <dcterms:modified xsi:type="dcterms:W3CDTF">2023-05-15T17:07:51Z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7DCE0CDD83354219873D1BC44F0449FD</vt:lpwstr>
  </property>
</Properties>
</file>