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许昌市中心医院</w:t>
      </w: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许昌市中心医院概况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许昌市中心医院概况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ind w:firstLine="640" w:firstLineChars="200"/>
        <w:rPr>
          <w:rFonts w:ascii="仿宋_GB2312" w:hAnsi="仿宋" w:eastAsia="仿宋_GB2312"/>
          <w:sz w:val="32"/>
          <w:szCs w:val="32"/>
        </w:rPr>
      </w:pPr>
      <w:r>
        <w:rPr>
          <w:rFonts w:hint="eastAsia" w:ascii="仿宋_GB2312" w:hAnsi="仿宋" w:eastAsia="仿宋_GB2312"/>
          <w:kern w:val="0"/>
          <w:sz w:val="32"/>
          <w:szCs w:val="32"/>
        </w:rPr>
        <w:t>许昌市中心医院创建于1912年，前身是美籍基督教会创办的信义医院，</w:t>
      </w:r>
      <w:r>
        <w:rPr>
          <w:rFonts w:hint="eastAsia" w:ascii="仿宋_GB2312" w:hAnsi="仿宋" w:eastAsia="仿宋_GB2312"/>
          <w:sz w:val="32"/>
          <w:szCs w:val="32"/>
        </w:rPr>
        <w:t>是中华基督教信义会豫中总会在河南建设的一所较早的教会医院。</w:t>
      </w:r>
      <w:r>
        <w:rPr>
          <w:rFonts w:hint="eastAsia" w:ascii="仿宋_GB2312" w:hAnsi="仿宋" w:eastAsia="仿宋_GB2312"/>
          <w:kern w:val="0"/>
          <w:sz w:val="32"/>
          <w:szCs w:val="32"/>
        </w:rPr>
        <w:t>1951年</w:t>
      </w:r>
      <w:r>
        <w:rPr>
          <w:rFonts w:hint="eastAsia" w:ascii="仿宋_GB2312" w:hAnsi="仿宋" w:eastAsia="仿宋_GB2312"/>
          <w:sz w:val="32"/>
          <w:szCs w:val="32"/>
        </w:rPr>
        <w:t>由许昌专署接办，更名为许昌专区人民医院；文革期间多次易名，1974年恢复为许昌地区人民医院；1986年许、漯区划调整，更名为许昌市中心医院至今。</w:t>
      </w:r>
    </w:p>
    <w:p>
      <w:pPr>
        <w:ind w:firstLine="640" w:firstLineChars="200"/>
        <w:rPr>
          <w:rFonts w:ascii="仿宋_GB2312" w:hAnsi="仿宋" w:eastAsia="仿宋_GB2312" w:cs="宋体"/>
          <w:color w:val="333333"/>
          <w:kern w:val="0"/>
          <w:sz w:val="32"/>
          <w:szCs w:val="32"/>
        </w:rPr>
      </w:pPr>
      <w:r>
        <w:rPr>
          <w:rFonts w:hint="eastAsia" w:ascii="仿宋_GB2312" w:hAnsi="仿宋" w:eastAsia="仿宋_GB2312"/>
          <w:kern w:val="0"/>
          <w:sz w:val="32"/>
          <w:szCs w:val="32"/>
        </w:rPr>
        <w:t>许昌市中心医院至今已有百余年历史，</w:t>
      </w:r>
      <w:r>
        <w:rPr>
          <w:rFonts w:hint="eastAsia" w:ascii="仿宋_GB2312" w:hAnsi="仿宋" w:eastAsia="仿宋_GB2312"/>
          <w:sz w:val="32"/>
          <w:szCs w:val="32"/>
        </w:rPr>
        <w:t>是一家集医疗、教学、科研、预防保健、康复和急救为一体的</w:t>
      </w:r>
      <w:r>
        <w:rPr>
          <w:rFonts w:hint="eastAsia" w:ascii="仿宋_GB2312" w:hAnsi="仿宋" w:eastAsia="仿宋_GB2312" w:cs="仿宋_GB2312"/>
          <w:sz w:val="32"/>
          <w:szCs w:val="32"/>
        </w:rPr>
        <w:t>综合性三级甲等公立医院</w:t>
      </w:r>
      <w:r>
        <w:rPr>
          <w:rFonts w:hint="eastAsia" w:ascii="仿宋_GB2312" w:hAnsi="仿宋" w:eastAsia="仿宋_GB2312"/>
          <w:sz w:val="32"/>
          <w:szCs w:val="32"/>
        </w:rPr>
        <w:t>，</w:t>
      </w:r>
      <w:r>
        <w:rPr>
          <w:rFonts w:hint="eastAsia" w:ascii="仿宋_GB2312" w:hAnsi="仿宋" w:eastAsia="仿宋_GB2312" w:cs="仿宋_GB2312"/>
          <w:sz w:val="32"/>
          <w:szCs w:val="32"/>
        </w:rPr>
        <w:t xml:space="preserve">是河南科技大学附属医院，国家住院医师、全科医师规范化培训基地，国家胸痛中心、高级卒中中心、脑卒中筛查与防治基地，国家健康促进与教育优秀实践基地，全国临床药师规培学员培训中心，全国健康管理示范基地。              </w:t>
      </w:r>
      <w:r>
        <w:rPr>
          <w:rFonts w:hint="eastAsia" w:ascii="仿宋_GB2312" w:hAnsi="仿宋" w:eastAsia="仿宋_GB2312" w:cs="仿宋_GB2312"/>
          <w:sz w:val="32"/>
          <w:szCs w:val="32"/>
        </w:rPr>
        <w:tab/>
      </w:r>
      <w:r>
        <w:rPr>
          <w:rFonts w:hint="eastAsia" w:ascii="仿宋_GB2312" w:hAnsi="仿宋" w:eastAsia="仿宋_GB2312" w:cs="仿宋_GB2312"/>
          <w:sz w:val="32"/>
          <w:szCs w:val="32"/>
        </w:rPr>
        <w:t xml:space="preserve"> </w:t>
      </w:r>
      <w:r>
        <w:rPr>
          <w:rFonts w:hint="eastAsia" w:ascii="仿宋_GB2312" w:hAnsi="仿宋" w:eastAsia="仿宋_GB2312"/>
          <w:kern w:val="0"/>
          <w:sz w:val="32"/>
          <w:szCs w:val="32"/>
        </w:rPr>
        <w:t>2021年，许昌市中心医院将实施“</w:t>
      </w:r>
      <w:r>
        <w:rPr>
          <w:rFonts w:hint="eastAsia" w:ascii="仿宋_GB2312" w:hAnsi="仿宋" w:eastAsia="仿宋_GB2312" w:cs="仿宋_GB2312"/>
          <w:sz w:val="32"/>
          <w:szCs w:val="32"/>
        </w:rPr>
        <w:t>一院多区”发展战略，加快推进临床重点专科和省级区域医疗中心建设，推动建立现代化医院管理制度，在学科建设、人才培养、科研教学、文化建设和科学管理等方面创造新业绩，打造管理科学、技术先进、设备精良、环境舒适、服务一流的许昌市中心医院医疗集团。一是</w:t>
      </w:r>
      <w:r>
        <w:rPr>
          <w:rFonts w:hint="eastAsia" w:ascii="仿宋_GB2312" w:hAnsi="仿宋" w:eastAsia="仿宋_GB2312"/>
          <w:sz w:val="32"/>
          <w:szCs w:val="32"/>
        </w:rPr>
        <w:t>加快推进鹿鸣湖院区建设，保证鹿鸣湖院区整体投入使用，各项医院设施进一步完善，日常工作有序进行。二是</w:t>
      </w:r>
      <w:r>
        <w:rPr>
          <w:rFonts w:hint="eastAsia" w:ascii="仿宋_GB2312" w:hAnsi="仿宋" w:eastAsia="仿宋_GB2312" w:cs="楷体"/>
          <w:sz w:val="32"/>
          <w:szCs w:val="32"/>
        </w:rPr>
        <w:t>做好华佗路院区改建。鹿鸣湖</w:t>
      </w:r>
      <w:r>
        <w:rPr>
          <w:rFonts w:hint="eastAsia" w:ascii="仿宋_GB2312" w:hAnsi="仿宋" w:eastAsia="仿宋_GB2312"/>
          <w:sz w:val="32"/>
          <w:szCs w:val="32"/>
        </w:rPr>
        <w:t>院区整体投用后，将华佗路院区改扩建为市级公立中医院和妇儿诊疗中心，</w:t>
      </w:r>
      <w:r>
        <w:rPr>
          <w:rFonts w:hint="eastAsia" w:ascii="仿宋_GB2312" w:hAnsi="仿宋" w:eastAsia="仿宋_GB2312" w:cs="楷体_GB2312"/>
          <w:bCs/>
          <w:sz w:val="32"/>
          <w:szCs w:val="32"/>
        </w:rPr>
        <w:t>拟设13 个临床科室、10个医技科室。制定改造方案和工作台账，加快改造项目立项和开工前各项审批工作，并分步、分区域实施改造，年底前完成部分改建任务</w:t>
      </w:r>
      <w:r>
        <w:rPr>
          <w:rFonts w:hint="eastAsia" w:ascii="仿宋_GB2312" w:hAnsi="仿宋" w:eastAsia="仿宋_GB2312"/>
          <w:sz w:val="32"/>
          <w:szCs w:val="32"/>
        </w:rPr>
        <w:t>。三是</w:t>
      </w:r>
      <w:r>
        <w:rPr>
          <w:rFonts w:hint="eastAsia" w:ascii="仿宋_GB2312" w:hAnsi="仿宋" w:eastAsia="仿宋_GB2312" w:cs="楷体"/>
          <w:sz w:val="32"/>
          <w:szCs w:val="32"/>
        </w:rPr>
        <w:t>推进公共卫生医疗中心建设。</w:t>
      </w:r>
      <w:r>
        <w:rPr>
          <w:rFonts w:hint="eastAsia" w:ascii="仿宋_GB2312" w:hAnsi="仿宋" w:eastAsia="仿宋_GB2312" w:cs="仿宋"/>
          <w:kern w:val="0"/>
          <w:sz w:val="32"/>
          <w:szCs w:val="32"/>
        </w:rPr>
        <w:t>拟按照二级甲等医院标准设置综合病床100张，传染床位200张。制定工作台账，完成前期可研、初设等各项手续办理，保证年底前开工建设。四是</w:t>
      </w:r>
      <w:r>
        <w:rPr>
          <w:rFonts w:hint="eastAsia" w:ascii="仿宋_GB2312" w:hAnsi="仿宋" w:eastAsia="仿宋_GB2312" w:cs="宋体"/>
          <w:bCs/>
          <w:sz w:val="32"/>
          <w:szCs w:val="32"/>
        </w:rPr>
        <w:t>统筹三个院区协调发展，打造许昌市中心医院医疗集团。</w:t>
      </w:r>
      <w:r>
        <w:rPr>
          <w:rFonts w:hint="eastAsia" w:ascii="仿宋_GB2312" w:hAnsi="仿宋" w:eastAsia="仿宋_GB2312" w:cs="楷体"/>
          <w:bCs/>
          <w:sz w:val="32"/>
          <w:szCs w:val="32"/>
        </w:rPr>
        <w:t>明确三个院区功能定位，</w:t>
      </w:r>
      <w:r>
        <w:rPr>
          <w:rFonts w:hint="eastAsia" w:ascii="仿宋_GB2312" w:hAnsi="仿宋" w:eastAsia="仿宋_GB2312" w:cs="宋体"/>
          <w:bCs/>
          <w:sz w:val="32"/>
          <w:szCs w:val="32"/>
        </w:rPr>
        <w:t>鹿鸣湖院区为三级甲等综合医院、华佗路院区为公立中医院和妇儿诊疗中心、七一路院区为康复专科医院，</w:t>
      </w:r>
      <w:r>
        <w:rPr>
          <w:rFonts w:hint="eastAsia" w:ascii="仿宋_GB2312" w:hAnsi="仿宋" w:eastAsia="仿宋_GB2312" w:cs="仿宋"/>
          <w:sz w:val="32"/>
          <w:szCs w:val="32"/>
        </w:rPr>
        <w:t>围绕“一院三区”可持续性发展和同质化管理的理念，搭建“一院三区”集团化管理架构体系，推进学科、专业、技术一体化、同质化管理和人、财、物深度融合。五是</w:t>
      </w:r>
      <w:r>
        <w:rPr>
          <w:rFonts w:hint="eastAsia" w:ascii="仿宋_GB2312" w:hAnsi="仿宋" w:eastAsia="仿宋_GB2312" w:cs="楷体"/>
          <w:sz w:val="32"/>
          <w:szCs w:val="32"/>
        </w:rPr>
        <w:t>做好省级重点专科建设和区域医疗中心创建工作，</w:t>
      </w:r>
      <w:r>
        <w:rPr>
          <w:rFonts w:hint="eastAsia" w:ascii="仿宋_GB2312" w:hAnsi="仿宋" w:eastAsia="仿宋_GB2312" w:cs="仿宋"/>
          <w:sz w:val="32"/>
          <w:szCs w:val="32"/>
        </w:rPr>
        <w:t>对照建设和创建标准，查找薄弱环节，建立时间台账，明确责任人和时限要求，相关专业申报通过省级重点专科，三个省级区域医疗中心通过验收。六是</w:t>
      </w:r>
      <w:r>
        <w:rPr>
          <w:rFonts w:hint="eastAsia" w:ascii="仿宋_GB2312" w:hAnsi="仿宋" w:eastAsia="仿宋_GB2312" w:cs="华文仿宋"/>
          <w:color w:val="000000"/>
          <w:sz w:val="32"/>
          <w:szCs w:val="32"/>
        </w:rPr>
        <w:t>持续深入推进豫沪合作，</w:t>
      </w:r>
      <w:r>
        <w:rPr>
          <w:rFonts w:hint="eastAsia" w:ascii="仿宋_GB2312" w:hAnsi="仿宋" w:eastAsia="仿宋_GB2312" w:cs="仿宋"/>
          <w:sz w:val="32"/>
          <w:szCs w:val="32"/>
        </w:rPr>
        <w:t>推进</w:t>
      </w:r>
      <w:r>
        <w:rPr>
          <w:rFonts w:hint="eastAsia" w:ascii="仿宋_GB2312" w:hAnsi="仿宋" w:eastAsia="仿宋_GB2312" w:cs="仿宋"/>
          <w:bCs/>
          <w:sz w:val="32"/>
          <w:szCs w:val="32"/>
        </w:rPr>
        <w:t>远程医疗中心、</w:t>
      </w:r>
      <w:r>
        <w:rPr>
          <w:rFonts w:hint="eastAsia" w:ascii="仿宋_GB2312" w:hAnsi="仿宋" w:eastAsia="仿宋_GB2312" w:cs="仿宋"/>
          <w:sz w:val="32"/>
          <w:szCs w:val="32"/>
        </w:rPr>
        <w:t>特色肿瘤诊疗中心和精准医学实验中心建设落地。</w:t>
      </w:r>
    </w:p>
    <w:p>
      <w:pPr>
        <w:spacing w:line="360" w:lineRule="auto"/>
        <w:ind w:left="1" w:firstLine="640" w:firstLineChars="200"/>
        <w:textAlignment w:val="bottom"/>
        <w:rPr>
          <w:rFonts w:ascii="仿宋_GB2312" w:hAnsi="仿宋" w:eastAsia="仿宋_GB2312"/>
          <w:kern w:val="0"/>
          <w:sz w:val="32"/>
          <w:szCs w:val="32"/>
        </w:rPr>
      </w:pPr>
      <w:r>
        <w:rPr>
          <w:rFonts w:hint="eastAsia" w:ascii="仿宋_GB2312" w:hAnsi="仿宋" w:eastAsia="仿宋_GB2312"/>
          <w:kern w:val="0"/>
          <w:sz w:val="32"/>
          <w:szCs w:val="32"/>
        </w:rPr>
        <w:t>作为许昌区域医疗中心，许昌市中心医院不断强化与上下级医疗机构的协作联合，是解放军301医院远程会诊站点医院，与</w:t>
      </w:r>
      <w:r>
        <w:rPr>
          <w:rFonts w:hint="eastAsia" w:ascii="仿宋_GB2312" w:hAnsi="仿宋" w:eastAsia="仿宋_GB2312" w:cs="仿宋_GB2312"/>
          <w:bCs/>
          <w:color w:val="000000"/>
          <w:kern w:val="0"/>
          <w:sz w:val="32"/>
          <w:szCs w:val="32"/>
        </w:rPr>
        <w:t>北京大学人民医院结为医联体单位，</w:t>
      </w:r>
      <w:r>
        <w:rPr>
          <w:rFonts w:hint="eastAsia" w:ascii="仿宋_GB2312" w:hAnsi="仿宋" w:eastAsia="仿宋_GB2312"/>
          <w:kern w:val="0"/>
          <w:sz w:val="32"/>
          <w:szCs w:val="32"/>
        </w:rPr>
        <w:t>与河南省人民医院、郑州大学一、二附院结为协作医院，与许昌市66家医疗机构结为医联体，多个省级分中心和市级分中心、诊疗中心、救治中心设在我院。现</w:t>
      </w:r>
      <w:r>
        <w:rPr>
          <w:rFonts w:hint="eastAsia" w:ascii="仿宋_GB2312" w:hAnsi="仿宋" w:eastAsia="仿宋_GB2312"/>
          <w:sz w:val="32"/>
          <w:szCs w:val="32"/>
        </w:rPr>
        <w:t>拥有四个许昌市重点实验室、五个医学技术工程中心、十二个创新型专业团队，一个</w:t>
      </w:r>
      <w:r>
        <w:rPr>
          <w:rFonts w:hint="eastAsia" w:ascii="仿宋_GB2312" w:hAnsi="仿宋" w:eastAsia="仿宋_GB2312" w:cs="仿宋"/>
          <w:color w:val="000000"/>
          <w:sz w:val="32"/>
          <w:szCs w:val="32"/>
        </w:rPr>
        <w:t>院士工作站。依托豫籍在沪专家</w:t>
      </w:r>
      <w:r>
        <w:rPr>
          <w:rFonts w:hint="eastAsia" w:ascii="仿宋_GB2312" w:hAnsi="华文仿宋" w:eastAsia="仿宋_GB2312" w:cs="华文仿宋"/>
          <w:color w:val="000000"/>
          <w:sz w:val="32"/>
          <w:szCs w:val="32"/>
        </w:rPr>
        <w:t>联谊会建立了</w:t>
      </w:r>
      <w:r>
        <w:rPr>
          <w:rFonts w:hint="eastAsia" w:ascii="仿宋_GB2312" w:hAnsi="华文仿宋" w:eastAsia="仿宋_GB2312" w:cs="华文仿宋"/>
          <w:sz w:val="32"/>
          <w:szCs w:val="32"/>
        </w:rPr>
        <w:t>肝胆肿瘤、耳鼻喉科、个性化医学、脊柱外科和帕金森病及运动障碍性疾病专家工作站，</w:t>
      </w:r>
      <w:r>
        <w:rPr>
          <w:rFonts w:hint="eastAsia" w:ascii="仿宋_GB2312" w:hAnsi="仿宋" w:eastAsia="仿宋_GB2312" w:cs="华文仿宋"/>
          <w:sz w:val="32"/>
          <w:szCs w:val="32"/>
        </w:rPr>
        <w:t>豫沪合作纳入省级战略统筹布局，</w:t>
      </w:r>
      <w:r>
        <w:rPr>
          <w:rFonts w:hint="eastAsia" w:ascii="仿宋_GB2312" w:hAnsi="仿宋" w:eastAsia="仿宋_GB2312" w:cs="仿宋_GB2312"/>
          <w:sz w:val="32"/>
          <w:szCs w:val="32"/>
        </w:rPr>
        <w:t>远程医疗中心、特色肿瘤诊疗中心和精准医学实验中心落户医院，</w:t>
      </w:r>
      <w:r>
        <w:rPr>
          <w:rFonts w:hint="eastAsia" w:ascii="仿宋_GB2312" w:hAnsi="仿宋" w:eastAsia="仿宋_GB2312" w:cs="仿宋"/>
          <w:color w:val="000000"/>
          <w:sz w:val="32"/>
          <w:szCs w:val="32"/>
        </w:rPr>
        <w:t>搭建高层次科技创新和人才培养平台，带动医院品牌提升和专业发展。2021年6月，</w:t>
      </w:r>
      <w:r>
        <w:rPr>
          <w:rFonts w:hint="eastAsia" w:ascii="仿宋_GB2312" w:hAnsi="仿宋" w:eastAsia="仿宋_GB2312" w:cs="仿宋"/>
          <w:sz w:val="32"/>
          <w:szCs w:val="32"/>
        </w:rPr>
        <w:t>经省卫健委批准在我院规划设置神经疾病区域医疗中心、癌症区域医疗中心、口腔区域医疗中心，通过省级区域中心建设，将快速提高区域内相关专业疑难危重病例的救治水平。</w:t>
      </w:r>
    </w:p>
    <w:p>
      <w:pPr>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近年来，医院先后获得“河南省卫生系统先进集体”、河南省“五一劳动奖状”、“河南省管理创新先进单位”、“河南省卫生先进单位”、“全省纠风工作先进单位”、“河南省卫生厅十大指标目标管理考核先进单位”、“</w:t>
      </w:r>
      <w:r>
        <w:rPr>
          <w:rFonts w:hint="eastAsia" w:ascii="仿宋_GB2312" w:hAnsi="仿宋" w:eastAsia="仿宋_GB2312"/>
          <w:sz w:val="32"/>
          <w:szCs w:val="32"/>
        </w:rPr>
        <w:t>河南省援外医疗先进单位”、“省级平安医院”、“河南省改善医疗服务工作先进集体”、“河南省群众满意医院”</w:t>
      </w:r>
      <w:r>
        <w:rPr>
          <w:rFonts w:hint="eastAsia" w:ascii="仿宋_GB2312" w:hAnsi="仿宋" w:eastAsia="仿宋_GB2312"/>
          <w:kern w:val="0"/>
          <w:sz w:val="32"/>
          <w:szCs w:val="32"/>
        </w:rPr>
        <w:t>等荣誉称号。</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outlineLvl w:val="1"/>
        <w:rPr>
          <w:rFonts w:ascii="仿宋_GB2312" w:hAnsi="黑体" w:eastAsia="仿宋_GB2312" w:cs="黑体"/>
          <w:kern w:val="0"/>
          <w:sz w:val="32"/>
          <w:szCs w:val="32"/>
        </w:rPr>
      </w:pPr>
      <w:r>
        <w:rPr>
          <w:rFonts w:hint="eastAsia" w:ascii="仿宋_GB2312" w:hAnsi="仿宋" w:eastAsia="仿宋_GB2312" w:cs="仿宋"/>
          <w:kern w:val="0"/>
          <w:sz w:val="32"/>
          <w:szCs w:val="32"/>
        </w:rPr>
        <w:t>我院内设机构94个，包括麻醉科手术部、重症医学监护室、呼吸危重症医学病区、肿瘤内科病区、检验科、核医学科等94个临床、医技及重症监护病房。</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从决算单位构成看，许昌市中心医院部门决算包括：本级决算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ind w:firstLine="960" w:firstLineChars="300"/>
        <w:rPr>
          <w:rFonts w:ascii="仿宋_GB2312" w:hAnsi="仿宋" w:eastAsia="仿宋_GB2312" w:cs="仿宋"/>
          <w:kern w:val="0"/>
          <w:sz w:val="32"/>
          <w:szCs w:val="32"/>
        </w:rPr>
      </w:pPr>
      <w:r>
        <w:rPr>
          <w:rFonts w:hint="eastAsia" w:ascii="仿宋_GB2312" w:hAnsi="仿宋" w:eastAsia="仿宋_GB2312" w:cs="仿宋"/>
          <w:kern w:val="0"/>
          <w:sz w:val="32"/>
          <w:szCs w:val="32"/>
        </w:rPr>
        <w:t>纳入本部门2021年度部门决算编制范围的单位共1个，具体是：</w:t>
      </w:r>
    </w:p>
    <w:p>
      <w:pPr>
        <w:ind w:firstLine="960" w:firstLineChars="300"/>
        <w:rPr>
          <w:rFonts w:ascii="仿宋_GB2312" w:hAnsi="仿宋" w:eastAsia="仿宋_GB2312" w:cs="仿宋"/>
          <w:kern w:val="0"/>
          <w:sz w:val="32"/>
          <w:szCs w:val="32"/>
        </w:rPr>
      </w:pPr>
      <w:r>
        <w:rPr>
          <w:rFonts w:hint="eastAsia" w:ascii="仿宋_GB2312" w:hAnsi="仿宋" w:eastAsia="仿宋_GB2312" w:cs="仿宋"/>
          <w:kern w:val="0"/>
          <w:sz w:val="32"/>
          <w:szCs w:val="32"/>
        </w:rPr>
        <w:t>1、</w:t>
      </w:r>
      <w:r>
        <w:rPr>
          <w:rFonts w:hint="eastAsia" w:ascii="仿宋_GB2312" w:hAnsi="仿宋" w:eastAsia="仿宋_GB2312"/>
          <w:kern w:val="0"/>
          <w:sz w:val="32"/>
          <w:szCs w:val="32"/>
        </w:rPr>
        <w:t>许昌市中心医院</w:t>
      </w:r>
    </w:p>
    <w:p>
      <w:pPr>
        <w:ind w:firstLine="640" w:firstLineChars="200"/>
        <w:jc w:val="left"/>
        <w:rPr>
          <w:rFonts w:ascii="仿宋" w:hAnsi="仿宋" w:eastAsia="仿宋" w:cs="仿宋"/>
          <w:kern w:val="0"/>
          <w:sz w:val="32"/>
          <w:szCs w:val="32"/>
        </w:rPr>
      </w:pPr>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sectPr>
          <w:pgSz w:w="11906" w:h="16838"/>
          <w:pgMar w:top="1440" w:right="1800" w:bottom="1440" w:left="1800" w:header="720" w:footer="720" w:gutter="0"/>
          <w:pgNumType w:fmt="numberInDash"/>
          <w:cols w:space="720" w:num="1"/>
          <w:docGrid w:type="lines" w:linePitch="312"/>
        </w:sectPr>
      </w:pPr>
    </w:p>
    <w:p>
      <w:pPr>
        <w:rPr>
          <w:rFonts w:ascii="仿宋_GB2312" w:hAnsi="仿宋_GB2312" w:eastAsia="仿宋_GB2312" w:cs="仿宋_GB2312"/>
          <w:sz w:val="32"/>
          <w:szCs w:val="32"/>
        </w:rPr>
      </w:pPr>
    </w:p>
    <w:tbl>
      <w:tblPr>
        <w:tblW w:w="14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27"/>
        <w:gridCol w:w="639"/>
        <w:gridCol w:w="1537"/>
        <w:gridCol w:w="4533"/>
        <w:gridCol w:w="639"/>
        <w:gridCol w:w="1810"/>
        <w:gridCol w:w="135"/>
      </w:tblGrid>
      <w:tr>
        <w:trPr>
          <w:gridAfter w:val="1"/>
          <w:wAfter w:w="135" w:type="dxa"/>
          <w:trHeight w:val="435" w:hRule="atLeast"/>
        </w:trPr>
        <w:tc>
          <w:tcPr>
            <w:tcW w:w="1398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lang/>
              </w:rPr>
            </w:pPr>
            <w:r>
              <w:rPr>
                <w:rFonts w:hint="eastAsia" w:ascii="华文中宋" w:hAnsi="华文中宋" w:eastAsia="华文中宋" w:cs="华文中宋"/>
                <w:color w:val="000000"/>
                <w:kern w:val="0"/>
                <w:sz w:val="32"/>
                <w:szCs w:val="32"/>
                <w:lang/>
              </w:rPr>
              <w:t>收入支出决算总表</w:t>
            </w:r>
          </w:p>
        </w:tc>
      </w:tr>
      <w:tr>
        <w:tblPrEx>
          <w:tblLayout w:type="fixed"/>
          <w:tblCellMar>
            <w:top w:w="0" w:type="dxa"/>
            <w:left w:w="108" w:type="dxa"/>
            <w:bottom w:w="0" w:type="dxa"/>
            <w:right w:w="108" w:type="dxa"/>
          </w:tblCellMar>
        </w:tblPrEx>
        <w:trPr>
          <w:trHeight w:val="255" w:hRule="atLeast"/>
        </w:trPr>
        <w:tc>
          <w:tcPr>
            <w:tcW w:w="48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45"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Layout w:type="fixed"/>
          <w:tblCellMar>
            <w:top w:w="0" w:type="dxa"/>
            <w:left w:w="108" w:type="dxa"/>
            <w:bottom w:w="0" w:type="dxa"/>
            <w:right w:w="108" w:type="dxa"/>
          </w:tblCellMar>
        </w:tblPrEx>
        <w:trPr>
          <w:trHeight w:val="255" w:hRule="atLeast"/>
        </w:trPr>
        <w:tc>
          <w:tcPr>
            <w:tcW w:w="4827" w:type="dxa"/>
            <w:tcBorders>
              <w:top w:val="nil"/>
              <w:left w:val="nil"/>
              <w:bottom w:val="nil"/>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：许昌市中心医院</w:t>
            </w:r>
          </w:p>
        </w:tc>
        <w:tc>
          <w:tcPr>
            <w:tcW w:w="6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3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45"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70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7117"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53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53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94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53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53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94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2,217.07</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117,149.87</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122,749.57</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119,366.95</w:t>
            </w:r>
          </w:p>
        </w:tc>
        <w:tc>
          <w:tcPr>
            <w:tcW w:w="453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122,749.57</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3,382.62</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82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39"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53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122,749.57</w:t>
            </w:r>
          </w:p>
        </w:tc>
        <w:tc>
          <w:tcPr>
            <w:tcW w:w="453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3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94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122,749.57</w:t>
            </w:r>
          </w:p>
        </w:tc>
      </w:tr>
      <w:tr>
        <w:tblPrEx>
          <w:tblLayout w:type="fixed"/>
          <w:tblCellMar>
            <w:top w:w="0" w:type="dxa"/>
            <w:left w:w="108" w:type="dxa"/>
            <w:bottom w:w="0" w:type="dxa"/>
            <w:right w:w="108" w:type="dxa"/>
          </w:tblCellMar>
        </w:tblPrEx>
        <w:trPr>
          <w:trHeight w:val="308" w:hRule="atLeast"/>
        </w:trPr>
        <w:tc>
          <w:tcPr>
            <w:tcW w:w="14120" w:type="dxa"/>
            <w:gridSpan w:val="7"/>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7"/>
        <w:gridCol w:w="256"/>
        <w:gridCol w:w="236"/>
        <w:gridCol w:w="3824"/>
        <w:gridCol w:w="1945"/>
        <w:gridCol w:w="1545"/>
        <w:gridCol w:w="801"/>
        <w:gridCol w:w="1944"/>
        <w:gridCol w:w="827"/>
        <w:gridCol w:w="840"/>
        <w:gridCol w:w="1444"/>
        <w:gridCol w:w="448"/>
      </w:tblGrid>
      <w:tr>
        <w:trPr>
          <w:gridAfter w:val="1"/>
          <w:wAfter w:w="448" w:type="dxa"/>
          <w:trHeight w:val="435" w:hRule="atLeast"/>
        </w:trPr>
        <w:tc>
          <w:tcPr>
            <w:tcW w:w="13989"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lang/>
              </w:rPr>
            </w:pPr>
            <w:r>
              <w:rPr>
                <w:rFonts w:hint="eastAsia" w:ascii="华文中宋" w:hAnsi="华文中宋" w:eastAsia="华文中宋" w:cs="华文中宋"/>
                <w:color w:val="000000"/>
                <w:kern w:val="0"/>
                <w:sz w:val="32"/>
                <w:szCs w:val="32"/>
                <w:lang/>
              </w:rPr>
              <w:t>收入决算表</w:t>
            </w:r>
          </w:p>
        </w:tc>
      </w:tr>
      <w:tr>
        <w:tblPrEx>
          <w:tblLayout w:type="fixed"/>
          <w:tblCellMar>
            <w:top w:w="0" w:type="dxa"/>
            <w:left w:w="108" w:type="dxa"/>
            <w:bottom w:w="0" w:type="dxa"/>
            <w:right w:w="108" w:type="dxa"/>
          </w:tblCellMar>
        </w:tblPrEx>
        <w:trPr>
          <w:trHeight w:val="255" w:hRule="atLeast"/>
        </w:trPr>
        <w:tc>
          <w:tcPr>
            <w:tcW w:w="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8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92"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Layout w:type="fixed"/>
          <w:tblCellMar>
            <w:top w:w="0" w:type="dxa"/>
            <w:left w:w="108" w:type="dxa"/>
            <w:bottom w:w="0" w:type="dxa"/>
            <w:right w:w="108" w:type="dxa"/>
          </w:tblCellMar>
        </w:tblPrEx>
        <w:trPr>
          <w:trHeight w:val="255" w:hRule="atLeast"/>
        </w:trPr>
        <w:tc>
          <w:tcPr>
            <w:tcW w:w="4643" w:type="dxa"/>
            <w:gridSpan w:val="4"/>
            <w:tcBorders>
              <w:top w:val="nil"/>
              <w:left w:val="nil"/>
              <w:bottom w:val="nil"/>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：许昌市中心医院</w:t>
            </w:r>
          </w:p>
        </w:tc>
        <w:tc>
          <w:tcPr>
            <w:tcW w:w="19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92"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64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94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54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80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94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82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84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892"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Layout w:type="fixed"/>
          <w:tblCellMar>
            <w:top w:w="0" w:type="dxa"/>
            <w:left w:w="108" w:type="dxa"/>
            <w:bottom w:w="0" w:type="dxa"/>
            <w:right w:w="108" w:type="dxa"/>
          </w:tblCellMar>
        </w:tblPrEx>
        <w:trPr>
          <w:trHeight w:val="312" w:hRule="atLeast"/>
        </w:trPr>
        <w:tc>
          <w:tcPr>
            <w:tcW w:w="819"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82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9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2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92"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81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2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92"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81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2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92"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4643"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94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4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0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94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2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892"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Layout w:type="fixed"/>
          <w:tblCellMar>
            <w:top w:w="0" w:type="dxa"/>
            <w:left w:w="108" w:type="dxa"/>
            <w:bottom w:w="0" w:type="dxa"/>
            <w:right w:w="108" w:type="dxa"/>
          </w:tblCellMar>
        </w:tblPrEx>
        <w:trPr>
          <w:trHeight w:val="308" w:hRule="atLeast"/>
        </w:trPr>
        <w:tc>
          <w:tcPr>
            <w:tcW w:w="4643"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94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119,366.95</w:t>
            </w:r>
          </w:p>
        </w:tc>
        <w:tc>
          <w:tcPr>
            <w:tcW w:w="154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2,217.07</w:t>
            </w:r>
          </w:p>
        </w:tc>
        <w:tc>
          <w:tcPr>
            <w:tcW w:w="80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4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117,149.87</w:t>
            </w:r>
          </w:p>
        </w:tc>
        <w:tc>
          <w:tcPr>
            <w:tcW w:w="82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9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119,366.95</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2,217.07</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117,149.87</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公立医院</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118,704.63</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1,554.75</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117,149.87</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2100201</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综合医院</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118,375.33</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1,225.45</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117,149.87</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2100299</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其他公立医院支出</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329.30</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329.30</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21003</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基层医疗卫生机构</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2100399</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其他基层医疗卫生机构支出</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公共卫生</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150.92</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150.92</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2100408</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基本公共卫生服务</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6.60</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6.60</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2100409</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重大公共卫生服务</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132.32</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132.32</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2100499</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其他公共卫生支出</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21099</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其他卫生健康支出</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819"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2109999</w:t>
            </w:r>
          </w:p>
        </w:tc>
        <w:tc>
          <w:tcPr>
            <w:tcW w:w="382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其他卫生健康支出</w:t>
            </w:r>
          </w:p>
        </w:tc>
        <w:tc>
          <w:tcPr>
            <w:tcW w:w="19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154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8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4437" w:type="dxa"/>
            <w:gridSpan w:val="12"/>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本年度取得的各项收入情况。本表金额转换为万元时，因四舍五入可能存在尾差。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1"/>
        <w:gridCol w:w="313"/>
        <w:gridCol w:w="272"/>
        <w:gridCol w:w="3937"/>
        <w:gridCol w:w="2002"/>
        <w:gridCol w:w="2002"/>
        <w:gridCol w:w="1851"/>
        <w:gridCol w:w="920"/>
        <w:gridCol w:w="892"/>
        <w:gridCol w:w="1948"/>
      </w:tblGrid>
      <w:tr>
        <w:trPr>
          <w:trHeight w:val="390" w:hRule="atLeast"/>
        </w:trPr>
        <w:tc>
          <w:tcPr>
            <w:tcW w:w="14538" w:type="dxa"/>
            <w:gridSpan w:val="10"/>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rPr>
          <w:trHeight w:val="255" w:hRule="atLeast"/>
        </w:trPr>
        <w:tc>
          <w:tcPr>
            <w:tcW w:w="4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48" w:type="dxa"/>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rPr>
          <w:trHeight w:val="255" w:hRule="atLeast"/>
        </w:trPr>
        <w:tc>
          <w:tcPr>
            <w:tcW w:w="4923" w:type="dxa"/>
            <w:gridSpan w:val="4"/>
            <w:tcBorders>
              <w:top w:val="nil"/>
              <w:left w:val="nil"/>
              <w:bottom w:val="nil"/>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：许昌市中心医院</w:t>
            </w:r>
          </w:p>
        </w:tc>
        <w:tc>
          <w:tcPr>
            <w:tcW w:w="20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48" w:type="dxa"/>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4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00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200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5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92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89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94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93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00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0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4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9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0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0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4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9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0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00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94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4923"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00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00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5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9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rPr>
          <w:trHeight w:val="308" w:hRule="atLeast"/>
        </w:trPr>
        <w:tc>
          <w:tcPr>
            <w:tcW w:w="4923"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00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122,749.57</w:t>
            </w:r>
          </w:p>
        </w:tc>
        <w:tc>
          <w:tcPr>
            <w:tcW w:w="200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121,519.45</w:t>
            </w:r>
          </w:p>
        </w:tc>
        <w:tc>
          <w:tcPr>
            <w:tcW w:w="185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1,230.12</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9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122,749.57</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121,519.45</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1,230.12</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公立医院</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122,016.25</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121,519.45</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496.80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2100201</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综合医院</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121,519.45</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121,519.45</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2100299</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其他公立医院支出</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496.80</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496.80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21003</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基层医疗卫生机构</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2100399</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其他基层医疗卫生机构支出</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公共卫生</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221.92</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221.92</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2100408</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基本公共卫生服务</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6.60</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6.60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2100409</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重大公共卫生服务</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132.32</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132.32</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2100410</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突发公共卫生事件应急处理</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71.00</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71.00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2100499</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其他公共卫生支出</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21099</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其他卫生健康支出</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2109999</w:t>
            </w:r>
          </w:p>
        </w:tc>
        <w:tc>
          <w:tcPr>
            <w:tcW w:w="393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其他卫生健康支出</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20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92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94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4538" w:type="dxa"/>
            <w:gridSpan w:val="10"/>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本年度各项支出情况。本表金额转换为万元时，因四舍五入可能存在尾差。</w:t>
            </w:r>
          </w:p>
        </w:tc>
      </w:tr>
    </w:tbl>
    <w:p>
      <w:r>
        <w:br w:type="page"/>
      </w:r>
    </w:p>
    <w:tbl>
      <w:tblPr>
        <w:tblW w:w="14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63"/>
        <w:gridCol w:w="466"/>
        <w:gridCol w:w="1207"/>
        <w:gridCol w:w="3923"/>
        <w:gridCol w:w="466"/>
        <w:gridCol w:w="1022"/>
        <w:gridCol w:w="1173"/>
        <w:gridCol w:w="735"/>
        <w:gridCol w:w="1533"/>
        <w:gridCol w:w="72"/>
      </w:tblGrid>
      <w:tr>
        <w:trPr>
          <w:gridAfter w:val="1"/>
          <w:wAfter w:w="72" w:type="dxa"/>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lang/>
              </w:rPr>
            </w:pPr>
            <w:r>
              <w:rPr>
                <w:rFonts w:hint="eastAsia" w:ascii="华文中宋" w:hAnsi="华文中宋" w:eastAsia="华文中宋" w:cs="华文中宋"/>
                <w:color w:val="000000"/>
                <w:kern w:val="0"/>
                <w:sz w:val="32"/>
                <w:szCs w:val="32"/>
                <w:lang/>
              </w:rPr>
              <w:t>财政拨款收入支出决算总表</w:t>
            </w:r>
          </w:p>
        </w:tc>
      </w:tr>
      <w:tr>
        <w:tblPrEx>
          <w:tblLayout w:type="fixed"/>
          <w:tblCellMar>
            <w:top w:w="0" w:type="dxa"/>
            <w:left w:w="108" w:type="dxa"/>
            <w:bottom w:w="0" w:type="dxa"/>
            <w:right w:w="108" w:type="dxa"/>
          </w:tblCellMar>
        </w:tblPrEx>
        <w:trPr>
          <w:trHeight w:val="255" w:hRule="atLeast"/>
        </w:trPr>
        <w:tc>
          <w:tcPr>
            <w:tcW w:w="346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2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2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5"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Layout w:type="fixed"/>
          <w:tblCellMar>
            <w:top w:w="0" w:type="dxa"/>
            <w:left w:w="108" w:type="dxa"/>
            <w:bottom w:w="0" w:type="dxa"/>
            <w:right w:w="108" w:type="dxa"/>
          </w:tblCellMar>
        </w:tblPrEx>
        <w:trPr>
          <w:trHeight w:val="255" w:hRule="atLeast"/>
        </w:trPr>
        <w:tc>
          <w:tcPr>
            <w:tcW w:w="3463" w:type="dxa"/>
            <w:tcBorders>
              <w:top w:val="nil"/>
              <w:left w:val="nil"/>
              <w:bottom w:val="nil"/>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：许昌市中心医院</w:t>
            </w:r>
          </w:p>
        </w:tc>
        <w:tc>
          <w:tcPr>
            <w:tcW w:w="4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2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2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5"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513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924" w:type="dxa"/>
            <w:gridSpan w:val="7"/>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Layout w:type="fixed"/>
          <w:tblCellMar>
            <w:top w:w="0" w:type="dxa"/>
            <w:left w:w="108" w:type="dxa"/>
            <w:bottom w:w="0" w:type="dxa"/>
            <w:right w:w="108" w:type="dxa"/>
          </w:tblCellMar>
        </w:tblPrEx>
        <w:trPr>
          <w:trHeight w:val="312" w:hRule="atLeast"/>
        </w:trPr>
        <w:tc>
          <w:tcPr>
            <w:tcW w:w="3463"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0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92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2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7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73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605"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Layout w:type="fixed"/>
          <w:tblCellMar>
            <w:top w:w="0" w:type="dxa"/>
            <w:left w:w="108" w:type="dxa"/>
            <w:bottom w:w="0" w:type="dxa"/>
            <w:right w:w="108" w:type="dxa"/>
          </w:tblCellMar>
        </w:tblPrEx>
        <w:trPr>
          <w:trHeight w:val="615" w:hRule="atLeast"/>
        </w:trPr>
        <w:tc>
          <w:tcPr>
            <w:tcW w:w="34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9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2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7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3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92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2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7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3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0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2,217.07</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5,599.69</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5,599.69</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2,217.07</w:t>
            </w:r>
          </w:p>
        </w:tc>
        <w:tc>
          <w:tcPr>
            <w:tcW w:w="392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5,599.69</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5,599.69</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3,382.62</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3,382.62</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2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3463"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66" w:type="dxa"/>
            <w:tcBorders>
              <w:top w:val="nil"/>
              <w:left w:val="nil"/>
              <w:bottom w:val="single" w:color="000000" w:sz="8"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20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5,599.69</w:t>
            </w:r>
          </w:p>
        </w:tc>
        <w:tc>
          <w:tcPr>
            <w:tcW w:w="392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6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102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5,599.69</w:t>
            </w:r>
          </w:p>
        </w:tc>
        <w:tc>
          <w:tcPr>
            <w:tcW w:w="117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5,599.69</w:t>
            </w:r>
          </w:p>
        </w:tc>
        <w:tc>
          <w:tcPr>
            <w:tcW w:w="73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0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585" w:hRule="atLeast"/>
        </w:trPr>
        <w:tc>
          <w:tcPr>
            <w:tcW w:w="14060" w:type="dxa"/>
            <w:gridSpan w:val="10"/>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r>
        <w:br w:type="page"/>
      </w:r>
    </w:p>
    <w:tbl>
      <w:tblPr>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1"/>
        <w:gridCol w:w="313"/>
        <w:gridCol w:w="272"/>
        <w:gridCol w:w="4558"/>
        <w:gridCol w:w="1997"/>
        <w:gridCol w:w="838"/>
        <w:gridCol w:w="1487"/>
        <w:gridCol w:w="922"/>
        <w:gridCol w:w="3119"/>
      </w:tblGrid>
      <w:tr>
        <w:trPr>
          <w:trHeight w:val="390" w:hRule="atLeast"/>
        </w:trPr>
        <w:tc>
          <w:tcPr>
            <w:tcW w:w="13907" w:type="dxa"/>
            <w:gridSpan w:val="9"/>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rPr>
          <w:trHeight w:val="255" w:hRule="atLeast"/>
        </w:trPr>
        <w:tc>
          <w:tcPr>
            <w:tcW w:w="4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9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2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041"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rPr>
          <w:trHeight w:val="255" w:hRule="atLeast"/>
        </w:trPr>
        <w:tc>
          <w:tcPr>
            <w:tcW w:w="5544" w:type="dxa"/>
            <w:gridSpan w:val="4"/>
            <w:tcBorders>
              <w:top w:val="nil"/>
              <w:left w:val="nil"/>
              <w:bottom w:val="nil"/>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：许昌市中心医院</w:t>
            </w:r>
          </w:p>
        </w:tc>
        <w:tc>
          <w:tcPr>
            <w:tcW w:w="199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2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041" w:type="dxa"/>
            <w:gridSpan w:val="2"/>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554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363"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55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835"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409"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311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3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83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11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5544"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83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40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11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rPr>
          <w:trHeight w:val="308" w:hRule="atLeast"/>
        </w:trPr>
        <w:tc>
          <w:tcPr>
            <w:tcW w:w="5544"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835"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5,599.69</w:t>
            </w:r>
          </w:p>
        </w:tc>
        <w:tc>
          <w:tcPr>
            <w:tcW w:w="2409"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4,369.57</w:t>
            </w:r>
          </w:p>
        </w:tc>
        <w:tc>
          <w:tcPr>
            <w:tcW w:w="3119"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1,230.12</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5,599.69</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4,369.57</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1,230.12</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公立医院</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4,866.37</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4,369.57</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496.80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2100201</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综合医院</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4,369.57</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4,369.57</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2100299</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其他公立医院支出</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496.80</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496.80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21003</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基层医疗卫生机构</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2100399</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其他基层医疗卫生机构支出</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369.00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公共卫生</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221.92</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221.92</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2100408</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基本公共卫生服务</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6.60</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6.60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2100409</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重大公共卫生服务</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132.32</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132.32</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2100410</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突发公共卫生事件应急处理</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71.00</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71.00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2100499</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其他公共卫生支出</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21099</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其他卫生健康支出</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2109999</w:t>
            </w:r>
          </w:p>
        </w:tc>
        <w:tc>
          <w:tcPr>
            <w:tcW w:w="4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其他卫生健康支出</w:t>
            </w:r>
          </w:p>
        </w:tc>
        <w:tc>
          <w:tcPr>
            <w:tcW w:w="283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c>
          <w:tcPr>
            <w:tcW w:w="2409"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11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142.40</w:t>
            </w:r>
          </w:p>
        </w:tc>
      </w:tr>
      <w:tr>
        <w:trPr>
          <w:trHeight w:val="308" w:hRule="atLeast"/>
        </w:trPr>
        <w:tc>
          <w:tcPr>
            <w:tcW w:w="13907" w:type="dxa"/>
            <w:gridSpan w:val="9"/>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102"/>
        <w:gridCol w:w="2690"/>
        <w:gridCol w:w="349"/>
        <w:gridCol w:w="433"/>
        <w:gridCol w:w="766"/>
        <w:gridCol w:w="2107"/>
        <w:gridCol w:w="1096"/>
        <w:gridCol w:w="766"/>
        <w:gridCol w:w="3716"/>
        <w:gridCol w:w="1293"/>
      </w:tblGrid>
      <w:tr>
        <w:trPr>
          <w:trHeight w:val="390" w:hRule="atLeast"/>
        </w:trPr>
        <w:tc>
          <w:tcPr>
            <w:tcW w:w="14081" w:type="dxa"/>
            <w:gridSpan w:val="11"/>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rPr>
          <w:trHeight w:val="255" w:hRule="atLeast"/>
        </w:trPr>
        <w:tc>
          <w:tcPr>
            <w:tcW w:w="76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4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4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009" w:type="dxa"/>
            <w:gridSpan w:val="2"/>
            <w:tcBorders>
              <w:top w:val="nil"/>
              <w:left w:val="nil"/>
              <w:bottom w:val="nil"/>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rPr>
          <w:trHeight w:val="255" w:hRule="atLeast"/>
        </w:trPr>
        <w:tc>
          <w:tcPr>
            <w:tcW w:w="3904" w:type="dxa"/>
            <w:gridSpan w:val="4"/>
            <w:tcBorders>
              <w:top w:val="nil"/>
              <w:left w:val="nil"/>
              <w:bottom w:val="nil"/>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：许昌市中心医院</w:t>
            </w:r>
          </w:p>
        </w:tc>
        <w:tc>
          <w:tcPr>
            <w:tcW w:w="4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009" w:type="dxa"/>
            <w:gridSpan w:val="2"/>
            <w:tcBorders>
              <w:top w:val="nil"/>
              <w:left w:val="nil"/>
              <w:bottom w:val="single" w:color="000000" w:sz="4" w:space="0"/>
              <w:right w:val="nil"/>
            </w:tcBorders>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rPr>
          <w:trHeight w:val="308" w:hRule="atLeast"/>
        </w:trPr>
        <w:tc>
          <w:tcPr>
            <w:tcW w:w="433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744"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rPr>
          <w:trHeight w:val="312" w:hRule="atLeast"/>
        </w:trPr>
        <w:tc>
          <w:tcPr>
            <w:tcW w:w="865"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69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782"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10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09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71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rPr>
          <w:trHeight w:val="312" w:hRule="atLeast"/>
        </w:trPr>
        <w:tc>
          <w:tcPr>
            <w:tcW w:w="86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6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8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1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4,369.57</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4,369.57</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86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69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10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09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716"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3555" w:type="dxa"/>
            <w:gridSpan w:val="3"/>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782"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51" w:type="dxa"/>
            <w:gridSpan w:val="5"/>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29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color w:val="000000"/>
                <w:kern w:val="0"/>
                <w:sz w:val="22"/>
              </w:rPr>
            </w:pPr>
            <w:r>
              <w:rPr>
                <w:rFonts w:hint="eastAsia" w:ascii="宋体" w:hAnsi="宋体" w:cs="Arial"/>
                <w:color w:val="000000"/>
                <w:kern w:val="0"/>
                <w:sz w:val="22"/>
              </w:rPr>
              <w:t>4,369.57</w:t>
            </w:r>
          </w:p>
        </w:tc>
      </w:tr>
      <w:tr>
        <w:trPr>
          <w:trHeight w:val="308" w:hRule="atLeast"/>
        </w:trPr>
        <w:tc>
          <w:tcPr>
            <w:tcW w:w="14081" w:type="dxa"/>
            <w:gridSpan w:val="11"/>
            <w:tcBorders>
              <w:top w:val="nil"/>
              <w:left w:val="nil"/>
              <w:bottom w:val="nil"/>
              <w:right w:val="nil"/>
            </w:tcBorders>
            <w:shd w:val="clear" w:color="000000"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r>
        <w:br w:type="page"/>
      </w:r>
    </w:p>
    <w:tbl>
      <w:tblPr>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184"/>
        <w:gridCol w:w="876"/>
        <w:gridCol w:w="262"/>
        <w:gridCol w:w="578"/>
        <w:gridCol w:w="272"/>
        <w:gridCol w:w="788"/>
        <w:gridCol w:w="204"/>
        <w:gridCol w:w="796"/>
        <w:gridCol w:w="338"/>
        <w:gridCol w:w="1134"/>
        <w:gridCol w:w="436"/>
        <w:gridCol w:w="244"/>
        <w:gridCol w:w="876"/>
        <w:gridCol w:w="712"/>
        <w:gridCol w:w="155"/>
        <w:gridCol w:w="887"/>
        <w:gridCol w:w="857"/>
        <w:gridCol w:w="511"/>
        <w:gridCol w:w="1418"/>
        <w:gridCol w:w="1701"/>
      </w:tblGrid>
      <w:tr>
        <w:trPr>
          <w:trHeight w:val="540" w:hRule="atLeast"/>
        </w:trPr>
        <w:tc>
          <w:tcPr>
            <w:tcW w:w="14049" w:type="dxa"/>
            <w:gridSpan w:val="2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color w:val="000000"/>
                <w:kern w:val="0"/>
                <w:sz w:val="44"/>
                <w:szCs w:val="44"/>
              </w:rPr>
              <w:t>一般公共预算财政拨款“三公”经费支出决算表</w:t>
            </w:r>
          </w:p>
        </w:tc>
      </w:tr>
      <w:tr>
        <w:trPr>
          <w:trHeight w:val="255" w:hRule="atLeast"/>
        </w:trPr>
        <w:tc>
          <w:tcPr>
            <w:tcW w:w="8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0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7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6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30" w:type="dxa"/>
            <w:gridSpan w:val="3"/>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rPr>
          <w:trHeight w:val="255" w:hRule="atLeast"/>
        </w:trPr>
        <w:tc>
          <w:tcPr>
            <w:tcW w:w="2720" w:type="dxa"/>
            <w:gridSpan w:val="5"/>
            <w:tcBorders>
              <w:top w:val="nil"/>
              <w:left w:val="nil"/>
              <w:bottom w:val="nil"/>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：许昌市中心医院</w:t>
            </w:r>
          </w:p>
        </w:tc>
        <w:tc>
          <w:tcPr>
            <w:tcW w:w="10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0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47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6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30" w:type="dxa"/>
            <w:gridSpan w:val="3"/>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6252"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7797" w:type="dxa"/>
            <w:gridSpan w:val="10"/>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rPr>
          <w:trHeight w:val="308" w:hRule="atLeast"/>
        </w:trPr>
        <w:tc>
          <w:tcPr>
            <w:tcW w:w="1004"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38"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2976" w:type="dxa"/>
            <w:gridSpan w:val="6"/>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680"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88"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828" w:type="dxa"/>
            <w:gridSpan w:val="5"/>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70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rPr>
          <w:trHeight w:val="615" w:hRule="atLeast"/>
        </w:trPr>
        <w:tc>
          <w:tcPr>
            <w:tcW w:w="100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138"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5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992"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34"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3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68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588"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042"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368"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41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1004"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38"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5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92"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34"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68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588"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042"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368"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41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70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rPr>
          <w:trHeight w:val="308" w:hRule="atLeast"/>
        </w:trPr>
        <w:tc>
          <w:tcPr>
            <w:tcW w:w="1004" w:type="dxa"/>
            <w:gridSpan w:val="2"/>
            <w:tcBorders>
              <w:top w:val="nil"/>
              <w:left w:val="single" w:color="000000" w:sz="4" w:space="0"/>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5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8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88"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68"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990" w:hRule="atLeast"/>
        </w:trPr>
        <w:tc>
          <w:tcPr>
            <w:tcW w:w="14049" w:type="dxa"/>
            <w:gridSpan w:val="21"/>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textAlignment w:val="center"/>
        <w:rPr>
          <w:rFonts w:ascii="宋体" w:hAnsi="宋体" w:cs="宋体"/>
          <w:color w:val="000000"/>
          <w:kern w:val="0"/>
          <w:sz w:val="22"/>
          <w:lang/>
        </w:rPr>
      </w:pPr>
      <w:r>
        <w:rPr>
          <w:rFonts w:hint="eastAsia" w:ascii="宋体" w:hAnsi="宋体" w:cs="宋体"/>
          <w:color w:val="000000"/>
          <w:kern w:val="0"/>
          <w:sz w:val="22"/>
          <w:lang/>
        </w:rPr>
        <w:t>说明：我</w:t>
      </w:r>
      <w:r>
        <w:rPr>
          <w:rFonts w:hint="eastAsia" w:ascii="宋体" w:hAnsi="宋体" w:cs="宋体"/>
          <w:color w:val="000000"/>
          <w:kern w:val="0"/>
          <w:sz w:val="22"/>
          <w:lang w:val="en-US" w:eastAsia="zh-CN"/>
        </w:rPr>
        <w:t>单位</w:t>
      </w:r>
      <w:r>
        <w:rPr>
          <w:rFonts w:hint="eastAsia" w:ascii="宋体" w:hAnsi="宋体" w:cs="宋体"/>
          <w:color w:val="000000"/>
          <w:kern w:val="0"/>
          <w:sz w:val="22"/>
          <w:lang/>
        </w:rPr>
        <w:t>没有预算安排的三公经费，也没有预算安排的三公支出，故本表无数据。</w:t>
      </w: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W w:w="139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236"/>
        <w:gridCol w:w="236"/>
        <w:gridCol w:w="1814"/>
        <w:gridCol w:w="1625"/>
        <w:gridCol w:w="1413"/>
        <w:gridCol w:w="1644"/>
        <w:gridCol w:w="1855"/>
        <w:gridCol w:w="1855"/>
        <w:gridCol w:w="2990"/>
      </w:tblGrid>
      <w:tr>
        <w:trPr>
          <w:trHeight w:val="390" w:hRule="atLeast"/>
        </w:trPr>
        <w:tc>
          <w:tcPr>
            <w:tcW w:w="13904" w:type="dxa"/>
            <w:gridSpan w:val="10"/>
            <w:tcBorders>
              <w:top w:val="nil"/>
              <w:left w:val="nil"/>
              <w:bottom w:val="nil"/>
              <w:right w:val="nil"/>
            </w:tcBorders>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rPr>
          <w:trHeight w:val="255" w:hRule="atLeast"/>
        </w:trPr>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90" w:type="dxa"/>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rPr>
          <w:trHeight w:val="255" w:hRule="atLeast"/>
        </w:trPr>
        <w:tc>
          <w:tcPr>
            <w:tcW w:w="2522" w:type="dxa"/>
            <w:gridSpan w:val="4"/>
            <w:tcBorders>
              <w:top w:val="nil"/>
              <w:left w:val="nil"/>
              <w:bottom w:val="nil"/>
              <w:right w:val="nil"/>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val="en-US" w:eastAsia="zh-CN"/>
              </w:rPr>
              <w:t>单位</w:t>
            </w:r>
            <w:r>
              <w:rPr>
                <w:rFonts w:hint="eastAsia" w:ascii="宋体" w:hAnsi="宋体" w:cs="Arial"/>
                <w:color w:val="000000"/>
                <w:kern w:val="0"/>
                <w:sz w:val="20"/>
                <w:szCs w:val="20"/>
              </w:rPr>
              <w:t>：许昌市中心医院</w:t>
            </w:r>
          </w:p>
        </w:tc>
        <w:tc>
          <w:tcPr>
            <w:tcW w:w="16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90" w:type="dxa"/>
            <w:tcBorders>
              <w:top w:val="nil"/>
              <w:left w:val="nil"/>
              <w:bottom w:val="nil"/>
              <w:right w:val="nil"/>
            </w:tcBorders>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rPr>
          <w:trHeight w:val="308" w:hRule="atLeast"/>
        </w:trPr>
        <w:tc>
          <w:tcPr>
            <w:tcW w:w="252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2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41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354"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299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rPr>
          <w:trHeight w:val="312" w:hRule="atLeast"/>
        </w:trPr>
        <w:tc>
          <w:tcPr>
            <w:tcW w:w="70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81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2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41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164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85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5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299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7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99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70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1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99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252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2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1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64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85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85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99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rPr>
          <w:trHeight w:val="308" w:hRule="atLeast"/>
        </w:trPr>
        <w:tc>
          <w:tcPr>
            <w:tcW w:w="2522"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2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1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4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5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55"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99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rPr>
          <w:trHeight w:val="308" w:hRule="atLeast"/>
        </w:trPr>
        <w:tc>
          <w:tcPr>
            <w:tcW w:w="7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708"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9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3904" w:type="dxa"/>
            <w:gridSpan w:val="10"/>
            <w:tcBorders>
              <w:top w:val="nil"/>
              <w:left w:val="nil"/>
              <w:bottom w:val="nil"/>
              <w:right w:val="nil"/>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val="en-US" w:eastAsia="zh-CN"/>
              </w:rPr>
              <w:t>单位</w:t>
            </w:r>
            <w:r>
              <w:rPr>
                <w:rFonts w:hint="eastAsia" w:ascii="宋体" w:hAnsi="宋体" w:cs="Arial"/>
                <w:color w:val="000000"/>
                <w:kern w:val="0"/>
                <w:sz w:val="22"/>
              </w:rPr>
              <w:t>本年度政府性基金预算财政拨款收入、支出及结转和结余情况。本表金额转换为万元时，因四舍五入可能存在尾差。</w:t>
            </w:r>
          </w:p>
          <w:p>
            <w:pPr>
              <w:rPr>
                <w:rFonts w:ascii="宋体" w:hAnsi="宋体" w:cs="Arial"/>
                <w:color w:val="000000"/>
                <w:kern w:val="0"/>
                <w:sz w:val="22"/>
              </w:rPr>
            </w:pPr>
            <w:r>
              <w:rPr>
                <w:rFonts w:hint="eastAsia" w:ascii="宋体" w:hAnsi="宋体" w:cs="Arial"/>
                <w:color w:val="000000"/>
                <w:kern w:val="0"/>
                <w:sz w:val="22"/>
              </w:rPr>
              <w:t>说明：我</w:t>
            </w:r>
            <w:r>
              <w:rPr>
                <w:rFonts w:hint="eastAsia" w:ascii="宋体" w:hAnsi="宋体" w:cs="Arial"/>
                <w:color w:val="000000"/>
                <w:kern w:val="0"/>
                <w:sz w:val="22"/>
                <w:lang w:val="en-US" w:eastAsia="zh-CN"/>
              </w:rPr>
              <w:t>单位</w:t>
            </w:r>
            <w:r>
              <w:rPr>
                <w:rFonts w:hint="eastAsia" w:ascii="宋体" w:hAnsi="宋体" w:cs="Arial"/>
                <w:color w:val="000000"/>
                <w:kern w:val="0"/>
                <w:sz w:val="22"/>
              </w:rPr>
              <w:t>没有政府性基金收入，也没有使用政府性基金安排的支出，故本表无数据。</w:t>
            </w:r>
          </w:p>
          <w:p>
            <w:pPr>
              <w:widowControl/>
              <w:jc w:val="left"/>
              <w:rPr>
                <w:rFonts w:ascii="宋体" w:hAnsi="宋体" w:cs="Arial"/>
                <w:color w:val="000000"/>
                <w:kern w:val="0"/>
                <w:sz w:val="22"/>
              </w:rPr>
            </w:pPr>
          </w:p>
        </w:tc>
      </w:tr>
    </w:tbl>
    <w:p>
      <w:pPr>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年度收、支总计均为</w:t>
      </w:r>
      <w:r>
        <w:rPr>
          <w:rFonts w:ascii="仿宋_GB2312" w:eastAsia="仿宋_GB2312" w:cs="仿宋_GB2312"/>
          <w:sz w:val="32"/>
          <w:szCs w:val="32"/>
        </w:rPr>
        <w:t>122749.57</w:t>
      </w:r>
      <w:r>
        <w:rPr>
          <w:rFonts w:hint="eastAsia" w:ascii="仿宋_GB2312" w:eastAsia="仿宋_GB2312" w:cs="仿宋_GB2312"/>
          <w:sz w:val="32"/>
          <w:szCs w:val="32"/>
        </w:rPr>
        <w:t>万元。与上年度相比，收、支总计各增加</w:t>
      </w:r>
      <w:r>
        <w:rPr>
          <w:rFonts w:ascii="仿宋_GB2312" w:eastAsia="仿宋_GB2312" w:cs="仿宋_GB2312"/>
          <w:sz w:val="32"/>
          <w:szCs w:val="32"/>
        </w:rPr>
        <w:t>2</w:t>
      </w:r>
      <w:r>
        <w:rPr>
          <w:rFonts w:hint="eastAsia" w:ascii="仿宋_GB2312" w:eastAsia="仿宋_GB2312" w:cs="仿宋_GB2312"/>
          <w:sz w:val="32"/>
          <w:szCs w:val="32"/>
          <w:lang w:eastAsia="zh-CN"/>
        </w:rPr>
        <w:t>0</w:t>
      </w:r>
      <w:r>
        <w:rPr>
          <w:rFonts w:ascii="仿宋_GB2312" w:eastAsia="仿宋_GB2312" w:cs="仿宋_GB2312"/>
          <w:sz w:val="32"/>
          <w:szCs w:val="32"/>
        </w:rPr>
        <w:t>395.05</w:t>
      </w:r>
      <w:r>
        <w:rPr>
          <w:rFonts w:hint="eastAsia" w:ascii="仿宋_GB2312" w:eastAsia="仿宋_GB2312" w:cs="仿宋_GB2312"/>
          <w:sz w:val="32"/>
          <w:szCs w:val="32"/>
        </w:rPr>
        <w:t>万元，增长</w:t>
      </w:r>
      <w:r>
        <w:rPr>
          <w:rFonts w:ascii="仿宋_GB2312" w:eastAsia="仿宋_GB2312" w:cs="仿宋_GB2312"/>
          <w:sz w:val="32"/>
          <w:szCs w:val="32"/>
        </w:rPr>
        <w:t>19.93%</w:t>
      </w:r>
      <w:r>
        <w:rPr>
          <w:rFonts w:hint="eastAsia" w:ascii="仿宋_GB2312" w:eastAsia="仿宋_GB2312" w:cs="仿宋_GB2312"/>
          <w:sz w:val="32"/>
          <w:szCs w:val="32"/>
        </w:rPr>
        <w:t>。主要原因是2021年度事业收入与基本支出与上年度相比增幅较大。</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年度收入合计</w:t>
      </w:r>
      <w:r>
        <w:rPr>
          <w:rFonts w:ascii="仿宋_GB2312" w:eastAsia="仿宋_GB2312" w:cs="仿宋_GB2312"/>
          <w:sz w:val="32"/>
          <w:szCs w:val="32"/>
        </w:rPr>
        <w:t>119366.95</w:t>
      </w:r>
      <w:r>
        <w:rPr>
          <w:rFonts w:hint="eastAsia" w:ascii="仿宋_GB2312" w:eastAsia="仿宋_GB2312" w:cs="仿宋_GB2312"/>
          <w:sz w:val="32"/>
          <w:szCs w:val="32"/>
        </w:rPr>
        <w:t>万元，其中：财政拨款收入</w:t>
      </w:r>
      <w:r>
        <w:rPr>
          <w:rFonts w:ascii="仿宋_GB2312" w:eastAsia="仿宋_GB2312" w:cs="仿宋_GB2312"/>
          <w:sz w:val="32"/>
          <w:szCs w:val="32"/>
        </w:rPr>
        <w:t>2217.07</w:t>
      </w:r>
      <w:r>
        <w:rPr>
          <w:rFonts w:hint="eastAsia" w:ascii="仿宋_GB2312" w:eastAsia="仿宋_GB2312" w:cs="仿宋_GB2312"/>
          <w:sz w:val="32"/>
          <w:szCs w:val="32"/>
        </w:rPr>
        <w:t>万元，占</w:t>
      </w:r>
      <w:r>
        <w:rPr>
          <w:rFonts w:ascii="仿宋_GB2312" w:eastAsia="仿宋_GB2312" w:cs="仿宋_GB2312"/>
          <w:sz w:val="32"/>
          <w:szCs w:val="32"/>
        </w:rPr>
        <w:t>1.86%</w:t>
      </w:r>
      <w:r>
        <w:rPr>
          <w:rFonts w:hint="eastAsia" w:ascii="仿宋_GB2312" w:eastAsia="仿宋_GB2312" w:cs="仿宋_GB2312"/>
          <w:sz w:val="32"/>
          <w:szCs w:val="32"/>
        </w:rPr>
        <w:t>；上级补助收入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；事业收入</w:t>
      </w:r>
      <w:r>
        <w:rPr>
          <w:rFonts w:ascii="仿宋_GB2312" w:eastAsia="仿宋_GB2312" w:cs="仿宋_GB2312"/>
          <w:sz w:val="32"/>
          <w:szCs w:val="32"/>
        </w:rPr>
        <w:t>117149.87</w:t>
      </w:r>
      <w:r>
        <w:rPr>
          <w:rFonts w:hint="eastAsia" w:ascii="仿宋_GB2312" w:eastAsia="仿宋_GB2312" w:cs="仿宋_GB2312"/>
          <w:sz w:val="32"/>
          <w:szCs w:val="32"/>
        </w:rPr>
        <w:t>万元，占</w:t>
      </w:r>
      <w:r>
        <w:rPr>
          <w:rFonts w:ascii="仿宋_GB2312" w:eastAsia="仿宋_GB2312" w:cs="仿宋_GB2312"/>
          <w:sz w:val="32"/>
          <w:szCs w:val="32"/>
        </w:rPr>
        <w:t>98.14%</w:t>
      </w:r>
      <w:r>
        <w:rPr>
          <w:rFonts w:hint="eastAsia" w:ascii="仿宋_GB2312" w:eastAsia="仿宋_GB2312" w:cs="仿宋_GB2312"/>
          <w:sz w:val="32"/>
          <w:szCs w:val="32"/>
        </w:rPr>
        <w:t>；经营收入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；附属单位上缴收入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年度支出合计</w:t>
      </w:r>
      <w:r>
        <w:rPr>
          <w:rFonts w:ascii="仿宋_GB2312" w:eastAsia="仿宋_GB2312" w:cs="仿宋_GB2312"/>
          <w:sz w:val="32"/>
          <w:szCs w:val="32"/>
        </w:rPr>
        <w:t>122749.57</w:t>
      </w:r>
      <w:r>
        <w:rPr>
          <w:rFonts w:hint="eastAsia" w:ascii="仿宋_GB2312" w:eastAsia="仿宋_GB2312" w:cs="仿宋_GB2312"/>
          <w:sz w:val="32"/>
          <w:szCs w:val="32"/>
        </w:rPr>
        <w:t>万元，其中：基本支出</w:t>
      </w:r>
      <w:r>
        <w:rPr>
          <w:rFonts w:ascii="仿宋_GB2312" w:eastAsia="仿宋_GB2312" w:cs="仿宋_GB2312"/>
          <w:sz w:val="32"/>
          <w:szCs w:val="32"/>
        </w:rPr>
        <w:t>121519.45</w:t>
      </w:r>
      <w:r>
        <w:rPr>
          <w:rFonts w:hint="eastAsia" w:ascii="仿宋_GB2312" w:eastAsia="仿宋_GB2312" w:cs="仿宋_GB2312"/>
          <w:sz w:val="32"/>
          <w:szCs w:val="32"/>
        </w:rPr>
        <w:t>万元，占</w:t>
      </w:r>
      <w:r>
        <w:rPr>
          <w:rFonts w:ascii="仿宋_GB2312" w:eastAsia="仿宋_GB2312" w:cs="仿宋_GB2312"/>
          <w:sz w:val="32"/>
          <w:szCs w:val="32"/>
        </w:rPr>
        <w:t>99</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；项目支出</w:t>
      </w:r>
      <w:r>
        <w:rPr>
          <w:rFonts w:ascii="仿宋_GB2312" w:eastAsia="仿宋_GB2312" w:cs="仿宋_GB2312"/>
          <w:sz w:val="32"/>
          <w:szCs w:val="32"/>
        </w:rPr>
        <w:t>1230.12</w:t>
      </w:r>
      <w:r>
        <w:rPr>
          <w:rFonts w:hint="eastAsia" w:ascii="仿宋_GB2312" w:eastAsia="仿宋_GB2312" w:cs="仿宋_GB2312"/>
          <w:sz w:val="32"/>
          <w:szCs w:val="32"/>
        </w:rPr>
        <w:t>万元，占</w:t>
      </w:r>
      <w:r>
        <w:rPr>
          <w:rFonts w:ascii="仿宋_GB2312" w:eastAsia="仿宋_GB2312" w:cs="仿宋_GB2312"/>
          <w:sz w:val="32"/>
          <w:szCs w:val="32"/>
        </w:rPr>
        <w:t>1</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；上缴上级支出</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；经营支出</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；对附属单位补助支出</w:t>
      </w:r>
      <w:r>
        <w:rPr>
          <w:rFonts w:ascii="仿宋_GB2312" w:eastAsia="仿宋_GB2312" w:cs="仿宋_GB2312"/>
          <w:sz w:val="32"/>
          <w:szCs w:val="32"/>
        </w:rPr>
        <w:t>0</w:t>
      </w:r>
      <w:r>
        <w:rPr>
          <w:rFonts w:hint="eastAsia" w:ascii="仿宋_GB2312" w:eastAsia="仿宋_GB2312" w:cs="仿宋_GB2312"/>
          <w:sz w:val="32"/>
          <w:szCs w:val="32"/>
        </w:rPr>
        <w:t>.00万元，占</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年度财政拨款收、支总计均为</w:t>
      </w:r>
      <w:r>
        <w:rPr>
          <w:rFonts w:ascii="仿宋_GB2312" w:eastAsia="仿宋_GB2312" w:cs="仿宋_GB2312"/>
          <w:sz w:val="32"/>
          <w:szCs w:val="32"/>
        </w:rPr>
        <w:t>5599.69</w:t>
      </w:r>
      <w:r>
        <w:rPr>
          <w:rFonts w:hint="eastAsia" w:ascii="仿宋_GB2312" w:eastAsia="仿宋_GB2312" w:cs="仿宋_GB2312"/>
          <w:sz w:val="32"/>
          <w:szCs w:val="32"/>
        </w:rPr>
        <w:t>万元。与上年度相比，财政拨款收、支总计各减少</w:t>
      </w:r>
      <w:r>
        <w:rPr>
          <w:rFonts w:ascii="仿宋_GB2312" w:eastAsia="仿宋_GB2312" w:cs="仿宋_GB2312"/>
          <w:sz w:val="32"/>
          <w:szCs w:val="32"/>
        </w:rPr>
        <w:t>1476.18</w:t>
      </w:r>
      <w:r>
        <w:rPr>
          <w:rFonts w:hint="eastAsia" w:ascii="仿宋_GB2312" w:eastAsia="仿宋_GB2312" w:cs="仿宋_GB2312"/>
          <w:sz w:val="32"/>
          <w:szCs w:val="32"/>
        </w:rPr>
        <w:t>万元，下降</w:t>
      </w:r>
      <w:r>
        <w:rPr>
          <w:rFonts w:ascii="仿宋_GB2312" w:eastAsia="仿宋_GB2312" w:cs="仿宋_GB2312"/>
          <w:sz w:val="32"/>
          <w:szCs w:val="32"/>
        </w:rPr>
        <w:t>20.86%</w:t>
      </w:r>
      <w:r>
        <w:rPr>
          <w:rFonts w:hint="eastAsia" w:ascii="仿宋_GB2312" w:eastAsia="仿宋_GB2312" w:cs="仿宋_GB2312"/>
          <w:sz w:val="32"/>
          <w:szCs w:val="32"/>
        </w:rPr>
        <w:t>。主要原因是2020年度新冠肺炎疫情爆发，财政拨款金额较大，2021年新冠肺炎疫情进入常态化，财政拨款相比2020年度相应减少。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autoSpaceDE w:val="0"/>
        <w:autoSpaceDN w:val="0"/>
        <w:adjustRightInd w:val="0"/>
        <w:ind w:firstLine="640" w:firstLineChars="200"/>
        <w:jc w:val="left"/>
        <w:rPr>
          <w:rFonts w:ascii="宋体" w:cs="宋体"/>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5599.69</w:t>
      </w:r>
      <w:r>
        <w:rPr>
          <w:rFonts w:hint="eastAsia" w:ascii="仿宋_GB2312" w:eastAsia="仿宋_GB2312" w:cs="仿宋_GB2312"/>
          <w:sz w:val="32"/>
          <w:szCs w:val="32"/>
        </w:rPr>
        <w:t>万元，占支出合计的</w:t>
      </w:r>
      <w:r>
        <w:rPr>
          <w:rFonts w:ascii="仿宋_GB2312" w:eastAsia="仿宋_GB2312" w:cs="仿宋_GB2312"/>
          <w:sz w:val="32"/>
          <w:szCs w:val="32"/>
        </w:rPr>
        <w:t>4.56%</w:t>
      </w:r>
      <w:r>
        <w:rPr>
          <w:rFonts w:hint="eastAsia" w:ascii="仿宋_GB2312" w:eastAsia="仿宋_GB2312" w:cs="仿宋_GB2312"/>
          <w:sz w:val="32"/>
          <w:szCs w:val="32"/>
        </w:rPr>
        <w:t>。与上年度相比，一般公共预算财政拨款支出减少</w:t>
      </w:r>
      <w:r>
        <w:rPr>
          <w:rFonts w:ascii="仿宋_GB2312" w:eastAsia="仿宋_GB2312" w:cs="仿宋_GB2312"/>
          <w:sz w:val="32"/>
          <w:szCs w:val="32"/>
        </w:rPr>
        <w:t>537.68</w:t>
      </w:r>
      <w:r>
        <w:rPr>
          <w:rFonts w:hint="eastAsia" w:ascii="仿宋_GB2312" w:eastAsia="仿宋_GB2312" w:cs="仿宋_GB2312"/>
          <w:sz w:val="32"/>
          <w:szCs w:val="32"/>
        </w:rPr>
        <w:t>万元，下降</w:t>
      </w:r>
      <w:r>
        <w:rPr>
          <w:rFonts w:ascii="仿宋_GB2312" w:eastAsia="仿宋_GB2312" w:cs="仿宋_GB2312"/>
          <w:sz w:val="32"/>
          <w:szCs w:val="32"/>
        </w:rPr>
        <w:t>8.76%</w:t>
      </w:r>
      <w:r>
        <w:rPr>
          <w:rFonts w:hint="eastAsia" w:ascii="仿宋_GB2312" w:eastAsia="仿宋_GB2312" w:cs="仿宋_GB2312"/>
          <w:sz w:val="32"/>
          <w:szCs w:val="32"/>
        </w:rPr>
        <w:t>。主要原因是2021年新冠肺炎疫情已进入常态化，相关支出与上年相比有所下降。</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autoSpaceDE w:val="0"/>
        <w:autoSpaceDN w:val="0"/>
        <w:adjustRightInd w:val="0"/>
        <w:spacing w:line="590" w:lineRule="exact"/>
        <w:ind w:firstLine="640"/>
        <w:rPr>
          <w:rFonts w:ascii="仿宋_GB2312" w:eastAsia="仿宋_GB2312" w:cs="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w:t>
      </w:r>
      <w:r>
        <w:rPr>
          <w:rFonts w:ascii="仿宋_GB2312" w:eastAsia="仿宋_GB2312" w:cs="仿宋_GB2312"/>
          <w:sz w:val="32"/>
          <w:szCs w:val="32"/>
        </w:rPr>
        <w:t>5599.69</w:t>
      </w:r>
      <w:r>
        <w:rPr>
          <w:rFonts w:hint="eastAsia" w:ascii="仿宋_GB2312" w:eastAsia="仿宋_GB2312" w:cs="仿宋_GB2312"/>
          <w:sz w:val="32"/>
          <w:szCs w:val="32"/>
        </w:rPr>
        <w:t>万元，主要用于以下方面：卫生健康支出5599.69万元，占100.00</w:t>
      </w:r>
      <w:r>
        <w:rPr>
          <w:rFonts w:ascii="仿宋_GB2312" w:eastAsia="仿宋_GB2312" w:cs="仿宋_GB2312"/>
          <w:sz w:val="32"/>
          <w:szCs w:val="32"/>
        </w:rPr>
        <w:t>%</w:t>
      </w:r>
      <w:r>
        <w:rPr>
          <w:rFonts w:hint="eastAsia" w:ascii="仿宋_GB2312" w:eastAsia="仿宋_GB2312" w:cs="仿宋_GB2312"/>
          <w:sz w:val="32"/>
          <w:szCs w:val="32"/>
        </w:rPr>
        <w:t xml:space="preserve"> 。</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autoSpaceDE w:val="0"/>
        <w:autoSpaceDN w:val="0"/>
        <w:adjustRightInd w:val="0"/>
        <w:spacing w:line="590" w:lineRule="exact"/>
        <w:ind w:firstLine="640"/>
        <w:rPr>
          <w:rFonts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年度一般公共预算财政拨款支出年初预算为</w:t>
      </w:r>
      <w:r>
        <w:rPr>
          <w:rFonts w:ascii="仿宋_GB2312" w:eastAsia="仿宋_GB2312" w:cs="仿宋_GB2312"/>
          <w:sz w:val="32"/>
          <w:szCs w:val="32"/>
        </w:rPr>
        <w:t>5599.69</w:t>
      </w:r>
      <w:r>
        <w:rPr>
          <w:rFonts w:hint="eastAsia" w:ascii="仿宋_GB2312" w:eastAsia="仿宋_GB2312" w:cs="仿宋_GB2312"/>
          <w:sz w:val="32"/>
          <w:szCs w:val="32"/>
        </w:rPr>
        <w:t>万元，支出决算为</w:t>
      </w:r>
      <w:r>
        <w:rPr>
          <w:rFonts w:ascii="仿宋_GB2312" w:eastAsia="仿宋_GB2312" w:cs="仿宋_GB2312"/>
          <w:sz w:val="32"/>
          <w:szCs w:val="32"/>
        </w:rPr>
        <w:t>5599.69</w:t>
      </w:r>
      <w:r>
        <w:rPr>
          <w:rFonts w:hint="eastAsia" w:ascii="仿宋_GB2312" w:eastAsia="仿宋_GB2312" w:cs="仿宋_GB2312"/>
          <w:sz w:val="32"/>
          <w:szCs w:val="32"/>
        </w:rPr>
        <w:t>万元，完成年初预算的100.00</w:t>
      </w:r>
      <w:r>
        <w:rPr>
          <w:rFonts w:ascii="仿宋_GB2312" w:eastAsia="仿宋_GB2312" w:cs="仿宋_GB2312"/>
          <w:sz w:val="32"/>
          <w:szCs w:val="32"/>
        </w:rPr>
        <w:t>%</w:t>
      </w:r>
      <w:r>
        <w:rPr>
          <w:rFonts w:hint="eastAsia" w:ascii="仿宋_GB2312" w:eastAsia="仿宋_GB2312" w:cs="仿宋_GB2312"/>
          <w:sz w:val="32"/>
          <w:szCs w:val="32"/>
        </w:rPr>
        <w:t>。其中：</w:t>
      </w:r>
    </w:p>
    <w:p>
      <w:pPr>
        <w:autoSpaceDE w:val="0"/>
        <w:autoSpaceDN w:val="0"/>
        <w:adjustRightInd w:val="0"/>
        <w:spacing w:line="590" w:lineRule="exact"/>
        <w:ind w:firstLine="640"/>
        <w:rPr>
          <w:rFonts w:eastAsia="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w:t>
      </w:r>
      <w:r>
        <w:rPr>
          <w:rFonts w:hint="eastAsia" w:ascii="仿宋_GB2312" w:eastAsia="仿宋_GB2312" w:cs="仿宋_GB2312"/>
          <w:b/>
          <w:sz w:val="32"/>
          <w:szCs w:val="32"/>
        </w:rPr>
        <w:t>卫生健康</w:t>
      </w:r>
      <w:r>
        <w:rPr>
          <w:rFonts w:hint="eastAsia" w:ascii="仿宋_GB2312" w:eastAsia="仿宋_GB2312" w:cs="仿宋_GB2312"/>
          <w:b/>
          <w:bCs/>
          <w:sz w:val="32"/>
          <w:szCs w:val="32"/>
        </w:rPr>
        <w:t>（类）公立医院（款）综合医院（项）。</w:t>
      </w:r>
      <w:r>
        <w:rPr>
          <w:rFonts w:hint="eastAsia" w:ascii="仿宋_GB2312" w:eastAsia="仿宋_GB2312" w:cs="仿宋_GB2312"/>
          <w:sz w:val="32"/>
          <w:szCs w:val="32"/>
        </w:rPr>
        <w:t>年初预算为4369.57万元，支出决算为4369.57万元，完成年初预算数的100.00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autoSpaceDE w:val="0"/>
        <w:autoSpaceDN w:val="0"/>
        <w:adjustRightInd w:val="0"/>
        <w:spacing w:line="590" w:lineRule="exact"/>
        <w:ind w:firstLine="640"/>
        <w:rPr>
          <w:rFonts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w:t>
      </w:r>
      <w:r>
        <w:rPr>
          <w:rFonts w:hint="eastAsia" w:ascii="仿宋_GB2312" w:eastAsia="仿宋_GB2312" w:cs="仿宋_GB2312"/>
          <w:b/>
          <w:sz w:val="32"/>
          <w:szCs w:val="32"/>
        </w:rPr>
        <w:t>卫生健康</w:t>
      </w:r>
      <w:r>
        <w:rPr>
          <w:rFonts w:hint="eastAsia" w:ascii="仿宋_GB2312" w:eastAsia="仿宋_GB2312" w:cs="仿宋_GB2312"/>
          <w:b/>
          <w:bCs/>
          <w:sz w:val="32"/>
          <w:szCs w:val="32"/>
        </w:rPr>
        <w:t>（类）公立医院（款）其他公立医院支出（项）。</w:t>
      </w:r>
      <w:r>
        <w:rPr>
          <w:rFonts w:hint="eastAsia" w:ascii="仿宋_GB2312" w:eastAsia="仿宋_GB2312" w:cs="仿宋_GB2312"/>
          <w:sz w:val="32"/>
          <w:szCs w:val="32"/>
        </w:rPr>
        <w:t>年初预算为496.80万元，支出决算为496.80万元，完成年初预算数的100.00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autoSpaceDE w:val="0"/>
        <w:autoSpaceDN w:val="0"/>
        <w:adjustRightInd w:val="0"/>
        <w:spacing w:line="590" w:lineRule="exact"/>
        <w:ind w:firstLine="640"/>
        <w:rPr>
          <w:rFonts w:eastAsia="仿宋_GB2312"/>
          <w:sz w:val="32"/>
          <w:szCs w:val="32"/>
        </w:rPr>
      </w:pPr>
      <w:r>
        <w:rPr>
          <w:rFonts w:hint="eastAsia" w:ascii="仿宋_GB2312" w:eastAsia="仿宋_GB2312" w:cs="仿宋_GB2312"/>
          <w:b/>
          <w:sz w:val="32"/>
          <w:szCs w:val="32"/>
        </w:rPr>
        <w:t>3.卫生健康</w:t>
      </w:r>
      <w:r>
        <w:rPr>
          <w:rFonts w:hint="eastAsia" w:ascii="仿宋_GB2312" w:eastAsia="仿宋_GB2312" w:cs="仿宋_GB2312"/>
          <w:b/>
          <w:bCs/>
          <w:sz w:val="32"/>
          <w:szCs w:val="32"/>
        </w:rPr>
        <w:t>（类）基层医疗卫生机构（款）其他基层医疗卫生机构（项）。</w:t>
      </w:r>
      <w:r>
        <w:rPr>
          <w:rFonts w:hint="eastAsia" w:ascii="仿宋_GB2312" w:eastAsia="仿宋_GB2312" w:cs="仿宋_GB2312"/>
          <w:sz w:val="32"/>
          <w:szCs w:val="32"/>
        </w:rPr>
        <w:t>年初预算为369.00万元，支出决算为369.00万元，完成年初预算数的100.00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autoSpaceDE w:val="0"/>
        <w:autoSpaceDN w:val="0"/>
        <w:adjustRightInd w:val="0"/>
        <w:spacing w:line="590" w:lineRule="exact"/>
        <w:ind w:firstLine="640"/>
        <w:rPr>
          <w:rFonts w:eastAsia="仿宋_GB2312"/>
          <w:sz w:val="32"/>
          <w:szCs w:val="32"/>
        </w:rPr>
      </w:pPr>
      <w:r>
        <w:rPr>
          <w:rFonts w:hint="eastAsia" w:ascii="仿宋_GB2312" w:eastAsia="仿宋_GB2312" w:cs="仿宋_GB2312"/>
          <w:b/>
          <w:sz w:val="32"/>
          <w:szCs w:val="32"/>
        </w:rPr>
        <w:t>4.卫生健康</w:t>
      </w:r>
      <w:r>
        <w:rPr>
          <w:rFonts w:hint="eastAsia" w:ascii="仿宋_GB2312" w:eastAsia="仿宋_GB2312" w:cs="仿宋_GB2312"/>
          <w:b/>
          <w:bCs/>
          <w:sz w:val="32"/>
          <w:szCs w:val="32"/>
        </w:rPr>
        <w:t>（类）公共卫生（款）基本公共卫生服务（项）。</w:t>
      </w:r>
      <w:r>
        <w:rPr>
          <w:rFonts w:hint="eastAsia" w:ascii="仿宋_GB2312" w:eastAsia="仿宋_GB2312" w:cs="仿宋_GB2312"/>
          <w:sz w:val="32"/>
          <w:szCs w:val="32"/>
        </w:rPr>
        <w:t>年初预算为6.60万元，支出决算为6.60万元，完成年初预算数的100.00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autoSpaceDE w:val="0"/>
        <w:autoSpaceDN w:val="0"/>
        <w:adjustRightInd w:val="0"/>
        <w:spacing w:line="590" w:lineRule="exact"/>
        <w:ind w:firstLine="640"/>
        <w:rPr>
          <w:rFonts w:eastAsia="仿宋_GB2312"/>
          <w:sz w:val="32"/>
          <w:szCs w:val="32"/>
        </w:rPr>
      </w:pPr>
      <w:r>
        <w:rPr>
          <w:rFonts w:hint="eastAsia" w:ascii="仿宋_GB2312" w:eastAsia="仿宋_GB2312" w:cs="仿宋_GB2312"/>
          <w:b/>
          <w:sz w:val="32"/>
          <w:szCs w:val="32"/>
        </w:rPr>
        <w:t>5.卫生健康</w:t>
      </w:r>
      <w:r>
        <w:rPr>
          <w:rFonts w:hint="eastAsia" w:ascii="仿宋_GB2312" w:eastAsia="仿宋_GB2312" w:cs="仿宋_GB2312"/>
          <w:b/>
          <w:bCs/>
          <w:sz w:val="32"/>
          <w:szCs w:val="32"/>
        </w:rPr>
        <w:t>（类）公共卫生（款）重大公共卫生服务（项）。</w:t>
      </w:r>
      <w:r>
        <w:rPr>
          <w:rFonts w:hint="eastAsia" w:ascii="仿宋_GB2312" w:eastAsia="仿宋_GB2312" w:cs="仿宋_GB2312"/>
          <w:sz w:val="32"/>
          <w:szCs w:val="32"/>
        </w:rPr>
        <w:t>年初预算为132.32万元，支出决算为132.32万元，完成年初预算数的100.00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autoSpaceDE w:val="0"/>
        <w:autoSpaceDN w:val="0"/>
        <w:adjustRightInd w:val="0"/>
        <w:spacing w:line="590" w:lineRule="exact"/>
        <w:ind w:firstLine="640"/>
        <w:rPr>
          <w:rFonts w:eastAsia="仿宋_GB2312"/>
          <w:sz w:val="32"/>
          <w:szCs w:val="32"/>
        </w:rPr>
      </w:pPr>
      <w:r>
        <w:rPr>
          <w:rFonts w:hint="eastAsia" w:ascii="仿宋_GB2312" w:eastAsia="仿宋_GB2312" w:cs="仿宋_GB2312"/>
          <w:b/>
          <w:sz w:val="32"/>
          <w:szCs w:val="32"/>
        </w:rPr>
        <w:t>6.卫生健康</w:t>
      </w:r>
      <w:r>
        <w:rPr>
          <w:rFonts w:hint="eastAsia" w:ascii="仿宋_GB2312" w:eastAsia="仿宋_GB2312" w:cs="仿宋_GB2312"/>
          <w:b/>
          <w:bCs/>
          <w:sz w:val="32"/>
          <w:szCs w:val="32"/>
        </w:rPr>
        <w:t>（类）公共卫生（款）突发公共卫生事件应急处理（项）。</w:t>
      </w:r>
      <w:r>
        <w:rPr>
          <w:rFonts w:hint="eastAsia" w:ascii="仿宋_GB2312" w:eastAsia="仿宋_GB2312" w:cs="仿宋_GB2312"/>
          <w:sz w:val="32"/>
          <w:szCs w:val="32"/>
        </w:rPr>
        <w:t>年初预算为71.00万元，支出决算为71.00万元，完成年初预算数的100.00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autoSpaceDE w:val="0"/>
        <w:autoSpaceDN w:val="0"/>
        <w:adjustRightInd w:val="0"/>
        <w:spacing w:line="590" w:lineRule="exact"/>
        <w:ind w:firstLine="640"/>
        <w:rPr>
          <w:rFonts w:eastAsia="仿宋_GB2312"/>
          <w:sz w:val="32"/>
          <w:szCs w:val="32"/>
        </w:rPr>
      </w:pPr>
      <w:r>
        <w:rPr>
          <w:rFonts w:hint="eastAsia" w:ascii="仿宋_GB2312" w:eastAsia="仿宋_GB2312" w:cs="仿宋_GB2312"/>
          <w:b/>
          <w:sz w:val="32"/>
          <w:szCs w:val="32"/>
        </w:rPr>
        <w:t>7.卫生健康</w:t>
      </w:r>
      <w:r>
        <w:rPr>
          <w:rFonts w:hint="eastAsia" w:ascii="仿宋_GB2312" w:eastAsia="仿宋_GB2312" w:cs="仿宋_GB2312"/>
          <w:b/>
          <w:bCs/>
          <w:sz w:val="32"/>
          <w:szCs w:val="32"/>
        </w:rPr>
        <w:t>（类）公共卫生（款）其他公共卫生支出（项）。</w:t>
      </w:r>
      <w:r>
        <w:rPr>
          <w:rFonts w:hint="eastAsia" w:ascii="仿宋_GB2312" w:eastAsia="仿宋_GB2312" w:cs="仿宋_GB2312"/>
          <w:sz w:val="32"/>
          <w:szCs w:val="32"/>
        </w:rPr>
        <w:t>年初预算为12.00万元，支出决算为12.00万元，完成年初预算数的100.00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autoSpaceDE w:val="0"/>
        <w:autoSpaceDN w:val="0"/>
        <w:adjustRightInd w:val="0"/>
        <w:spacing w:line="590" w:lineRule="exact"/>
        <w:ind w:firstLine="640"/>
        <w:rPr>
          <w:rFonts w:eastAsia="仿宋_GB2312"/>
          <w:sz w:val="32"/>
          <w:szCs w:val="32"/>
        </w:rPr>
      </w:pPr>
      <w:r>
        <w:rPr>
          <w:rFonts w:hint="eastAsia" w:ascii="仿宋_GB2312" w:eastAsia="仿宋_GB2312" w:cs="仿宋_GB2312"/>
          <w:b/>
          <w:sz w:val="32"/>
          <w:szCs w:val="32"/>
        </w:rPr>
        <w:t>8.卫生健康</w:t>
      </w:r>
      <w:r>
        <w:rPr>
          <w:rFonts w:hint="eastAsia" w:ascii="仿宋_GB2312" w:eastAsia="仿宋_GB2312" w:cs="仿宋_GB2312"/>
          <w:b/>
          <w:bCs/>
          <w:sz w:val="32"/>
          <w:szCs w:val="32"/>
        </w:rPr>
        <w:t>（类）其他卫生健康支出（款）其他卫生健康支出（项）。</w:t>
      </w:r>
      <w:r>
        <w:rPr>
          <w:rFonts w:hint="eastAsia" w:ascii="仿宋_GB2312" w:eastAsia="仿宋_GB2312" w:cs="仿宋_GB2312"/>
          <w:sz w:val="32"/>
          <w:szCs w:val="32"/>
        </w:rPr>
        <w:t>年初预算为142.40万元，支出决算为142.40万元，完成年初预算数的100.00</w:t>
      </w:r>
      <w:r>
        <w:rPr>
          <w:rFonts w:ascii="仿宋_GB2312" w:eastAsia="仿宋_GB2312" w:cs="仿宋_GB2312"/>
          <w:sz w:val="32"/>
          <w:szCs w:val="32"/>
        </w:rPr>
        <w:t>%</w:t>
      </w:r>
      <w:r>
        <w:rPr>
          <w:rFonts w:hint="eastAsia" w:ascii="仿宋_GB2312" w:eastAsia="仿宋_GB2312" w:cs="仿宋_GB2312"/>
          <w:sz w:val="32"/>
          <w:szCs w:val="32"/>
        </w:rPr>
        <w:t>，决算数与年初预算数不存在差异。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年度一般公共预算财政拨款基本支出</w:t>
      </w:r>
      <w:r>
        <w:rPr>
          <w:rFonts w:ascii="仿宋_GB2312" w:eastAsia="仿宋_GB2312" w:cs="仿宋_GB2312"/>
          <w:sz w:val="32"/>
          <w:szCs w:val="32"/>
        </w:rPr>
        <w:t>4,369.57</w:t>
      </w:r>
      <w:r>
        <w:rPr>
          <w:rFonts w:hint="eastAsia" w:ascii="仿宋_GB2312" w:eastAsia="仿宋_GB2312" w:cs="仿宋_GB2312"/>
          <w:sz w:val="32"/>
          <w:szCs w:val="32"/>
        </w:rPr>
        <w:t>万元。其中：公用经费</w:t>
      </w:r>
      <w:r>
        <w:rPr>
          <w:rFonts w:ascii="仿宋_GB2312" w:eastAsia="仿宋_GB2312" w:cs="仿宋_GB2312"/>
          <w:sz w:val="32"/>
          <w:szCs w:val="32"/>
        </w:rPr>
        <w:t>4,369.57</w:t>
      </w:r>
      <w:r>
        <w:rPr>
          <w:rFonts w:hint="eastAsia" w:ascii="仿宋_GB2312" w:eastAsia="仿宋_GB2312" w:cs="仿宋_GB2312"/>
          <w:sz w:val="32"/>
          <w:szCs w:val="32"/>
        </w:rPr>
        <w:t>万元，主要包括：专用材料费。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outlineLvl w:val="2"/>
        <w:rPr>
          <w:rFonts w:ascii="仿宋" w:hAnsi="仿宋" w:eastAsia="仿宋" w:cs="仿宋"/>
          <w:sz w:val="32"/>
          <w:szCs w:val="32"/>
          <w:lang w:val="zh-CN"/>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经费财政拨款支出预算为</w:t>
      </w:r>
      <w:r>
        <w:rPr>
          <w:rFonts w:ascii="仿宋_GB2312" w:eastAsia="仿宋_GB2312" w:cs="仿宋_GB2312"/>
          <w:sz w:val="32"/>
          <w:szCs w:val="32"/>
        </w:rPr>
        <w:t>0</w:t>
      </w:r>
      <w:r>
        <w:rPr>
          <w:rFonts w:hint="eastAsia" w:ascii="仿宋_GB2312" w:eastAsia="仿宋_GB2312" w:cs="仿宋_GB2312"/>
          <w:sz w:val="32"/>
          <w:szCs w:val="32"/>
        </w:rPr>
        <w:t>.00万元，支出决算为</w:t>
      </w:r>
      <w:r>
        <w:rPr>
          <w:rFonts w:ascii="仿宋_GB2312" w:eastAsia="仿宋_GB2312" w:cs="仿宋_GB2312"/>
          <w:sz w:val="32"/>
          <w:szCs w:val="32"/>
        </w:rPr>
        <w:t>0</w:t>
      </w:r>
      <w:r>
        <w:rPr>
          <w:rFonts w:hint="eastAsia" w:ascii="仿宋_GB2312" w:eastAsia="仿宋_GB2312" w:cs="仿宋_GB2312"/>
          <w:sz w:val="32"/>
          <w:szCs w:val="32"/>
        </w:rPr>
        <w:t>.00万元。</w:t>
      </w:r>
      <w:r>
        <w:rPr>
          <w:rFonts w:hint="eastAsia" w:ascii="仿宋_GB2312" w:eastAsia="仿宋_GB2312" w:cs="仿宋_GB2312"/>
          <w:sz w:val="32"/>
          <w:szCs w:val="32"/>
          <w:lang w:val="zh-CN"/>
        </w:rPr>
        <w:t>2021年度“三公”经费支出决算数与预算数不存在差异。</w:t>
      </w:r>
    </w:p>
    <w:p>
      <w:pPr>
        <w:autoSpaceDE w:val="0"/>
        <w:autoSpaceDN w:val="0"/>
        <w:adjustRightInd w:val="0"/>
        <w:spacing w:line="59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autoSpaceDE w:val="0"/>
        <w:autoSpaceDN w:val="0"/>
        <w:adjustRightInd w:val="0"/>
        <w:spacing w:line="590" w:lineRule="exact"/>
        <w:ind w:firstLine="640"/>
        <w:rPr>
          <w:rFonts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经费财政拨款支出决算中，因公出国（境）费支出决算</w:t>
      </w:r>
      <w:r>
        <w:rPr>
          <w:rFonts w:ascii="仿宋_GB2312" w:eastAsia="仿宋_GB2312" w:cs="仿宋_GB2312"/>
          <w:sz w:val="32"/>
          <w:szCs w:val="32"/>
        </w:rPr>
        <w:t>0</w:t>
      </w:r>
      <w:r>
        <w:rPr>
          <w:rFonts w:hint="eastAsia" w:ascii="仿宋_GB2312" w:eastAsia="仿宋_GB2312" w:cs="仿宋_GB2312"/>
          <w:sz w:val="32"/>
          <w:szCs w:val="32"/>
        </w:rPr>
        <w:t>.00万元；公务用车购置及运行费支出决算</w:t>
      </w:r>
      <w:r>
        <w:rPr>
          <w:rFonts w:ascii="仿宋_GB2312" w:eastAsia="仿宋_GB2312" w:cs="仿宋_GB2312"/>
          <w:sz w:val="32"/>
          <w:szCs w:val="32"/>
        </w:rPr>
        <w:t>0</w:t>
      </w:r>
      <w:r>
        <w:rPr>
          <w:rFonts w:hint="eastAsia" w:ascii="仿宋_GB2312" w:eastAsia="仿宋_GB2312" w:cs="仿宋_GB2312"/>
          <w:sz w:val="32"/>
          <w:szCs w:val="32"/>
        </w:rPr>
        <w:t>.00万元；公务接待费支出决算</w:t>
      </w:r>
      <w:r>
        <w:rPr>
          <w:rFonts w:ascii="仿宋_GB2312" w:eastAsia="仿宋_GB2312" w:cs="仿宋_GB2312"/>
          <w:sz w:val="32"/>
          <w:szCs w:val="32"/>
        </w:rPr>
        <w:t>0</w:t>
      </w:r>
      <w:r>
        <w:rPr>
          <w:rFonts w:hint="eastAsia" w:ascii="仿宋_GB2312" w:eastAsia="仿宋_GB2312" w:cs="仿宋_GB2312"/>
          <w:sz w:val="32"/>
          <w:szCs w:val="32"/>
        </w:rPr>
        <w:t>.00万元；具体情况如下：</w:t>
      </w:r>
    </w:p>
    <w:p>
      <w:pPr>
        <w:widowControl/>
        <w:spacing w:line="590" w:lineRule="exact"/>
        <w:ind w:firstLine="643" w:firstLineChars="200"/>
        <w:outlineLvl w:val="2"/>
        <w:rPr>
          <w:rFonts w:eastAsia="仿宋_GB2312"/>
          <w:kern w:val="0"/>
          <w:sz w:val="18"/>
          <w:szCs w:val="18"/>
          <w:lang w:val="zh-CN"/>
        </w:rPr>
      </w:pPr>
      <w:r>
        <w:rPr>
          <w:rFonts w:ascii="仿宋_GB2312" w:eastAsia="仿宋_GB2312" w:cs="仿宋_GB2312"/>
          <w:b/>
          <w:bCs/>
          <w:sz w:val="32"/>
          <w:szCs w:val="32"/>
        </w:rPr>
        <w:t>1</w:t>
      </w:r>
      <w:r>
        <w:rPr>
          <w:rFonts w:hint="eastAsia" w:ascii="仿宋_GB2312" w:eastAsia="仿宋_GB2312" w:cs="仿宋_GB2312"/>
          <w:b/>
          <w:bCs/>
          <w:sz w:val="32"/>
          <w:szCs w:val="32"/>
        </w:rPr>
        <w:t>．因公出国（境）费</w:t>
      </w:r>
      <w:r>
        <w:rPr>
          <w:rFonts w:hint="eastAsia" w:ascii="仿宋_GB2312" w:eastAsia="仿宋_GB2312" w:cs="仿宋_GB2312"/>
          <w:sz w:val="32"/>
          <w:szCs w:val="32"/>
        </w:rPr>
        <w:t>预算为</w:t>
      </w:r>
      <w:r>
        <w:rPr>
          <w:rFonts w:ascii="仿宋_GB2312" w:eastAsia="仿宋_GB2312" w:cs="仿宋_GB2312"/>
          <w:sz w:val="32"/>
          <w:szCs w:val="32"/>
        </w:rPr>
        <w:t>0</w:t>
      </w:r>
      <w:r>
        <w:rPr>
          <w:rFonts w:hint="eastAsia" w:ascii="仿宋_GB2312" w:eastAsia="仿宋_GB2312" w:cs="仿宋_GB2312"/>
          <w:sz w:val="32"/>
          <w:szCs w:val="32"/>
        </w:rPr>
        <w:t>.00万元，支出决算为</w:t>
      </w:r>
      <w:r>
        <w:rPr>
          <w:rFonts w:ascii="仿宋_GB2312" w:eastAsia="仿宋_GB2312" w:cs="仿宋_GB2312"/>
          <w:sz w:val="32"/>
          <w:szCs w:val="32"/>
        </w:rPr>
        <w:t>0</w:t>
      </w:r>
      <w:r>
        <w:rPr>
          <w:rFonts w:hint="eastAsia" w:ascii="仿宋_GB2312" w:eastAsia="仿宋_GB2312" w:cs="仿宋_GB2312"/>
          <w:sz w:val="32"/>
          <w:szCs w:val="32"/>
        </w:rPr>
        <w:t>.00万元，</w:t>
      </w:r>
      <w:r>
        <w:rPr>
          <w:rFonts w:hint="eastAsia" w:ascii="仿宋_GB2312" w:eastAsia="仿宋_GB2312" w:cs="仿宋_GB2312"/>
          <w:sz w:val="32"/>
          <w:szCs w:val="32"/>
          <w:lang w:val="zh-CN"/>
        </w:rPr>
        <w:t>决算数与预算数不存在差异。</w:t>
      </w:r>
      <w:r>
        <w:rPr>
          <w:rFonts w:hint="eastAsia" w:ascii="仿宋_GB2312" w:eastAsia="仿宋_GB2312" w:cs="仿宋_GB2312"/>
          <w:sz w:val="32"/>
          <w:szCs w:val="32"/>
        </w:rPr>
        <w:t>因公出国（境）团组数0个，因公出国（境）人次数</w:t>
      </w:r>
      <w:r>
        <w:rPr>
          <w:rFonts w:ascii="仿宋_GB2312" w:eastAsia="仿宋_GB2312" w:cs="仿宋_GB2312"/>
          <w:sz w:val="32"/>
          <w:szCs w:val="32"/>
        </w:rPr>
        <w:t>0</w:t>
      </w:r>
      <w:r>
        <w:rPr>
          <w:rFonts w:hint="eastAsia" w:ascii="仿宋_GB2312" w:eastAsia="仿宋_GB2312" w:cs="仿宋_GB2312"/>
          <w:sz w:val="32"/>
          <w:szCs w:val="32"/>
        </w:rPr>
        <w:t>人。</w:t>
      </w:r>
    </w:p>
    <w:p>
      <w:pPr>
        <w:autoSpaceDE w:val="0"/>
        <w:autoSpaceDN w:val="0"/>
        <w:adjustRightInd w:val="0"/>
        <w:spacing w:line="590" w:lineRule="exact"/>
        <w:ind w:firstLine="640"/>
        <w:rPr>
          <w:rFonts w:ascii="仿宋_GB2312" w:eastAsia="仿宋_GB2312" w:cs="仿宋_GB2312"/>
          <w:sz w:val="32"/>
          <w:szCs w:val="32"/>
          <w:lang w:val="zh-CN"/>
        </w:rPr>
      </w:pPr>
      <w:r>
        <w:rPr>
          <w:rFonts w:ascii="仿宋_GB2312" w:eastAsia="仿宋_GB2312" w:cs="仿宋_GB2312"/>
          <w:b/>
          <w:bCs/>
          <w:sz w:val="32"/>
          <w:szCs w:val="32"/>
        </w:rPr>
        <w:t>2</w:t>
      </w:r>
      <w:r>
        <w:rPr>
          <w:rFonts w:hint="eastAsia" w:ascii="仿宋_GB2312" w:eastAsia="仿宋_GB2312" w:cs="仿宋_GB2312"/>
          <w:b/>
          <w:bCs/>
          <w:sz w:val="32"/>
          <w:szCs w:val="32"/>
        </w:rPr>
        <w:t>．公务用车购置及运行费</w:t>
      </w:r>
      <w:r>
        <w:rPr>
          <w:rFonts w:hint="eastAsia" w:ascii="仿宋_GB2312" w:eastAsia="仿宋_GB2312" w:cs="仿宋_GB2312"/>
          <w:sz w:val="32"/>
          <w:szCs w:val="32"/>
        </w:rPr>
        <w:t>预算为</w:t>
      </w:r>
      <w:r>
        <w:rPr>
          <w:rFonts w:ascii="仿宋_GB2312" w:eastAsia="仿宋_GB2312" w:cs="仿宋_GB2312"/>
          <w:sz w:val="32"/>
          <w:szCs w:val="32"/>
        </w:rPr>
        <w:t>0</w:t>
      </w:r>
      <w:r>
        <w:rPr>
          <w:rFonts w:hint="eastAsia" w:ascii="仿宋_GB2312" w:eastAsia="仿宋_GB2312" w:cs="仿宋_GB2312"/>
          <w:sz w:val="32"/>
          <w:szCs w:val="32"/>
        </w:rPr>
        <w:t>.00万元，支出决算为</w:t>
      </w:r>
      <w:r>
        <w:rPr>
          <w:rFonts w:ascii="仿宋_GB2312" w:eastAsia="仿宋_GB2312" w:cs="仿宋_GB2312"/>
          <w:sz w:val="32"/>
          <w:szCs w:val="32"/>
        </w:rPr>
        <w:t>0</w:t>
      </w:r>
      <w:r>
        <w:rPr>
          <w:rFonts w:hint="eastAsia" w:ascii="仿宋_GB2312" w:eastAsia="仿宋_GB2312" w:cs="仿宋_GB2312"/>
          <w:sz w:val="32"/>
          <w:szCs w:val="32"/>
        </w:rPr>
        <w:t>.00万元</w:t>
      </w:r>
      <w:r>
        <w:rPr>
          <w:rFonts w:hint="eastAsia" w:ascii="仿宋_GB2312" w:eastAsia="仿宋_GB2312" w:cs="仿宋_GB2312"/>
          <w:sz w:val="32"/>
          <w:szCs w:val="32"/>
          <w:lang w:val="zh-CN"/>
        </w:rPr>
        <w:t>，决算数与预算数不存在差异。其中：</w:t>
      </w:r>
    </w:p>
    <w:p>
      <w:pPr>
        <w:autoSpaceDE w:val="0"/>
        <w:autoSpaceDN w:val="0"/>
        <w:adjustRightInd w:val="0"/>
        <w:spacing w:line="590" w:lineRule="exact"/>
        <w:ind w:firstLine="640"/>
        <w:rPr>
          <w:rFonts w:eastAsia="仿宋_GB2312"/>
          <w:sz w:val="32"/>
          <w:szCs w:val="32"/>
        </w:rPr>
      </w:pPr>
      <w:r>
        <w:rPr>
          <w:rFonts w:hint="eastAsia" w:ascii="仿宋_GB2312" w:eastAsia="仿宋_GB2312" w:cs="仿宋_GB2312"/>
          <w:b/>
          <w:bCs/>
          <w:sz w:val="32"/>
          <w:szCs w:val="32"/>
        </w:rPr>
        <w:t>公务用车购置支出</w:t>
      </w:r>
      <w:r>
        <w:rPr>
          <w:rFonts w:ascii="仿宋_GB2312" w:eastAsia="仿宋_GB2312" w:cs="仿宋_GB2312"/>
          <w:sz w:val="32"/>
          <w:szCs w:val="32"/>
        </w:rPr>
        <w:t>0</w:t>
      </w:r>
      <w:r>
        <w:rPr>
          <w:rFonts w:hint="eastAsia" w:ascii="仿宋_GB2312" w:eastAsia="仿宋_GB2312" w:cs="仿宋_GB2312"/>
          <w:sz w:val="32"/>
          <w:szCs w:val="32"/>
        </w:rPr>
        <w:t>.00万元，购置车辆0台。</w:t>
      </w:r>
    </w:p>
    <w:p>
      <w:pPr>
        <w:autoSpaceDE w:val="0"/>
        <w:autoSpaceDN w:val="0"/>
        <w:adjustRightInd w:val="0"/>
        <w:spacing w:line="590" w:lineRule="exact"/>
        <w:ind w:firstLine="640"/>
        <w:rPr>
          <w:rFonts w:eastAsia="仿宋_GB2312"/>
          <w:kern w:val="0"/>
          <w:sz w:val="18"/>
          <w:szCs w:val="18"/>
          <w:lang w:val="zh-CN"/>
        </w:rPr>
      </w:pPr>
      <w:r>
        <w:rPr>
          <w:rFonts w:hint="eastAsia" w:ascii="仿宋_GB2312" w:eastAsia="仿宋_GB2312" w:cs="仿宋_GB2312"/>
          <w:b/>
          <w:bCs/>
          <w:sz w:val="32"/>
          <w:szCs w:val="32"/>
        </w:rPr>
        <w:t>公务用车运行支出</w:t>
      </w:r>
      <w:r>
        <w:rPr>
          <w:rFonts w:ascii="仿宋_GB2312" w:eastAsia="仿宋_GB2312" w:cs="仿宋_GB2312"/>
          <w:sz w:val="32"/>
          <w:szCs w:val="32"/>
        </w:rPr>
        <w:t>0</w:t>
      </w:r>
      <w:r>
        <w:rPr>
          <w:rFonts w:hint="eastAsia" w:ascii="仿宋_GB2312" w:eastAsia="仿宋_GB2312" w:cs="仿宋_GB2312"/>
          <w:sz w:val="32"/>
          <w:szCs w:val="32"/>
        </w:rPr>
        <w:t>.00万元。</w:t>
      </w:r>
      <w:r>
        <w:rPr>
          <w:rFonts w:ascii="仿宋_GB2312" w:eastAsia="仿宋_GB2312" w:cs="仿宋_GB2312"/>
          <w:sz w:val="32"/>
          <w:szCs w:val="32"/>
        </w:rPr>
        <w:t>2021</w:t>
      </w:r>
      <w:r>
        <w:rPr>
          <w:rFonts w:hint="eastAsia" w:ascii="仿宋_GB2312" w:eastAsia="仿宋_GB2312" w:cs="仿宋_GB2312"/>
          <w:sz w:val="32"/>
          <w:szCs w:val="32"/>
        </w:rPr>
        <w:t>年期末，单位开支财政拨款的公务用车保有量为0辆。</w:t>
      </w:r>
    </w:p>
    <w:p>
      <w:pPr>
        <w:autoSpaceDE w:val="0"/>
        <w:autoSpaceDN w:val="0"/>
        <w:adjustRightInd w:val="0"/>
        <w:spacing w:line="590" w:lineRule="exact"/>
        <w:ind w:firstLine="640"/>
        <w:rPr>
          <w:rFonts w:eastAsia="仿宋_GB2312"/>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公务接待费</w:t>
      </w:r>
      <w:r>
        <w:rPr>
          <w:rFonts w:hint="eastAsia" w:ascii="仿宋_GB2312" w:eastAsia="仿宋_GB2312" w:cs="仿宋_GB2312"/>
          <w:sz w:val="32"/>
          <w:szCs w:val="32"/>
        </w:rPr>
        <w:t>预算为</w:t>
      </w:r>
      <w:r>
        <w:rPr>
          <w:rFonts w:ascii="仿宋_GB2312" w:eastAsia="仿宋_GB2312" w:cs="仿宋_GB2312"/>
          <w:sz w:val="32"/>
          <w:szCs w:val="32"/>
        </w:rPr>
        <w:t>0</w:t>
      </w:r>
      <w:r>
        <w:rPr>
          <w:rFonts w:hint="eastAsia" w:ascii="仿宋_GB2312" w:eastAsia="仿宋_GB2312" w:cs="仿宋_GB2312"/>
          <w:sz w:val="32"/>
          <w:szCs w:val="32"/>
        </w:rPr>
        <w:t>.00万元，支出决算为</w:t>
      </w:r>
      <w:r>
        <w:rPr>
          <w:rFonts w:ascii="仿宋_GB2312" w:eastAsia="仿宋_GB2312" w:cs="仿宋_GB2312"/>
          <w:sz w:val="32"/>
          <w:szCs w:val="32"/>
        </w:rPr>
        <w:t>0</w:t>
      </w:r>
      <w:r>
        <w:rPr>
          <w:rFonts w:hint="eastAsia" w:ascii="仿宋_GB2312" w:eastAsia="仿宋_GB2312" w:cs="仿宋_GB2312"/>
          <w:sz w:val="32"/>
          <w:szCs w:val="32"/>
        </w:rPr>
        <w:t>.00万元，完成预算的</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sz w:val="32"/>
          <w:szCs w:val="32"/>
          <w:lang w:val="zh-CN"/>
        </w:rPr>
        <w:t>决算数与预算数不存在差异</w:t>
      </w:r>
      <w:r>
        <w:rPr>
          <w:rFonts w:hint="eastAsia" w:ascii="仿宋" w:hAnsi="仿宋" w:eastAsia="仿宋" w:cs="仿宋"/>
          <w:sz w:val="32"/>
          <w:szCs w:val="32"/>
          <w:lang w:val="zh-CN"/>
        </w:rPr>
        <w:t>。</w:t>
      </w:r>
      <w:r>
        <w:rPr>
          <w:rFonts w:hint="eastAsia" w:ascii="仿宋_GB2312" w:eastAsia="仿宋_GB2312" w:cs="仿宋_GB2312"/>
          <w:sz w:val="32"/>
          <w:szCs w:val="32"/>
        </w:rPr>
        <w:t>其中：</w:t>
      </w:r>
    </w:p>
    <w:p>
      <w:pPr>
        <w:autoSpaceDE w:val="0"/>
        <w:autoSpaceDN w:val="0"/>
        <w:adjustRightInd w:val="0"/>
        <w:spacing w:line="590" w:lineRule="exact"/>
        <w:ind w:firstLine="640"/>
        <w:rPr>
          <w:rFonts w:ascii="仿宋_GB2312" w:eastAsia="仿宋_GB2312" w:cs="仿宋_GB2312"/>
          <w:sz w:val="32"/>
          <w:szCs w:val="32"/>
        </w:rPr>
      </w:pPr>
      <w:r>
        <w:rPr>
          <w:rFonts w:hint="eastAsia" w:ascii="仿宋_GB2312" w:eastAsia="仿宋_GB2312" w:cs="仿宋_GB2312"/>
          <w:b/>
          <w:bCs/>
          <w:sz w:val="32"/>
          <w:szCs w:val="32"/>
        </w:rPr>
        <w:t>外宾接待支出</w:t>
      </w:r>
      <w:r>
        <w:rPr>
          <w:rFonts w:hint="eastAsia" w:ascii="仿宋_GB2312" w:eastAsia="仿宋_GB2312" w:cs="仿宋_GB2312"/>
          <w:sz w:val="32"/>
          <w:szCs w:val="32"/>
        </w:rPr>
        <w:t>0.00万元。</w:t>
      </w:r>
      <w:r>
        <w:rPr>
          <w:rFonts w:ascii="仿宋_GB2312" w:eastAsia="仿宋_GB2312" w:cs="仿宋_GB2312"/>
          <w:sz w:val="32"/>
          <w:szCs w:val="32"/>
        </w:rPr>
        <w:t>2021</w:t>
      </w:r>
      <w:r>
        <w:rPr>
          <w:rFonts w:hint="eastAsia" w:ascii="仿宋_GB2312" w:eastAsia="仿宋_GB2312" w:cs="仿宋_GB2312"/>
          <w:sz w:val="32"/>
          <w:szCs w:val="32"/>
        </w:rPr>
        <w:t>年共接待国（境）外来访团组0个、来访外宾0人次（不包括陪同人员）。</w:t>
      </w:r>
    </w:p>
    <w:p>
      <w:pPr>
        <w:autoSpaceDE w:val="0"/>
        <w:autoSpaceDN w:val="0"/>
        <w:adjustRightInd w:val="0"/>
        <w:spacing w:line="590" w:lineRule="exact"/>
        <w:ind w:firstLine="640"/>
        <w:rPr>
          <w:rFonts w:eastAsia="仿宋_GB2312"/>
          <w:kern w:val="0"/>
          <w:sz w:val="18"/>
          <w:szCs w:val="18"/>
          <w:lang w:val="zh-CN"/>
        </w:rPr>
      </w:pPr>
      <w:r>
        <w:rPr>
          <w:rFonts w:hint="eastAsia" w:ascii="仿宋_GB2312" w:eastAsia="仿宋_GB2312" w:cs="仿宋_GB2312"/>
          <w:b/>
          <w:bCs/>
          <w:sz w:val="32"/>
          <w:szCs w:val="32"/>
        </w:rPr>
        <w:t>其他国内公务接待支出</w:t>
      </w:r>
      <w:r>
        <w:rPr>
          <w:rFonts w:hint="eastAsia" w:ascii="仿宋_GB2312" w:eastAsia="仿宋_GB2312" w:cs="仿宋_GB2312"/>
          <w:sz w:val="32"/>
          <w:szCs w:val="32"/>
        </w:rPr>
        <w:t>0.00万元。</w:t>
      </w:r>
      <w:r>
        <w:rPr>
          <w:rFonts w:ascii="仿宋_GB2312" w:eastAsia="仿宋_GB2312" w:cs="仿宋_GB2312"/>
          <w:sz w:val="32"/>
          <w:szCs w:val="32"/>
        </w:rPr>
        <w:t>2021</w:t>
      </w:r>
      <w:r>
        <w:rPr>
          <w:rFonts w:hint="eastAsia" w:asci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年度政府采购支出总额</w:t>
      </w:r>
      <w:r>
        <w:rPr>
          <w:rFonts w:ascii="仿宋_GB2312" w:eastAsia="仿宋_GB2312" w:cs="仿宋_GB2312"/>
          <w:sz w:val="32"/>
          <w:szCs w:val="32"/>
        </w:rPr>
        <w:t>1,044.44</w:t>
      </w:r>
      <w:r>
        <w:rPr>
          <w:rFonts w:hint="eastAsia" w:ascii="仿宋_GB2312" w:eastAsia="仿宋_GB2312" w:cs="仿宋_GB2312"/>
          <w:sz w:val="32"/>
          <w:szCs w:val="32"/>
        </w:rPr>
        <w:t>万元，其中：政府采购货物支出</w:t>
      </w:r>
      <w:r>
        <w:rPr>
          <w:rFonts w:ascii="仿宋_GB2312" w:eastAsia="仿宋_GB2312" w:cs="仿宋_GB2312"/>
          <w:sz w:val="32"/>
          <w:szCs w:val="32"/>
        </w:rPr>
        <w:t>116.88</w:t>
      </w:r>
      <w:r>
        <w:rPr>
          <w:rFonts w:hint="eastAsia" w:ascii="仿宋_GB2312" w:eastAsia="仿宋_GB2312" w:cs="仿宋_GB2312"/>
          <w:sz w:val="32"/>
          <w:szCs w:val="32"/>
        </w:rPr>
        <w:t>万元、政府采购工程支出</w:t>
      </w:r>
      <w:r>
        <w:rPr>
          <w:rFonts w:ascii="仿宋_GB2312" w:eastAsia="仿宋_GB2312" w:cs="仿宋_GB2312"/>
          <w:sz w:val="32"/>
          <w:szCs w:val="32"/>
        </w:rPr>
        <w:t>0</w:t>
      </w:r>
      <w:r>
        <w:rPr>
          <w:rFonts w:hint="eastAsia" w:ascii="仿宋_GB2312" w:eastAsia="仿宋_GB2312" w:cs="仿宋_GB2312"/>
          <w:sz w:val="32"/>
          <w:szCs w:val="32"/>
        </w:rPr>
        <w:t>.00万元、政府采购服务支出</w:t>
      </w:r>
      <w:r>
        <w:rPr>
          <w:rFonts w:ascii="仿宋_GB2312" w:eastAsia="仿宋_GB2312" w:cs="仿宋_GB2312"/>
          <w:sz w:val="32"/>
          <w:szCs w:val="32"/>
        </w:rPr>
        <w:t>927.56</w:t>
      </w:r>
      <w:r>
        <w:rPr>
          <w:rFonts w:hint="eastAsia" w:ascii="仿宋_GB2312" w:eastAsia="仿宋_GB2312" w:cs="仿宋_GB2312"/>
          <w:sz w:val="32"/>
          <w:szCs w:val="32"/>
        </w:rPr>
        <w:t>万元。授予中小企业合同金额</w:t>
      </w:r>
      <w:r>
        <w:rPr>
          <w:rFonts w:ascii="仿宋_GB2312" w:eastAsia="仿宋_GB2312" w:cs="仿宋_GB2312"/>
          <w:sz w:val="32"/>
          <w:szCs w:val="32"/>
        </w:rPr>
        <w:t>0</w:t>
      </w:r>
      <w:r>
        <w:rPr>
          <w:rFonts w:hint="eastAsia" w:ascii="仿宋_GB2312" w:eastAsia="仿宋_GB2312" w:cs="仿宋_GB2312"/>
          <w:sz w:val="32"/>
          <w:szCs w:val="32"/>
        </w:rPr>
        <w:t>.00万元，占政府采购支出总额的</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其中：授予小微企业合同金额</w:t>
      </w:r>
      <w:r>
        <w:rPr>
          <w:rFonts w:ascii="仿宋_GB2312" w:eastAsia="仿宋_GB2312" w:cs="仿宋_GB2312"/>
          <w:sz w:val="32"/>
          <w:szCs w:val="32"/>
        </w:rPr>
        <w:t>0</w:t>
      </w:r>
      <w:r>
        <w:rPr>
          <w:rFonts w:hint="eastAsia" w:ascii="仿宋_GB2312" w:eastAsia="仿宋_GB2312" w:cs="仿宋_GB2312"/>
          <w:sz w:val="32"/>
          <w:szCs w:val="32"/>
        </w:rPr>
        <w:t>.00万元，占政府采购支出总额的</w:t>
      </w:r>
      <w:r>
        <w:rPr>
          <w:rFonts w:ascii="仿宋_GB2312" w:eastAsia="仿宋_GB2312" w:cs="仿宋_GB2312"/>
          <w:sz w:val="32"/>
          <w:szCs w:val="32"/>
        </w:rPr>
        <w:t>0</w:t>
      </w:r>
      <w:r>
        <w:rPr>
          <w:rFonts w:hint="eastAsia" w:ascii="仿宋_GB2312" w:eastAsia="仿宋_GB2312" w:cs="仿宋_GB2312"/>
          <w:sz w:val="32"/>
          <w:szCs w:val="32"/>
        </w:rPr>
        <w:t>.00</w:t>
      </w:r>
      <w:r>
        <w:rPr>
          <w:rFonts w:ascii="仿宋_GB2312" w:eastAsia="仿宋_GB2312" w:cs="仿宋_GB2312"/>
          <w:sz w:val="32"/>
          <w:szCs w:val="32"/>
        </w:rPr>
        <w:t>%</w:t>
      </w:r>
      <w:r>
        <w:rPr>
          <w:rFonts w:hint="eastAsia" w:asci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autoSpaceDE w:val="0"/>
        <w:autoSpaceDN w:val="0"/>
        <w:adjustRightInd w:val="0"/>
        <w:spacing w:line="590" w:lineRule="exact"/>
        <w:ind w:firstLine="640"/>
        <w:rPr>
          <w:rFonts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年期末，我单位共有车辆</w:t>
      </w:r>
      <w:r>
        <w:rPr>
          <w:rFonts w:ascii="仿宋_GB2312" w:eastAsia="仿宋_GB2312" w:cs="仿宋_GB2312"/>
          <w:sz w:val="32"/>
          <w:szCs w:val="32"/>
        </w:rPr>
        <w:t>19</w:t>
      </w:r>
      <w:r>
        <w:rPr>
          <w:rFonts w:hint="eastAsia" w:ascii="仿宋_GB2312" w:eastAsia="仿宋_GB2312" w:cs="仿宋_GB2312"/>
          <w:sz w:val="32"/>
          <w:szCs w:val="32"/>
        </w:rPr>
        <w:t>辆，其中：省级领导干部用车</w:t>
      </w:r>
      <w:r>
        <w:rPr>
          <w:rFonts w:ascii="仿宋_GB2312" w:eastAsia="仿宋_GB2312" w:cs="仿宋_GB2312"/>
          <w:sz w:val="32"/>
          <w:szCs w:val="32"/>
        </w:rPr>
        <w:t>0</w:t>
      </w:r>
      <w:r>
        <w:rPr>
          <w:rFonts w:hint="eastAsia" w:ascii="仿宋_GB2312" w:eastAsia="仿宋_GB2312" w:cs="仿宋_GB2312"/>
          <w:sz w:val="32"/>
          <w:szCs w:val="32"/>
        </w:rPr>
        <w:t>辆、主要领导干部用车</w:t>
      </w:r>
      <w:r>
        <w:rPr>
          <w:rFonts w:ascii="仿宋_GB2312" w:eastAsia="仿宋_GB2312" w:cs="仿宋_GB2312"/>
          <w:sz w:val="32"/>
          <w:szCs w:val="32"/>
        </w:rPr>
        <w:t>0</w:t>
      </w:r>
      <w:r>
        <w:rPr>
          <w:rFonts w:hint="eastAsia" w:ascii="仿宋_GB2312" w:eastAsia="仿宋_GB2312" w:cs="仿宋_GB2312"/>
          <w:sz w:val="32"/>
          <w:szCs w:val="32"/>
        </w:rPr>
        <w:t>辆、机要通信用车</w:t>
      </w:r>
      <w:r>
        <w:rPr>
          <w:rFonts w:ascii="仿宋_GB2312" w:eastAsia="仿宋_GB2312" w:cs="仿宋_GB2312"/>
          <w:sz w:val="32"/>
          <w:szCs w:val="32"/>
        </w:rPr>
        <w:t>4</w:t>
      </w:r>
      <w:r>
        <w:rPr>
          <w:rFonts w:hint="eastAsia" w:ascii="仿宋_GB2312" w:eastAsia="仿宋_GB2312" w:cs="仿宋_GB2312"/>
          <w:sz w:val="32"/>
          <w:szCs w:val="32"/>
        </w:rPr>
        <w:t>辆、应急保障车</w:t>
      </w:r>
      <w:r>
        <w:rPr>
          <w:rFonts w:ascii="仿宋_GB2312" w:eastAsia="仿宋_GB2312" w:cs="仿宋_GB2312"/>
          <w:sz w:val="32"/>
          <w:szCs w:val="32"/>
        </w:rPr>
        <w:t>0</w:t>
      </w:r>
      <w:r>
        <w:rPr>
          <w:rFonts w:hint="eastAsia" w:ascii="仿宋_GB2312" w:eastAsia="仿宋_GB2312" w:cs="仿宋_GB2312"/>
          <w:sz w:val="32"/>
          <w:szCs w:val="32"/>
        </w:rPr>
        <w:t>辆、执法执勤用车</w:t>
      </w:r>
      <w:r>
        <w:rPr>
          <w:rFonts w:ascii="仿宋_GB2312" w:eastAsia="仿宋_GB2312" w:cs="仿宋_GB2312"/>
          <w:sz w:val="32"/>
          <w:szCs w:val="32"/>
        </w:rPr>
        <w:t>0</w:t>
      </w:r>
      <w:r>
        <w:rPr>
          <w:rFonts w:hint="eastAsia" w:ascii="仿宋_GB2312" w:eastAsia="仿宋_GB2312" w:cs="仿宋_GB2312"/>
          <w:sz w:val="32"/>
          <w:szCs w:val="32"/>
        </w:rPr>
        <w:t>辆、特种专业技术用车</w:t>
      </w:r>
      <w:r>
        <w:rPr>
          <w:rFonts w:ascii="仿宋_GB2312" w:eastAsia="仿宋_GB2312" w:cs="仿宋_GB2312"/>
          <w:sz w:val="32"/>
          <w:szCs w:val="32"/>
        </w:rPr>
        <w:t>13</w:t>
      </w:r>
      <w:r>
        <w:rPr>
          <w:rFonts w:hint="eastAsia" w:ascii="仿宋_GB2312" w:eastAsia="仿宋_GB2312" w:cs="仿宋_GB2312"/>
          <w:sz w:val="32"/>
          <w:szCs w:val="32"/>
        </w:rPr>
        <w:t>辆、离退休干部用车</w:t>
      </w:r>
      <w:r>
        <w:rPr>
          <w:rFonts w:ascii="仿宋_GB2312" w:eastAsia="仿宋_GB2312" w:cs="仿宋_GB2312"/>
          <w:sz w:val="32"/>
          <w:szCs w:val="32"/>
        </w:rPr>
        <w:t>0</w:t>
      </w:r>
      <w:r>
        <w:rPr>
          <w:rFonts w:hint="eastAsia" w:ascii="仿宋_GB2312" w:eastAsia="仿宋_GB2312" w:cs="仿宋_GB2312"/>
          <w:sz w:val="32"/>
          <w:szCs w:val="32"/>
        </w:rPr>
        <w:t>辆、其他用车</w:t>
      </w:r>
      <w:r>
        <w:rPr>
          <w:rFonts w:ascii="仿宋_GB2312" w:eastAsia="仿宋_GB2312" w:cs="仿宋_GB2312"/>
          <w:sz w:val="32"/>
          <w:szCs w:val="32"/>
        </w:rPr>
        <w:t>2</w:t>
      </w:r>
      <w:r>
        <w:rPr>
          <w:rFonts w:hint="eastAsia" w:ascii="仿宋_GB2312" w:eastAsia="仿宋_GB2312" w:cs="仿宋_GB2312"/>
          <w:sz w:val="32"/>
          <w:szCs w:val="32"/>
        </w:rPr>
        <w:t>辆；单位价值</w:t>
      </w:r>
      <w:r>
        <w:rPr>
          <w:rFonts w:ascii="仿宋_GB2312" w:eastAsia="仿宋_GB2312" w:cs="仿宋_GB2312"/>
          <w:sz w:val="32"/>
          <w:szCs w:val="32"/>
        </w:rPr>
        <w:t>50</w:t>
      </w:r>
      <w:r>
        <w:rPr>
          <w:rFonts w:hint="eastAsia" w:ascii="仿宋_GB2312" w:eastAsia="仿宋_GB2312" w:cs="仿宋_GB2312"/>
          <w:sz w:val="32"/>
          <w:szCs w:val="32"/>
        </w:rPr>
        <w:t>万元以上通用设备</w:t>
      </w:r>
      <w:r>
        <w:rPr>
          <w:rFonts w:ascii="仿宋_GB2312" w:eastAsia="仿宋_GB2312" w:cs="仿宋_GB2312"/>
          <w:sz w:val="32"/>
          <w:szCs w:val="32"/>
        </w:rPr>
        <w:t>20</w:t>
      </w:r>
      <w:r>
        <w:rPr>
          <w:rFonts w:hint="eastAsia" w:ascii="仿宋_GB2312" w:eastAsia="仿宋_GB2312" w:cs="仿宋_GB2312"/>
          <w:sz w:val="32"/>
          <w:szCs w:val="32"/>
        </w:rPr>
        <w:t>台（套），单位价值</w:t>
      </w:r>
      <w:r>
        <w:rPr>
          <w:rFonts w:ascii="仿宋_GB2312" w:eastAsia="仿宋_GB2312" w:cs="仿宋_GB2312"/>
          <w:sz w:val="32"/>
          <w:szCs w:val="32"/>
        </w:rPr>
        <w:t>100</w:t>
      </w:r>
      <w:r>
        <w:rPr>
          <w:rFonts w:hint="eastAsia" w:ascii="仿宋_GB2312" w:eastAsia="仿宋_GB2312" w:cs="仿宋_GB2312"/>
          <w:sz w:val="32"/>
          <w:szCs w:val="32"/>
        </w:rPr>
        <w:t>万元以上专用设备</w:t>
      </w:r>
      <w:r>
        <w:rPr>
          <w:rFonts w:ascii="仿宋_GB2312" w:eastAsia="仿宋_GB2312" w:cs="仿宋_GB2312"/>
          <w:sz w:val="32"/>
          <w:szCs w:val="32"/>
        </w:rPr>
        <w:t>90</w:t>
      </w:r>
      <w:r>
        <w:rPr>
          <w:rFonts w:hint="eastAsia" w:ascii="仿宋_GB2312" w:eastAsia="仿宋_GB2312" w:cs="仿宋_GB2312"/>
          <w:sz w:val="32"/>
          <w:szCs w:val="32"/>
        </w:rPr>
        <w:t>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122749.57万元，其中：基本支出121519.45万元；支出项目13个，支出金额1230.12万元。开展项目绩效自评项目13个，自评金额1230.12万元；纳入重点绩效评价0个，评价金额0.00万元。</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w:t>
      </w:r>
      <w:bookmarkStart w:id="0" w:name="_GoBack"/>
      <w:bookmarkEnd w:id="0"/>
      <w:r>
        <w:rPr>
          <w:rFonts w:hint="eastAsia" w:ascii="楷体_GB2312" w:hAnsi="楷体_GB2312" w:eastAsia="楷体_GB2312" w:cs="楷体_GB2312"/>
          <w:b/>
          <w:bCs/>
          <w:sz w:val="32"/>
          <w:szCs w:val="32"/>
        </w:rPr>
        <w:t>整体和项目绩效自评结果。</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2021〕1号）等文件精神，我单位对本单位整体绩效目标和项目支出绩效目标进行了自评。一是单位整体绩效自评情况:我单位领导对绩效评价工作高度重视，成立绩效评价专项工作小组，组织协调相关科室，获取各项指标数据，客观公正开展绩效自评，取得了较好的效果，自评结果全部为优秀。二是项目绩效自评情况。我单位共有13个项目批复了绩效目标。</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95分。其中：13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华文中宋">
    <w:altName w:val="宋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18"/>
        <w:lang w:val="en-US" w:eastAsia="zh-CN" w:bidi="ar-SA"/>
      </w:rPr>
      <w:pict>
        <v:rect id="文本框 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singleLevel"/>
    <w:tmpl w:val="00000003"/>
    <w:lvl w:ilvl="0" w:tentative="1">
      <w:start w:val="1"/>
      <w:numFmt w:val="chineseCounting"/>
      <w:suff w:val="nothing"/>
      <w:lvlText w:val="%1、"/>
      <w:lvlJc w:val="left"/>
    </w:lvl>
  </w:abstract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tyle>
  <w:style w:type="paragraph" w:styleId="2">
    <w:name w:val="批注框文本"/>
    <w:basedOn w:val="1"/>
    <w:link w:val="3"/>
    <w:rPr>
      <w:kern w:val="2"/>
      <w:sz w:val="18"/>
      <w:szCs w:val="18"/>
    </w:rPr>
  </w:style>
  <w:style w:type="character" w:customStyle="1" w:styleId="3">
    <w:name w:val="批注框文本 Char"/>
    <w:link w:val="2"/>
    <w:semiHidden/>
    <w:rPr>
      <w:kern w:val="2"/>
      <w:sz w:val="18"/>
      <w:szCs w:val="18"/>
    </w:rPr>
  </w:style>
  <w:style w:type="paragraph" w:styleId="4">
    <w:name w:val="footer"/>
    <w:basedOn w:val="1"/>
    <w:link w:val="5"/>
    <w:pPr>
      <w:tabs>
        <w:tab w:val="center" w:pos="4153"/>
        <w:tab w:val="right" w:pos="8306"/>
      </w:tabs>
      <w:snapToGrid w:val="0"/>
      <w:jc w:val="left"/>
    </w:pPr>
    <w:rPr>
      <w:kern w:val="2"/>
      <w:sz w:val="18"/>
      <w:szCs w:val="18"/>
    </w:rPr>
  </w:style>
  <w:style w:type="character" w:customStyle="1" w:styleId="5">
    <w:name w:val="页脚 Char"/>
    <w:link w:val="4"/>
    <w:semiHidden/>
    <w:rPr>
      <w:kern w:val="2"/>
      <w:sz w:val="18"/>
      <w:szCs w:val="18"/>
    </w:rPr>
  </w:style>
  <w:style w:type="paragraph" w:styleId="6">
    <w:name w:val="header"/>
    <w:basedOn w:val="1"/>
    <w:link w:val="7"/>
    <w:pPr>
      <w:pBdr>
        <w:bottom w:val="single" w:color="auto" w:sz="6" w:space="1"/>
      </w:pBdr>
      <w:tabs>
        <w:tab w:val="center" w:pos="4153"/>
        <w:tab w:val="right" w:pos="8306"/>
      </w:tabs>
      <w:snapToGrid w:val="0"/>
      <w:jc w:val="center"/>
    </w:pPr>
    <w:rPr>
      <w:kern w:val="2"/>
      <w:sz w:val="18"/>
      <w:szCs w:val="18"/>
    </w:rPr>
  </w:style>
  <w:style w:type="character" w:customStyle="1" w:styleId="7">
    <w:name w:val="页眉 Char"/>
    <w:link w:val="6"/>
    <w:semiHidden/>
    <w:rPr>
      <w:kern w:val="2"/>
      <w:sz w:val="18"/>
      <w:szCs w:val="18"/>
    </w:rPr>
  </w:style>
  <w:style w:type="character" w:styleId="9">
    <w:name w:val="FollowedHyperlink"/>
    <w:rPr>
      <w:color w:val="800080"/>
      <w:u w:val="single"/>
    </w:rPr>
  </w:style>
  <w:style w:type="character" w:styleId="10">
    <w:name w:val="Hyperlink"/>
    <w:rPr>
      <w:color w:val="0000FF"/>
      <w:u w:val="single"/>
    </w:rPr>
  </w:style>
  <w:style w:type="character" w:customStyle="1" w:styleId="11">
    <w:name w:val="font11"/>
    <w:rPr>
      <w:rFonts w:hint="eastAsia" w:ascii="宋体" w:hAnsi="宋体" w:eastAsia="宋体" w:cs="宋体"/>
      <w:color w:val="000000"/>
      <w:sz w:val="20"/>
      <w:szCs w:val="20"/>
      <w:u w:val="none"/>
    </w:rPr>
  </w:style>
  <w:style w:type="character" w:customStyle="1" w:styleId="12">
    <w:name w:val="font21"/>
    <w:rPr>
      <w:rFonts w:hint="eastAsia" w:ascii="宋体" w:hAnsi="宋体" w:eastAsia="宋体" w:cs="宋体"/>
      <w:color w:val="000000"/>
      <w:sz w:val="22"/>
      <w:szCs w:val="22"/>
      <w:u w:val="none"/>
    </w:rPr>
  </w:style>
  <w:style w:type="character" w:customStyle="1" w:styleId="13">
    <w:name w:val="font41"/>
    <w:rPr>
      <w:rFonts w:hint="eastAsia" w:ascii="宋体" w:hAnsi="宋体" w:eastAsia="宋体" w:cs="宋体"/>
      <w:color w:val="000000"/>
      <w:sz w:val="24"/>
      <w:szCs w:val="24"/>
      <w:u w:val="none"/>
    </w:rPr>
  </w:style>
  <w:style w:type="character" w:customStyle="1" w:styleId="14">
    <w:name w:val="font01"/>
    <w:rPr>
      <w:rFonts w:hint="eastAsia" w:ascii="宋体" w:hAnsi="宋体" w:eastAsia="宋体" w:cs="宋体"/>
      <w:color w:val="000000"/>
      <w:sz w:val="22"/>
      <w:szCs w:val="22"/>
      <w:u w:val="none"/>
    </w:rPr>
  </w:style>
  <w:style w:type="character" w:customStyle="1" w:styleId="15">
    <w:name w:val="font51"/>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2036</Words>
  <Characters>11609</Characters>
  <Lines>96</Lines>
  <Paragraphs>27</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Printed>2018-07-24T18:50:00Z</cp:lastPrinted>
  <dcterms:modified xsi:type="dcterms:W3CDTF">2023-05-15T17:21:16Z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EB478989027540F4A2679A24CA682B9E</vt:lpwstr>
  </property>
</Properties>
</file>