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许昌市中小学教师培训中心</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lang w:eastAsia="zh-CN"/>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CN"/>
        </w:rPr>
        <w:t>二年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许昌市中小学教师培训中心概况</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lang w:eastAsia="zh-CN"/>
        </w:rPr>
        <w:t>职责</w:t>
      </w:r>
    </w:p>
    <w:p>
      <w:pPr>
        <w:numPr>
          <w:ilvl w:val="0"/>
          <w:numId w:val="1"/>
        </w:num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w:t>
      </w:r>
      <w:r>
        <w:rPr>
          <w:rFonts w:hint="eastAsia" w:ascii="黑体" w:hAnsi="黑体" w:eastAsia="黑体" w:cs="黑体"/>
          <w:color w:val="auto"/>
          <w:sz w:val="32"/>
          <w:szCs w:val="32"/>
          <w:highlight w:val="none"/>
          <w:lang w:val="en-US" w:eastAsia="zh-CN"/>
        </w:rPr>
        <w:t>21</w:t>
      </w:r>
      <w:r>
        <w:rPr>
          <w:rFonts w:hint="eastAsia" w:ascii="黑体" w:hAnsi="黑体" w:eastAsia="黑体" w:cs="黑体"/>
          <w:color w:val="auto"/>
          <w:sz w:val="32"/>
          <w:szCs w:val="32"/>
          <w:highlight w:val="none"/>
          <w:lang w:eastAsia="zh-CN"/>
        </w:rPr>
        <w:t>年度单位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四、财政拨款收入支出决算总体情况说明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八、政府性基金预算财政拨款支出决算情况说明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九、机关运行经费支出情况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十、政府采购支出情况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十一、国有资产占用情况说明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w:t>
      </w:r>
      <w:r>
        <w:rPr>
          <w:rFonts w:hint="eastAsia" w:ascii="宋体" w:hAnsi="宋体" w:eastAsia="宋体" w:cs="宋体"/>
          <w:color w:val="auto"/>
          <w:sz w:val="32"/>
          <w:szCs w:val="32"/>
          <w:highlight w:val="none"/>
        </w:rPr>
        <w:t>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Borders>
            <w:top w:val="none" w:sz="0" w:space="0"/>
            <w:left w:val="none" w:sz="0" w:space="0"/>
            <w:bottom w:val="none" w:sz="0" w:space="0"/>
            <w:right w:val="none" w:sz="0" w:space="0"/>
          </w:pgBorders>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center"/>
        <w:outlineLvl w:val="0"/>
        <w:rPr>
          <w:rFonts w:hint="eastAsia" w:ascii="黑体" w:hAnsi="宋体" w:eastAsia="黑体" w:cs="宋体"/>
          <w:color w:val="auto"/>
          <w:kern w:val="0"/>
          <w:sz w:val="28"/>
          <w:szCs w:val="28"/>
          <w:highlight w:val="none"/>
          <w:lang w:val="en-US" w:eastAsia="zh-CN"/>
        </w:rPr>
      </w:pPr>
      <w:r>
        <w:rPr>
          <w:rFonts w:hint="eastAsia" w:ascii="黑体" w:hAnsi="黑体" w:eastAsia="黑体" w:cs="黑体"/>
          <w:color w:val="auto"/>
          <w:sz w:val="48"/>
          <w:szCs w:val="48"/>
          <w:highlight w:val="none"/>
        </w:rPr>
        <w:t>第一部分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许昌市中小学教师培训中心概况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highlight w:val="none"/>
          <w:lang w:eastAsia="zh-CN"/>
        </w:rPr>
      </w:pPr>
      <w:r>
        <w:rPr>
          <w:rFonts w:hint="eastAsia" w:ascii="仿宋_GB2312" w:hAnsi="宋体" w:eastAsia="仿宋_GB2312"/>
          <w:sz w:val="32"/>
          <w:szCs w:val="32"/>
          <w:highlight w:val="none"/>
        </w:rPr>
        <w:t>许昌市中小学教师培训中心是具有独立法人资格的正科级事业单位，属许昌市教育局直属二级机构。主要职能是：负责中小学教师培训和继续教育工作。</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sz w:val="32"/>
          <w:szCs w:val="32"/>
          <w:highlight w:val="none"/>
        </w:rPr>
        <w:t>许昌市中小学教师培训</w:t>
      </w:r>
      <w:r>
        <w:rPr>
          <w:rFonts w:hint="eastAsia" w:ascii="仿宋_GB2312" w:hAnsi="宋体" w:eastAsia="仿宋_GB2312" w:cs="仿宋_GB2312"/>
          <w:sz w:val="32"/>
          <w:szCs w:val="32"/>
          <w:highlight w:val="none"/>
        </w:rPr>
        <w:t>中心</w:t>
      </w:r>
      <w:r>
        <w:rPr>
          <w:rFonts w:hint="eastAsia" w:ascii="仿宋_GB2312" w:hAnsi="宋体" w:eastAsia="仿宋_GB2312" w:cs="仿宋_GB2312"/>
          <w:sz w:val="32"/>
          <w:szCs w:val="32"/>
          <w:highlight w:val="none"/>
          <w:lang w:eastAsia="zh-CN"/>
        </w:rPr>
        <w:t>内设机构</w:t>
      </w:r>
      <w:r>
        <w:rPr>
          <w:rFonts w:hint="eastAsia" w:ascii="仿宋_GB2312" w:hAnsi="宋体" w:eastAsia="仿宋_GB2312" w:cs="仿宋_GB2312"/>
          <w:sz w:val="32"/>
          <w:szCs w:val="32"/>
          <w:highlight w:val="none"/>
          <w:lang w:val="en-US" w:eastAsia="zh-CN"/>
        </w:rPr>
        <w:t>5</w:t>
      </w:r>
      <w:r>
        <w:rPr>
          <w:rFonts w:hint="eastAsia" w:ascii="仿宋_GB2312" w:hAnsi="仿宋_GB2312" w:eastAsia="仿宋_GB2312" w:cs="仿宋_GB2312"/>
          <w:kern w:val="0"/>
          <w:sz w:val="32"/>
          <w:szCs w:val="32"/>
          <w:highlight w:val="none"/>
        </w:rPr>
        <w:t>个，</w:t>
      </w:r>
      <w:r>
        <w:rPr>
          <w:rFonts w:hint="eastAsia" w:ascii="仿宋_GB2312" w:hAnsi="仿宋_GB2312" w:eastAsia="仿宋_GB2312" w:cs="仿宋_GB2312"/>
          <w:color w:val="auto"/>
          <w:kern w:val="0"/>
          <w:sz w:val="32"/>
          <w:szCs w:val="32"/>
          <w:highlight w:val="none"/>
          <w:lang w:val="en-US" w:eastAsia="zh-CN"/>
        </w:rPr>
        <w:t>包括：</w:t>
      </w:r>
      <w:r>
        <w:rPr>
          <w:rFonts w:hint="eastAsia" w:ascii="仿宋_GB2312" w:hAnsi="宋体" w:eastAsia="仿宋_GB2312" w:cs="仿宋_GB2312"/>
          <w:sz w:val="32"/>
          <w:szCs w:val="32"/>
          <w:highlight w:val="none"/>
        </w:rPr>
        <w:t>办公室、培训科、信息科、后勤处、财务处。</w:t>
      </w:r>
      <w:r>
        <w:rPr>
          <w:rFonts w:hint="eastAsia" w:ascii="仿宋_GB2312" w:hAnsi="宋体" w:eastAsia="仿宋_GB2312" w:cs="仿宋_GB2312"/>
          <w:sz w:val="32"/>
          <w:szCs w:val="32"/>
          <w:highlight w:val="none"/>
          <w:lang w:eastAsia="zh-CN"/>
        </w:rPr>
        <w:t>无</w:t>
      </w:r>
      <w:r>
        <w:rPr>
          <w:rFonts w:hint="eastAsia" w:ascii="仿宋_GB2312" w:hAnsi="仿宋_GB2312" w:eastAsia="仿宋_GB2312" w:cs="仿宋_GB2312"/>
          <w:color w:val="auto"/>
          <w:kern w:val="0"/>
          <w:sz w:val="32"/>
          <w:szCs w:val="32"/>
          <w:highlight w:val="none"/>
          <w:lang w:val="en-US" w:eastAsia="zh-CN"/>
        </w:rPr>
        <w:t>二级单位。</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本</w:t>
      </w:r>
      <w:r>
        <w:rPr>
          <w:rFonts w:hint="eastAsia" w:ascii="仿宋_GB2312" w:hAnsi="仿宋_GB2312" w:eastAsia="仿宋_GB2312" w:cs="仿宋_GB2312"/>
          <w:kern w:val="0"/>
          <w:sz w:val="32"/>
          <w:szCs w:val="32"/>
          <w:highlight w:val="none"/>
        </w:rPr>
        <w:t>决算包括：本级决算。</w:t>
      </w:r>
    </w:p>
    <w:p>
      <w:pPr>
        <w:widowControl/>
        <w:ind w:firstLine="640" w:firstLineChars="200"/>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r>
        <w:rPr>
          <w:rFonts w:hint="eastAsia" w:ascii="仿宋_GB2312" w:hAnsi="宋体" w:eastAsia="仿宋_GB2312"/>
          <w:sz w:val="32"/>
          <w:szCs w:val="32"/>
          <w:highlight w:val="none"/>
        </w:rPr>
        <w:t>许昌市中小学教师培训</w:t>
      </w:r>
      <w:r>
        <w:rPr>
          <w:rFonts w:hint="eastAsia" w:ascii="仿宋_GB2312" w:hAnsi="宋体" w:eastAsia="仿宋_GB2312" w:cs="仿宋_GB2312"/>
          <w:sz w:val="32"/>
          <w:szCs w:val="32"/>
          <w:highlight w:val="none"/>
        </w:rPr>
        <w:t>中心</w:t>
      </w:r>
      <w:r>
        <w:rPr>
          <w:rFonts w:hint="eastAsia" w:ascii="黑体" w:hAnsi="宋体" w:eastAsia="黑体" w:cs="宋体"/>
          <w:kern w:val="0"/>
          <w:sz w:val="28"/>
          <w:szCs w:val="28"/>
          <w:highlight w:val="none"/>
        </w:rPr>
        <w:t>。</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8"/>
        <w:tblW w:w="13308" w:type="dxa"/>
        <w:tblInd w:w="3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04"/>
        <w:gridCol w:w="954"/>
        <w:gridCol w:w="1678"/>
        <w:gridCol w:w="3559"/>
        <w:gridCol w:w="1050"/>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08"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04"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54" w:type="dxa"/>
            <w:tcBorders>
              <w:top w:val="nil"/>
              <w:left w:val="nil"/>
              <w:bottom w:val="nil"/>
              <w:right w:val="nil"/>
            </w:tcBorders>
            <w:noWrap/>
            <w:vAlign w:val="bottom"/>
          </w:tcPr>
          <w:p>
            <w:pPr>
              <w:jc w:val="center"/>
              <w:rPr>
                <w:rFonts w:hint="default" w:ascii="Arial" w:hAnsi="Arial" w:cs="Arial"/>
                <w:i w:val="0"/>
                <w:iCs w:val="0"/>
                <w:color w:val="000000"/>
                <w:sz w:val="20"/>
                <w:szCs w:val="20"/>
                <w:u w:val="none"/>
              </w:rPr>
            </w:pPr>
          </w:p>
        </w:tc>
        <w:tc>
          <w:tcPr>
            <w:tcW w:w="167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36"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35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3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5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153.31</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166.12</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319.43</w:t>
            </w:r>
          </w:p>
        </w:tc>
        <w:tc>
          <w:tcPr>
            <w:tcW w:w="35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08"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注：本表反映部门本年度的总收支和年末结转结余情况。本表金额转换为万元时，因四舍五入可能存在尾差。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center"/>
        <w:outlineLvl w:val="9"/>
        <w:rPr>
          <w:rFonts w:hint="eastAsia" w:ascii="仿宋_GB2312" w:hAnsi="仿宋_GB2312" w:eastAsia="仿宋_GB2312" w:cs="仿宋_GB2312"/>
          <w:color w:val="auto"/>
          <w:sz w:val="32"/>
          <w:szCs w:val="32"/>
          <w:highlight w:val="none"/>
          <w:lang w:val="en-US" w:eastAsia="zh-CN"/>
        </w:rPr>
      </w:pPr>
    </w:p>
    <w:p>
      <w:pPr>
        <w:jc w:val="center"/>
        <w:outlineLvl w:val="9"/>
        <w:rPr>
          <w:rFonts w:hint="eastAsia" w:ascii="仿宋_GB2312" w:hAnsi="仿宋_GB2312" w:eastAsia="仿宋_GB2312" w:cs="仿宋_GB2312"/>
          <w:color w:val="auto"/>
          <w:sz w:val="32"/>
          <w:szCs w:val="32"/>
          <w:highlight w:val="none"/>
          <w:lang w:val="en-US" w:eastAsia="zh-CN"/>
        </w:rPr>
      </w:pPr>
    </w:p>
    <w:p>
      <w:pPr>
        <w:jc w:val="center"/>
        <w:outlineLvl w:val="9"/>
        <w:rPr>
          <w:rFonts w:hint="eastAsia" w:ascii="仿宋_GB2312" w:hAnsi="仿宋_GB2312" w:eastAsia="仿宋_GB2312" w:cs="仿宋_GB2312"/>
          <w:color w:val="auto"/>
          <w:sz w:val="32"/>
          <w:szCs w:val="32"/>
          <w:highlight w:val="none"/>
          <w:lang w:val="en-US" w:eastAsia="zh-CN"/>
        </w:rPr>
      </w:pPr>
    </w:p>
    <w:tbl>
      <w:tblPr>
        <w:tblStyle w:val="8"/>
        <w:tblW w:w="138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194"/>
        <w:gridCol w:w="1016"/>
        <w:gridCol w:w="1016"/>
        <w:gridCol w:w="960"/>
        <w:gridCol w:w="859"/>
        <w:gridCol w:w="1050"/>
        <w:gridCol w:w="1664"/>
        <w:gridCol w:w="2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2"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1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0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213"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9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0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1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6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5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66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08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94"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8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194"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8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194"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1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5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08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1"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1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8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81" w:type="dxa"/>
            <w:gridSpan w:val="4"/>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153.31</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141.98</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124.66</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124.66</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其他职业教育支出</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124.66</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113.34</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19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0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19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19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19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832"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6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3956"/>
        <w:gridCol w:w="1209"/>
        <w:gridCol w:w="1350"/>
        <w:gridCol w:w="1364"/>
        <w:gridCol w:w="1363"/>
        <w:gridCol w:w="1568"/>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28"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505" w:type="dxa"/>
            <w:gridSpan w:val="4"/>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6123"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505"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6123"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0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50"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4"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63"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68"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28"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6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6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82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6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6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82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0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64"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6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828"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46"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0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3"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8"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46"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319.43</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312.65</w:t>
            </w:r>
          </w:p>
        </w:tc>
        <w:tc>
          <w:tcPr>
            <w:tcW w:w="13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w:t>
            </w:r>
          </w:p>
        </w:tc>
        <w:tc>
          <w:tcPr>
            <w:tcW w:w="13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6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8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290.78</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284.00</w:t>
            </w:r>
          </w:p>
        </w:tc>
        <w:tc>
          <w:tcPr>
            <w:tcW w:w="13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284.00</w:t>
            </w: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其他职业教育支出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284.00</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284.00</w:t>
            </w: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95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2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3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0"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95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20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82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28"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6"/>
        <w:gridCol w:w="436"/>
        <w:gridCol w:w="876"/>
        <w:gridCol w:w="2832"/>
        <w:gridCol w:w="612"/>
        <w:gridCol w:w="1009"/>
        <w:gridCol w:w="1432"/>
        <w:gridCol w:w="1759"/>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18"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7832" w:type="dxa"/>
            <w:gridSpan w:val="5"/>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5986"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3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5986"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3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430" w:type="dxa"/>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7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83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09"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3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759"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78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307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3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1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09"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43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759"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78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6"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2" w:type="dxa"/>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0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一、一般公共服务支出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三、国有资本经营财政拨款</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279.46</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279.46</w:t>
            </w: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七、文化旅游体育与传媒支出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八、社会保障和就业支出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十一、城乡社区支出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十二、农林水支出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十三、交通运输支出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十四、资源勘探工业信息等支出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十五、商业服务业等支出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十六、金融支出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十七、援助其他地区支出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十八、自然资源海洋气象等支出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十九、住房保障支出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二十、粮油物资储备支出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二十一、国有资本经营预算支出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二十二、灾害防治及应急管理支出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二十三、其他支出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0"/>
                <w:szCs w:val="20"/>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二十四、债务还本支出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二十五、债务付息支出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二十六、抗疫特别国债安排的支出</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141.98</w:t>
            </w: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308.10</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308.10</w:t>
            </w: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166.12</w:t>
            </w: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166.12</w:t>
            </w:r>
          </w:p>
        </w:tc>
        <w:tc>
          <w:tcPr>
            <w:tcW w:w="28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832"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0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4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000000" w:sz="8"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7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308.10</w:t>
            </w:r>
          </w:p>
        </w:tc>
        <w:tc>
          <w:tcPr>
            <w:tcW w:w="28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0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308.10</w:t>
            </w:r>
          </w:p>
        </w:tc>
        <w:tc>
          <w:tcPr>
            <w:tcW w:w="14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308.10</w:t>
            </w:r>
          </w:p>
        </w:tc>
        <w:tc>
          <w:tcPr>
            <w:tcW w:w="175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78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13818"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6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4065"/>
        <w:gridCol w:w="2453"/>
        <w:gridCol w:w="3077"/>
        <w:gridCol w:w="2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14"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46" w:type="dxa"/>
            <w:gridSpan w:val="3"/>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59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46"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596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1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21"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65"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53"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0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91"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128"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065"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45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0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91"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4065"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245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30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891"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193"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93"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308.10</w:t>
            </w:r>
          </w:p>
        </w:tc>
        <w:tc>
          <w:tcPr>
            <w:tcW w:w="3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301.32</w:t>
            </w:r>
          </w:p>
        </w:tc>
        <w:tc>
          <w:tcPr>
            <w:tcW w:w="289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279.46</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272.68</w:t>
            </w:r>
          </w:p>
        </w:tc>
        <w:tc>
          <w:tcPr>
            <w:tcW w:w="28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30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8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30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8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272.68</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272.68</w:t>
            </w: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2050399</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其他职业教育支出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272.68</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272.68</w:t>
            </w: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06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245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07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12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06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5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8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14"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1"/>
        <w:gridCol w:w="2277"/>
        <w:gridCol w:w="1084"/>
        <w:gridCol w:w="950"/>
        <w:gridCol w:w="1727"/>
        <w:gridCol w:w="1540"/>
        <w:gridCol w:w="1350"/>
        <w:gridCol w:w="2264"/>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30"/>
                <w:szCs w:val="30"/>
                <w:u w:val="none"/>
                <w:lang w:val="en-US" w:eastAsia="zh-CN" w:bidi="ar"/>
              </w:rPr>
            </w:pPr>
          </w:p>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9" w:type="dxa"/>
            <w:gridSpan w:val="6"/>
            <w:tcBorders>
              <w:top w:val="nil"/>
              <w:left w:val="nil"/>
              <w:bottom w:val="nil"/>
              <w:right w:val="nil"/>
            </w:tcBorders>
            <w:noWrap/>
            <w:vAlign w:val="bottom"/>
          </w:tcPr>
          <w:p>
            <w:pPr>
              <w:jc w:val="center"/>
              <w:rPr>
                <w:rFonts w:hint="eastAsia" w:ascii="Arial" w:hAnsi="Arial" w:cs="Arial"/>
                <w:i w:val="0"/>
                <w:iCs w:val="0"/>
                <w:color w:val="000000"/>
                <w:sz w:val="20"/>
                <w:szCs w:val="20"/>
                <w:u w:val="none"/>
              </w:rPr>
            </w:pPr>
          </w:p>
        </w:tc>
        <w:tc>
          <w:tcPr>
            <w:tcW w:w="5346"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0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5346"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0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63" w:type="dxa"/>
            <w:gridSpan w:val="6"/>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8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2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35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264"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32"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2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8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9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72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4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264"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732"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237.06</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63.81</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81.32</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41.64</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46.51</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0.28</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3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26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264"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2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5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3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264"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277"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08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5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5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2264"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173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08"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0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237.51</w:t>
            </w:r>
          </w:p>
        </w:tc>
        <w:tc>
          <w:tcPr>
            <w:tcW w:w="7831" w:type="dxa"/>
            <w:gridSpan w:val="5"/>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73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655"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086"/>
        <w:gridCol w:w="666"/>
        <w:gridCol w:w="784"/>
        <w:gridCol w:w="316"/>
        <w:gridCol w:w="967"/>
        <w:gridCol w:w="777"/>
        <w:gridCol w:w="806"/>
        <w:gridCol w:w="800"/>
        <w:gridCol w:w="634"/>
        <w:gridCol w:w="1895"/>
        <w:gridCol w:w="1909"/>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96" w:type="dxa"/>
            <w:gridSpan w:val="1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6"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8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3"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38"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058" w:type="dxa"/>
            <w:gridSpan w:val="8"/>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8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538" w:type="dxa"/>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2"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8144" w:type="dxa"/>
            <w:gridSpan w:val="6"/>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733" w:type="dxa"/>
            <w:gridSpan w:val="4"/>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777"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80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4438" w:type="dxa"/>
            <w:gridSpan w:val="3"/>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2100"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56"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6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0"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6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777"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0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80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63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0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2100"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3" w:type="dxa"/>
            <w:gridSpan w:val="2"/>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7"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06"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34"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5"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09"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00" w:type="dxa"/>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08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83"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7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8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90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2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396" w:type="dxa"/>
            <w:gridSpan w:val="1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5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3"/>
        <w:gridCol w:w="1349"/>
        <w:gridCol w:w="1346"/>
        <w:gridCol w:w="1346"/>
        <w:gridCol w:w="1346"/>
        <w:gridCol w:w="2333"/>
        <w:gridCol w:w="2195"/>
        <w:gridCol w:w="2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8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0" w:type="dxa"/>
            <w:gridSpan w:val="5"/>
            <w:tcBorders>
              <w:top w:val="nil"/>
              <w:left w:val="nil"/>
              <w:bottom w:val="nil"/>
              <w:right w:val="nil"/>
            </w:tcBorders>
            <w:noWrap/>
            <w:vAlign w:val="bottom"/>
          </w:tcPr>
          <w:p>
            <w:pPr>
              <w:jc w:val="left"/>
              <w:rPr>
                <w:rFonts w:hint="eastAsia" w:ascii="Arial" w:hAnsi="Arial" w:cs="Arial"/>
                <w:i w:val="0"/>
                <w:iCs w:val="0"/>
                <w:color w:val="000000"/>
                <w:sz w:val="20"/>
                <w:szCs w:val="20"/>
                <w:u w:val="none"/>
              </w:rPr>
            </w:pPr>
          </w:p>
        </w:tc>
        <w:tc>
          <w:tcPr>
            <w:tcW w:w="684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0"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部门：许昌市中小学教师培训中心</w:t>
            </w:r>
          </w:p>
        </w:tc>
        <w:tc>
          <w:tcPr>
            <w:tcW w:w="684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46"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874" w:type="dxa"/>
            <w:gridSpan w:val="3"/>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319" w:type="dxa"/>
            <w:vMerge w:val="restart"/>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vMerge w:val="restart"/>
            <w:tcBorders>
              <w:top w:val="nil"/>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349" w:type="dxa"/>
            <w:vMerge w:val="restart"/>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6"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333"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95" w:type="dxa"/>
            <w:vMerge w:val="restart"/>
            <w:tcBorders>
              <w:top w:val="nil"/>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1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31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vMerge w:val="continue"/>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9" w:type="dxa"/>
            <w:vMerge w:val="continue"/>
            <w:tcBorders>
              <w:top w:val="nil"/>
              <w:left w:val="nil"/>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46"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333"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195" w:type="dxa"/>
            <w:vMerge w:val="continue"/>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2319" w:type="dxa"/>
            <w:vMerge w:val="continue"/>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2"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3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02" w:type="dxa"/>
            <w:gridSpan w:val="2"/>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3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3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33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19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31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19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8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2021年度收、支总计均为319.43万元。与上年度相比，收、支总计各减少20.39万元，下降6.00%。主要原因是疫情影响，培训活动减少。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2021年度收入合计153.31万元，其中：财政拨款收入141.98万元，占92.61%；上级补助收入0.00万元,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；事业收入0.00万元,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；经营收入0.00万元,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；附属单位上缴收入0.00万元,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；其他收入11.32万元,占7.39%。</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2021年度支出合计319.43万元，其中：基本支出312.65万元，占97.88%；项目支出6.78万元，占2.12%；上缴上级支出0.00万元,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；经营支出0.00万元,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；对附属单位补助支出0.00万元,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2021年度财政拨款收、支总计均为308.1万元。与上年度相比，财政拨款收、支总计各减少11.82万元，下降3.69%。主要原因是疫情影响，培训活动减少。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2021年度一般公共预算财政拨款支出308.1万元，占本年支出合计的96.45%。与上年度相比，一般公共预算财政拨款支出增加64.21万元，增长26.33%。主要原因是年底财政拨付资金，弥补单位经费不足。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2021年度一般公共预算财政拨款支出308.1万元，主要用于以下方面：教育（类）支出279.46万元，占90.70%；社会保障和就业（类）支出28.65万元，占9.30%。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2021年度一般公共预算财政拨款支出年初预算为332.6万元，支出决算为308.1万元，完成年初预算的92.63%。其中：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1．教育支出（类）职业教育（款）其他职业教育支出（项）。</w:t>
      </w:r>
      <w:r>
        <w:rPr>
          <w:rFonts w:hint="eastAsia" w:ascii="仿宋_GB2312" w:hAnsi="仿宋_GB2312" w:eastAsia="仿宋_GB2312" w:cs="仿宋_GB2312"/>
          <w:color w:val="auto"/>
          <w:sz w:val="32"/>
          <w:szCs w:val="32"/>
          <w:highlight w:val="none"/>
          <w:lang w:val="en-US" w:eastAsia="zh-CN"/>
        </w:rPr>
        <w:t>年初预算为246.18万元，支出决算为272.68万元，完成年初预算的110.76%。决算数与年初预算数存在差异的主要原因是年底财政拨付资金，弥补单位经费不足。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2．教育支出（类）普通教育（款）其他普通教育支出（项）。</w:t>
      </w:r>
      <w:r>
        <w:rPr>
          <w:rFonts w:hint="eastAsia" w:ascii="仿宋_GB2312" w:hAnsi="仿宋_GB2312" w:eastAsia="仿宋_GB2312" w:cs="仿宋_GB2312"/>
          <w:color w:val="auto"/>
          <w:sz w:val="32"/>
          <w:szCs w:val="32"/>
          <w:highlight w:val="none"/>
          <w:lang w:val="en-US" w:eastAsia="zh-CN"/>
        </w:rPr>
        <w:t>年初预算为6.78万元，支出决算为6.78万元，完成年初预算的100.00%。决算数与年初预算数不存在差异。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 机关事业单位基本养老保险缴费支出（项）。</w:t>
      </w:r>
      <w:r>
        <w:rPr>
          <w:rFonts w:hint="eastAsia" w:ascii="仿宋_GB2312" w:hAnsi="仿宋_GB2312" w:eastAsia="仿宋_GB2312" w:cs="仿宋_GB2312"/>
          <w:color w:val="auto"/>
          <w:sz w:val="32"/>
          <w:szCs w:val="32"/>
          <w:highlight w:val="none"/>
          <w:lang w:val="en-US" w:eastAsia="zh-CN"/>
        </w:rPr>
        <w:t>年初预算为60万元，支出决算为27.75万元，完成年初预算的46.25%。决算数与年初预算数存在差异的主要原因是用其他职业教育支出资金项列支了部分养老保险缴费支出。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4．社会保障和就业支出（类）行政事业单位养老支出（款） 机关事业单位年金缴费支出（项）。</w:t>
      </w:r>
      <w:r>
        <w:rPr>
          <w:rFonts w:hint="eastAsia" w:ascii="仿宋_GB2312" w:hAnsi="仿宋_GB2312" w:eastAsia="仿宋_GB2312" w:cs="仿宋_GB2312"/>
          <w:color w:val="auto"/>
          <w:sz w:val="32"/>
          <w:szCs w:val="32"/>
          <w:highlight w:val="none"/>
          <w:lang w:val="en-US" w:eastAsia="zh-CN"/>
        </w:rPr>
        <w:t>年初预算为11万元，支出决算为0.89万元，完成年初预算的8.09%。决算数与年初预算数存在差异的主要原因是用其他职业教育支出资金项列支了部分单位年金缴费支出。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一般公共预算财政拨款基本支出301.32万元。其中：人员经费237.51万元，主要包括：基本工资、奖金、绩效工资、机关事业单位基本养老保险缴费、职业年金缴费、职工基本医疗保险缴费、其他社会保障缴费、住房公积金；公用经费63.81万元，主要包括：办公费、水费、电费、邮电费、差旅费、维修（护）费、劳务费、</w:t>
      </w:r>
      <w:r>
        <w:rPr>
          <w:rFonts w:hint="eastAsia" w:ascii="仿宋_GB2312" w:hAnsi="仿宋_GB2312" w:eastAsia="仿宋_GB2312"/>
          <w:sz w:val="32"/>
          <w:szCs w:val="24"/>
          <w:lang w:val="en-US"/>
        </w:rPr>
        <w:t>委托业务费、</w:t>
      </w:r>
      <w:r>
        <w:rPr>
          <w:rFonts w:hint="eastAsia" w:ascii="仿宋_GB2312" w:hAnsi="仿宋_GB2312" w:eastAsia="仿宋_GB2312" w:cs="仿宋_GB2312"/>
          <w:color w:val="auto"/>
          <w:sz w:val="32"/>
          <w:szCs w:val="32"/>
          <w:highlight w:val="none"/>
          <w:lang w:val="en-US" w:eastAsia="zh-CN"/>
        </w:rPr>
        <w:t>福利费、公务用车运行维护费、税金及附加费用。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2021年度“三公”经费财政拨款支出预算为4.00万元，支出决算为3.98万元，完成预算的99.60%。2021年度“三公”经费支出决算数与预算数存在差异的主要原因是</w:t>
      </w:r>
      <w:r>
        <w:rPr>
          <w:rFonts w:hint="eastAsia" w:ascii="仿宋_GB2312" w:hAnsi="仿宋_GB2312" w:eastAsia="仿宋_GB2312" w:cs="仿宋_GB2312"/>
          <w:sz w:val="32"/>
          <w:szCs w:val="32"/>
          <w:highlight w:val="none"/>
        </w:rPr>
        <w:t>节约油修费用</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2021年度“三公”经费财政拨款支出决算中，因公出国（境）费支出决算0.00万元，</w:t>
      </w:r>
      <w:r>
        <w:rPr>
          <w:rFonts w:hint="eastAsia" w:ascii="仿宋_GB2312" w:hAnsi="仿宋_GB2312" w:eastAsia="仿宋_GB2312"/>
          <w:sz w:val="32"/>
          <w:szCs w:val="24"/>
          <w:lang w:val="en-US"/>
        </w:rPr>
        <w:t>完成预算的0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r>
        <w:rPr>
          <w:rFonts w:hint="eastAsia" w:ascii="仿宋_GB2312" w:hAnsi="仿宋_GB2312" w:eastAsia="仿宋_GB2312" w:cs="仿宋_GB2312"/>
          <w:color w:val="auto"/>
          <w:sz w:val="32"/>
          <w:szCs w:val="32"/>
          <w:highlight w:val="none"/>
          <w:lang w:val="en-US" w:eastAsia="zh-CN"/>
        </w:rPr>
        <w:t>；公务用车购置及运行费支出决算3.98万元，完成预算的99.60%，占100%；公务接待费支出决算0.00万元，</w:t>
      </w:r>
      <w:r>
        <w:rPr>
          <w:rFonts w:hint="eastAsia" w:ascii="仿宋_GB2312" w:hAnsi="仿宋_GB2312" w:eastAsia="仿宋_GB2312"/>
          <w:sz w:val="32"/>
          <w:szCs w:val="24"/>
          <w:lang w:val="en-US"/>
        </w:rPr>
        <w:t>完成预算的0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%，占0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w:t>
      </w:r>
      <w:r>
        <w:rPr>
          <w:rFonts w:hint="eastAsia" w:ascii="仿宋_GB2312" w:hAnsi="仿宋_GB2312" w:eastAsia="仿宋_GB2312" w:cs="仿宋_GB2312"/>
          <w:color w:val="auto"/>
          <w:sz w:val="32"/>
          <w:szCs w:val="32"/>
          <w:highlight w:val="none"/>
          <w:lang w:val="en-US" w:eastAsia="zh-CN"/>
        </w:rPr>
        <w:t>。具体情况如下：</w:t>
      </w:r>
    </w:p>
    <w:p>
      <w:pPr>
        <w:autoSpaceDE w:val="0"/>
        <w:autoSpaceDN w:val="0"/>
        <w:adjustRightInd w:val="0"/>
        <w:ind w:firstLine="642"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预算为0.00万元，支出决算为0.00万元。决算数与预算数不存在差异。因公出国（境）团组数0个，因公出国（境）人次数0人。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2．公务用车购置及运行费</w:t>
      </w:r>
      <w:r>
        <w:rPr>
          <w:rFonts w:hint="eastAsia" w:ascii="仿宋_GB2312" w:hAnsi="仿宋_GB2312" w:eastAsia="仿宋_GB2312" w:cs="仿宋_GB2312"/>
          <w:color w:val="auto"/>
          <w:sz w:val="32"/>
          <w:szCs w:val="32"/>
          <w:highlight w:val="none"/>
          <w:lang w:val="en-US" w:eastAsia="zh-CN"/>
        </w:rPr>
        <w:t>预算为4.00万元，支出决算为3.98万元，完成预算的99.6%。决算数与预算数存在差异的主要原因是</w:t>
      </w:r>
      <w:r>
        <w:rPr>
          <w:rFonts w:hint="eastAsia" w:ascii="仿宋_GB2312" w:hAnsi="仿宋_GB2312" w:eastAsia="仿宋_GB2312" w:cs="仿宋_GB2312"/>
          <w:sz w:val="32"/>
          <w:szCs w:val="32"/>
          <w:highlight w:val="none"/>
        </w:rPr>
        <w:t>节约油修费用。其中：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3.98万元。主要用于</w:t>
      </w:r>
      <w:r>
        <w:rPr>
          <w:rFonts w:hint="eastAsia" w:ascii="仿宋_GB2312" w:hAnsi="仿宋_GB2312" w:eastAsia="仿宋_GB2312" w:cs="仿宋_GB2312"/>
          <w:sz w:val="32"/>
          <w:szCs w:val="32"/>
          <w:highlight w:val="none"/>
        </w:rPr>
        <w:t>培训活动用车</w:t>
      </w:r>
      <w:r>
        <w:rPr>
          <w:rFonts w:hint="eastAsia" w:ascii="仿宋_GB2312" w:hAnsi="仿宋_GB2312" w:eastAsia="仿宋_GB2312" w:cs="仿宋_GB2312"/>
          <w:color w:val="auto"/>
          <w:sz w:val="32"/>
          <w:szCs w:val="32"/>
          <w:highlight w:val="none"/>
          <w:lang w:val="en-US" w:eastAsia="zh-CN"/>
        </w:rPr>
        <w:t>。2021年期末，单位开支财政拨款的公务用车保有量为2辆。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3.公务接待费</w:t>
      </w:r>
      <w:r>
        <w:rPr>
          <w:rFonts w:hint="eastAsia" w:ascii="仿宋_GB2312" w:hAnsi="仿宋_GB2312" w:eastAsia="仿宋_GB2312" w:cs="仿宋_GB2312"/>
          <w:color w:val="auto"/>
          <w:sz w:val="32"/>
          <w:szCs w:val="32"/>
          <w:highlight w:val="none"/>
          <w:lang w:val="en-US" w:eastAsia="zh-CN"/>
        </w:rPr>
        <w:t>预算为0.00万元，支出决算为0.00万元。决算数与预算数存在差异的主要原因是</w:t>
      </w:r>
      <w:r>
        <w:rPr>
          <w:rFonts w:hint="eastAsia" w:ascii="仿宋_GB2312" w:hAnsi="仿宋_GB2312" w:eastAsia="仿宋_GB2312" w:cs="仿宋_GB2312"/>
          <w:sz w:val="32"/>
          <w:szCs w:val="32"/>
          <w:highlight w:val="none"/>
        </w:rPr>
        <w:t>无公务接待</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0.00万元。2021年共接待国（境）外来访团组0个、来访外宾0人次（不包括陪同人员）。</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其他国内公务接待支出</w:t>
      </w:r>
      <w:r>
        <w:rPr>
          <w:rFonts w:hint="eastAsia" w:ascii="仿宋_GB2312" w:hAnsi="仿宋_GB2312" w:eastAsia="仿宋_GB2312" w:cs="仿宋_GB2312"/>
          <w:color w:val="auto"/>
          <w:sz w:val="32"/>
          <w:szCs w:val="32"/>
          <w:highlight w:val="none"/>
          <w:lang w:val="en-US" w:eastAsia="zh-CN"/>
        </w:rPr>
        <w:t>0.00万元。2021年共接待国内来访团组0个、来宾0人次（不包括陪同人员）。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sz w:val="32"/>
          <w:szCs w:val="32"/>
          <w:highlight w:val="none"/>
        </w:rPr>
        <w:t>年度政府性基金预算财政拨款支出年初预算为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万元，我单位</w:t>
      </w:r>
      <w:r>
        <w:rPr>
          <w:rFonts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sz w:val="32"/>
          <w:szCs w:val="32"/>
          <w:highlight w:val="none"/>
        </w:rPr>
        <w:t>政府采购支出总额</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万元，其中：政府采购货物支出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万元、政府采购工程支出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万元、政府采购服务支出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万元。授予中小企业合同金额</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万元，其中：授予小微企业合同金额</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sz w:val="32"/>
          <w:szCs w:val="32"/>
          <w:highlight w:val="none"/>
        </w:rPr>
        <w:t>年期末，我部门共有车辆</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辆，其中：省级领导干部用车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辆、主要领导干部用车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辆、机要通信用车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辆、应急保障车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辆、执法执勤用车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辆、特种专业技术用车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辆、离退休干部用车</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辆、其他用车</w:t>
      </w:r>
      <w:r>
        <w:rPr>
          <w:rFonts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t>辆；单位价值</w:t>
      </w:r>
      <w:r>
        <w:rPr>
          <w:rFonts w:ascii="仿宋_GB2312" w:hAnsi="仿宋_GB2312" w:eastAsia="仿宋_GB2312" w:cs="仿宋_GB2312"/>
          <w:sz w:val="32"/>
          <w:szCs w:val="32"/>
          <w:highlight w:val="none"/>
        </w:rPr>
        <w:t>50</w:t>
      </w:r>
      <w:r>
        <w:rPr>
          <w:rFonts w:hint="eastAsia" w:ascii="仿宋_GB2312" w:hAnsi="仿宋_GB2312" w:eastAsia="仿宋_GB2312" w:cs="仿宋_GB2312"/>
          <w:sz w:val="32"/>
          <w:szCs w:val="32"/>
          <w:highlight w:val="none"/>
        </w:rPr>
        <w:t>万元以上通用设备</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台（套），单位价值</w:t>
      </w:r>
      <w:r>
        <w:rPr>
          <w:rFonts w:ascii="仿宋_GB2312" w:hAnsi="仿宋_GB2312" w:eastAsia="仿宋_GB2312" w:cs="仿宋_GB2312"/>
          <w:sz w:val="32"/>
          <w:szCs w:val="32"/>
          <w:highlight w:val="none"/>
        </w:rPr>
        <w:t>100</w:t>
      </w:r>
      <w:r>
        <w:rPr>
          <w:rFonts w:hint="eastAsia" w:ascii="仿宋_GB2312" w:hAnsi="仿宋_GB2312" w:eastAsia="仿宋_GB2312" w:cs="仿宋_GB2312"/>
          <w:sz w:val="32"/>
          <w:szCs w:val="32"/>
          <w:highlight w:val="none"/>
        </w:rPr>
        <w:t>万元以上专用设备</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lang w:eastAsia="zh-CN"/>
        </w:rPr>
        <w:t>许昌市中小学教师培训中心</w:t>
      </w:r>
      <w:r>
        <w:rPr>
          <w:rFonts w:hint="eastAsia" w:ascii="仿宋_GB2312" w:hAnsi="仿宋_GB2312" w:eastAsia="仿宋_GB2312" w:cs="仿宋_GB2312"/>
          <w:sz w:val="32"/>
          <w:szCs w:val="32"/>
        </w:rPr>
        <w:t>按照绩效管理工作的要求，认真组织相关人员积极参加财政部门组织的绩效评价业务培训，结合</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自身情况开展绩效目标申报、绩效监控、绩效自评等工作，并及时跟进绩效评价结果。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2021年部门整体绩效自评结果良好。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642" w:firstLineChars="200"/>
        <w:outlineLvl w:val="2"/>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w:t>
      </w:r>
      <w:r>
        <w:rPr>
          <w:rFonts w:hint="eastAsia" w:ascii="楷体_GB2312" w:hAnsi="楷体_GB2312" w:eastAsia="楷体_GB2312" w:cs="楷体_GB2312"/>
          <w:b/>
          <w:bCs/>
          <w:sz w:val="32"/>
          <w:szCs w:val="32"/>
          <w:highlight w:val="none"/>
          <w:lang w:val="en-US" w:eastAsia="zh-CN"/>
        </w:rPr>
        <w:t>重点</w:t>
      </w:r>
      <w:r>
        <w:rPr>
          <w:rFonts w:hint="eastAsia" w:ascii="楷体_GB2312" w:hAnsi="楷体_GB2312" w:eastAsia="楷体_GB2312" w:cs="楷体_GB2312"/>
          <w:b/>
          <w:bCs/>
          <w:sz w:val="32"/>
          <w:szCs w:val="32"/>
          <w:highlight w:val="none"/>
        </w:rPr>
        <w:t>绩效</w:t>
      </w:r>
      <w:r>
        <w:rPr>
          <w:rFonts w:hint="eastAsia" w:ascii="楷体_GB2312" w:hAnsi="楷体_GB2312" w:eastAsia="楷体_GB2312" w:cs="楷体_GB2312"/>
          <w:b/>
          <w:bCs/>
          <w:sz w:val="32"/>
          <w:szCs w:val="32"/>
          <w:highlight w:val="none"/>
          <w:lang w:eastAsia="zh-CN"/>
        </w:rPr>
        <w:t>评价</w:t>
      </w:r>
      <w:r>
        <w:rPr>
          <w:rFonts w:hint="eastAsia" w:ascii="楷体_GB2312" w:hAnsi="楷体_GB2312" w:eastAsia="楷体_GB2312" w:cs="楷体_GB2312"/>
          <w:b/>
          <w:bCs/>
          <w:sz w:val="32"/>
          <w:szCs w:val="32"/>
          <w:highlight w:val="none"/>
        </w:rPr>
        <w:t>结果。</w:t>
      </w:r>
    </w:p>
    <w:p>
      <w:pPr>
        <w:widowControl/>
        <w:spacing w:line="590" w:lineRule="exact"/>
        <w:ind w:firstLine="640" w:firstLineChars="200"/>
        <w:outlineLvl w:val="1"/>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2021年度我单位没有开展</w:t>
      </w:r>
      <w:r>
        <w:rPr>
          <w:rFonts w:hint="eastAsia" w:ascii="仿宋_GB2312" w:eastAsia="仿宋_GB2312" w:cs="仿宋_GB2312"/>
          <w:color w:val="000000"/>
          <w:sz w:val="32"/>
          <w:szCs w:val="32"/>
          <w:lang w:eastAsia="zh-CN" w:bidi="ar-SA"/>
        </w:rPr>
        <w:t>重点</w:t>
      </w:r>
      <w:r>
        <w:rPr>
          <w:rFonts w:hint="eastAsia" w:ascii="仿宋_GB2312" w:eastAsia="仿宋_GB2312" w:cs="仿宋_GB2312"/>
          <w:color w:val="000000"/>
          <w:sz w:val="32"/>
          <w:szCs w:val="32"/>
          <w:lang w:bidi="ar-SA"/>
        </w:rPr>
        <w:t>绩效</w:t>
      </w:r>
      <w:r>
        <w:rPr>
          <w:rFonts w:hint="eastAsia" w:ascii="仿宋_GB2312" w:eastAsia="仿宋_GB2312" w:cs="仿宋_GB2312"/>
          <w:color w:val="000000"/>
          <w:sz w:val="32"/>
          <w:szCs w:val="32"/>
          <w:lang w:eastAsia="zh-CN" w:bidi="ar-SA"/>
        </w:rPr>
        <w:t>评价</w:t>
      </w:r>
      <w:r>
        <w:rPr>
          <w:rFonts w:hint="eastAsia" w:ascii="仿宋_GB2312" w:eastAsia="仿宋_GB2312" w:cs="仿宋_GB2312"/>
          <w:color w:val="000000"/>
          <w:sz w:val="32"/>
          <w:szCs w:val="32"/>
          <w:lang w:bidi="ar-SA"/>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p>
    <w:p>
      <w:pPr>
        <w:widowControl/>
        <w:ind w:firstLine="560" w:firstLineChars="200"/>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一、财政拨款收入：单位从同级政府财政部门取得的财政预算资金。</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二、事业收入：事业单位开展专业业务活动及其辅助活动取得的收入。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三、上级补助收入：事业单位从主管部门和上级单位取得的非财政补助收入。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四、附属单位上缴收入：事业单位取得附属独立核算单位根据有关规定上缴的收入。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五、经营收入：事业单位在专业业务活动及其辅助活动之外开展非独立核算经营活动取得的收入。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六、其他收入：单位取得的除“财政拨款收入”、“事业收入”、“上级补助收入”、“附属单位上缴收入”、“经营收入”以外的各项收入。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七、使用非财政拨款结余：指事业单位使用以前年度积累的非财政拨款结余弥补当年收支差额的金额。</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八、基本支出：为保障机构正常运转、完成日常工作任务而发生的人员支出和公用支出。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九、项目支出：基本支出之外为完成特定行政任务和事业发展目标所发生的支出。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十二、工资福利支出：单位支付给在职职工和编制外长期聘用人员的各类劳动报酬，以及为上述人员缴纳的各项社会保险费等。</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十三、商品和服务支出：单位购买商品和服务的支出。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十四、对个人和家庭的补助支出：单位用于对个人和家庭的补助支出。</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十五、年末结转：本年度或以前年度预算安排，已执行但尚未完成或因客观条件发生变化无法按原计划实施，需延迟到以后年度按有关规定继续使用的资金。</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十六、年末结余：本年度或以前年度预算安排，已执行完毕或因客观条件发生变化无法按原预算安排实施，不需要再使用或无法按原预算安排继续使用的资金。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xd+CHgAQAAwQMAAA4AAABkcnMv&#10;ZTJvRG9jLnhtbK1TzY7TMBC+I/EOlu802QhQVTVdAdUiJARICw/gOk5jyX+acZuUB4A34MSFO8/V&#10;59ixk3RhueyBSzKeGX8z3zfj9fVgDTsqQO1dza8WJWfKSd9ot6/5l883z5acYRSuEcY7VfOTQn69&#10;efpk3YeVqnznTaOAEYjDVR9q3sUYVkWBslNW4MIH5SjYerAi0hH2RQOiJ3RriqosXxa9hyaAlwqR&#10;vNsxyCdEeAygb1st1dbLg1UujqigjIhECTsdkG9yt22rZPzYtqgiMzUnpjF/qQjZu/QtNmux2oMI&#10;nZZTC+IxLTzgZIV2VPQCtRVRsAPof6CsluDRt3EhvS1GIlkRYnFVPtDmthNBZS4kNYaL6Pj/YOWH&#10;4ydguql5xZkTlgZ+/vH9/PP3+dc3VpUvnieF+oArSrwNlBqH136gvZn9SM5EfGjBpj9RYhQnfU8X&#10;fdUQmUyXltVyWVJIUmw+EH5xfz0AxrfKW5aMmgMNMOsqju8xjqlzSqrm/I02Jg/RuL8chJk8Rep9&#10;7DFZcdgNE6Gdb07Eh14C1ek8fOWspz2ouaO158y8cyRzWpnZgNnYzYZwki7WPHI2mm/iuFqHAHrf&#10;5WVLTWF4dYjUaSaQ2hhrT93RZLME0xam1fnznLPuX97m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GQDAABfcmVscy8ucmVsc1BLAQIUABQAAAAI&#10;AIdO4kB+5uUg9wAAAOEBAAATAAAAAAAAAAEAIAAAAF4EAABbQ29udGVudF9UeXBlc10ueG1sUEsB&#10;AhQACgAAAAAAh07iQAAAAAAAAAAAAAAAAAYAAAAAAAAAAAAQAAAAQAMAAF9yZWxzL1BLAQIUABQA&#10;AAAIAIdO4kDcXfgh4AEAAMEDAAAOAAAAAAAAAAEAIAAAADQBAABkcnMvZTJvRG9jLnhtbFBLAQIU&#10;ABQAAAAIAIdO4kDOqXm5zwAAAAUBAAAPAAAAAAAAAAEAIAAAADgAAABkcnMvZG93bnJldi54bWxQ&#10;SwECFAAKAAAAAACHTuJAAAAAAAAAAAAAAAAABAAAAAAAAAAAABAAAAAWAAAAZHJzL1BLBQYAAAAA&#10;BgAGAFkBAACG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OVRwbgAQAAwQMAAA4AAABkcnMv&#10;ZTJvRG9jLnhtbK1TS44TMRDdI3EHy3viThYQtdIZAdEgJARIAwdw3O60JdtluZx0hwPADVixYc+5&#10;cg7K/cnAsJkFm+5yufzqvefy5qZ3lp10RAO+4stFwZn2CmrjDxX//On22ZozTNLX0oLXFT9r5Dfb&#10;p082XSj1ClqwtY6MQDyWXah4m1IohUDVaidxAUF72mwgOploGQ+ijrIjdGfFqiieiw5iHSIojUjZ&#10;3bjJJ8T4GEBoGqP0DtTRaZ9G1KitTCQJWxOQbwe2TaNV+tA0qBOzFSelafhSE4r3+Su2G1keogyt&#10;URMF+RgKDzQ5aTw1vULtZJLsGM0/UM6oCAhNWihwYhQyOEIqlsUDb+5aGfSghazGcDUd/x+sen/6&#10;GJmpaRI489LRhV++f7v8+HX5+ZUti9WL7FAXsKTCu0ClqX8Ffa6e8kjJLLxvost/ksRon/w9X/3V&#10;fWIqH1qv1uuCthTtzQvCEffHQ8T0RoNjOah4pAscfJWnd5jG0rkkd/Nwa6ylvCyt/ytBmDkjMveR&#10;Y45Sv+8n4nuoz6SHXgL1aSF+4ayjOai4p7HnzL71ZHMemTmIc7CfA+kVHax44mwMX6dxtI4hmkM7&#10;DFsmheHlMRHTQUCmMfae2NHNDhZMU5hH58/1UHX/8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CKFGY80QAAAJQBAAALAAAAAAAAAAEAIAAAAGQDAABfcmVscy8ucmVsc1BLAQIUABQAAAAI&#10;AIdO4kB+5uUg9wAAAOEBAAATAAAAAAAAAAEAIAAAAF4EAABbQ29udGVudF9UeXBlc10ueG1sUEsB&#10;AhQACgAAAAAAh07iQAAAAAAAAAAAAAAAAAYAAAAAAAAAAAAQAAAAQAMAAF9yZWxzL1BLAQIUABQA&#10;AAAIAIdO4kBDlUcG4AEAAMEDAAAOAAAAAAAAAAEAIAAAADQBAABkcnMvZTJvRG9jLnhtbFBLAQIU&#10;ABQAAAAIAIdO4kDOqXm5zwAAAAUBAAAPAAAAAAAAAAEAIAAAADgAAABkcnMvZG93bnJldi54bWxQ&#10;SwECFAAKAAAAAACHTuJAAAAAAAAAAAAAAAAABAAAAAAAAAAAABAAAAAWAAAAZHJzL1BLBQYAAAAA&#10;BgAGAFkBAACG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NeFG7LAQAAnAMAAA4AAABkcnMv&#10;ZTJvRG9jLnhtbK1TzY7TMBC+I/EOlu/U2aJFVdR0tahahIQAaeEBXMduLPlPHrdJXwDegBMX7jxX&#10;n4Oxk3RhuexhL854ZvzNfN9M1jeDNeQoI2jvGnq1qCiRTvhWu31Dv365e7WiBBJ3LTfeyYaeJNCb&#10;zcsX6z7Ucuk7b1oZCYI4qPvQ0C6lUDMGopOWw8IH6TCofLQ84TXuWRt5j+jWsGVVvWG9j22IXkgA&#10;9G7HIJ0Q41MAvVJayK0XBytdGlGjNDwhJeh0ALop3SolRfqkFMhETEORaSonFkF7l0+2WfN6H3no&#10;tJha4E9p4REny7XDoheoLU+cHKL+D8pqET14lRbCWzYSKYogi6vqkTb3HQ+ycEGpIVxEh+eDFR+P&#10;nyPRbUNfU+K4xYGff3w///x9/vWNLKvr66xQH6DGxPuAqWl46wfcm9kP6MzEBxVt/iIlgnHU93TR&#10;Vw6JiPxotVytKgwJjM0XxGcPz0OE9E56S7LR0IgDLLry4wdIY+qckqs5f6eNKUM07h8HYmYPy72P&#10;PWYrDbthIrTz7Qn59Dj7hjpcdUrMe4fS5jWZjTgbu9k4hKj3XdmjXA/C7SFhE6W3XGGEnQrj0Aq7&#10;acHyVvx9L1kPP9X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CKFGY80QAAAJQBAAALAAAA&#10;AAAAAAEAIAAAAE8DAABfcmVscy8ucmVsc1BLAQIUABQAAAAIAIdO4kB+5uUg9wAAAOEBAAATAAAA&#10;AAAAAAEAIAAAAEkEAABbQ29udGVudF9UeXBlc10ueG1sUEsBAhQACgAAAAAAh07iQAAAAAAAAAAA&#10;AAAAAAYAAAAAAAAAAAAQAAAAKwMAAF9yZWxzL1BLAQIUABQAAAAIAIdO4kCDXhRuywEAAJwDAAAO&#10;AAAAAAAAAAEAIAAAADQBAABkcnMvZTJvRG9jLnhtbFBLAQIUABQAAAAIAIdO4kDOqXm5zwAAAAUB&#10;AAAPAAAAAAAAAAEAIAAAADgAAABkcnMvZG93bnJldi54bWxQSwECFAAKAAAAAACHTuJAAAAAAAAA&#10;AAAAAAAABAAAAAAAAAAAABAAAAAWAAAAZHJzL1BLBQYAAAAABgAGAFkBAABx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zZGJjYWY5ZjhlZmZmMGMxYTk1ZWU3MmU2MDBjYzUifQ=="/>
  </w:docVars>
  <w:rsids>
    <w:rsidRoot w:val="00172A27"/>
    <w:rsid w:val="005A0C07"/>
    <w:rsid w:val="076473A2"/>
    <w:rsid w:val="0E1453B6"/>
    <w:rsid w:val="121C03E7"/>
    <w:rsid w:val="137303CC"/>
    <w:rsid w:val="1B1804D6"/>
    <w:rsid w:val="1B2C1C56"/>
    <w:rsid w:val="23186AAE"/>
    <w:rsid w:val="27AA7C57"/>
    <w:rsid w:val="27F62CE4"/>
    <w:rsid w:val="37053E66"/>
    <w:rsid w:val="393030B8"/>
    <w:rsid w:val="3C602C92"/>
    <w:rsid w:val="437F3566"/>
    <w:rsid w:val="469504BE"/>
    <w:rsid w:val="4A470EE6"/>
    <w:rsid w:val="52233625"/>
    <w:rsid w:val="5BEE191E"/>
    <w:rsid w:val="5FFFCCFE"/>
    <w:rsid w:val="60642CB5"/>
    <w:rsid w:val="6BE37AE4"/>
    <w:rsid w:val="799451E7"/>
    <w:rsid w:val="7D6347BE"/>
    <w:rsid w:val="7E2CB61F"/>
    <w:rsid w:val="7E8A2B6D"/>
    <w:rsid w:val="B6F7C3F5"/>
    <w:rsid w:val="BFFA95F4"/>
    <w:rsid w:val="C7F8ADB8"/>
    <w:rsid w:val="DBEE4078"/>
    <w:rsid w:val="E3BF4FD9"/>
    <w:rsid w:val="F7F7333C"/>
    <w:rsid w:val="FFE62A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kern w:val="2"/>
      <w:sz w:val="18"/>
      <w:szCs w:val="18"/>
    </w:rPr>
  </w:style>
  <w:style w:type="paragraph" w:styleId="5">
    <w:name w:val="footer"/>
    <w:basedOn w:val="1"/>
    <w:link w:val="14"/>
    <w:qFormat/>
    <w:uiPriority w:val="0"/>
    <w:pPr>
      <w:tabs>
        <w:tab w:val="center" w:pos="4153"/>
        <w:tab w:val="right" w:pos="8306"/>
      </w:tabs>
      <w:snapToGrid w:val="0"/>
      <w:jc w:val="left"/>
    </w:pPr>
    <w:rPr>
      <w:kern w:val="2"/>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basedOn w:val="9"/>
    <w:qFormat/>
    <w:uiPriority w:val="0"/>
    <w:rPr>
      <w:vertAlign w:val="superscript"/>
    </w:rPr>
  </w:style>
  <w:style w:type="character" w:customStyle="1" w:styleId="13">
    <w:name w:val="批注框文本 Char Char"/>
    <w:basedOn w:val="9"/>
    <w:link w:val="4"/>
    <w:qFormat/>
    <w:uiPriority w:val="0"/>
    <w:rPr>
      <w:kern w:val="2"/>
      <w:sz w:val="18"/>
      <w:szCs w:val="18"/>
    </w:rPr>
  </w:style>
  <w:style w:type="character" w:customStyle="1" w:styleId="14">
    <w:name w:val="页脚 Char Char"/>
    <w:link w:val="5"/>
    <w:qFormat/>
    <w:uiPriority w:val="0"/>
    <w:rPr>
      <w:kern w:val="2"/>
      <w:sz w:val="18"/>
      <w:szCs w:val="18"/>
    </w:rPr>
  </w:style>
  <w:style w:type="character" w:customStyle="1" w:styleId="15">
    <w:name w:val="页眉 Char Char"/>
    <w:link w:val="6"/>
    <w:qFormat/>
    <w:uiPriority w:val="0"/>
    <w:rPr>
      <w:kern w:val="2"/>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5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0"/>
      <w:szCs w:val="20"/>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character" w:customStyle="1" w:styleId="20">
    <w:name w:val="font21"/>
    <w:basedOn w:val="9"/>
    <w:qFormat/>
    <w:uiPriority w:val="0"/>
    <w:rPr>
      <w:rFonts w:hint="eastAsia" w:ascii="宋体" w:hAnsi="宋体" w:eastAsia="宋体" w:cs="宋体"/>
      <w:color w:val="000000"/>
      <w:sz w:val="22"/>
      <w:szCs w:val="22"/>
      <w:u w:val="none"/>
    </w:rPr>
  </w:style>
  <w:style w:type="paragraph" w:customStyle="1" w:styleId="21">
    <w:name w:val="标题1"/>
    <w:basedOn w:val="2"/>
    <w:qFormat/>
    <w:uiPriority w:val="0"/>
    <w:pPr>
      <w:spacing w:before="0" w:beforeLines="0" w:after="0" w:afterLines="0" w:line="240" w:lineRule="auto"/>
      <w:jc w:val="center"/>
    </w:pPr>
    <w:rPr>
      <w:rFonts w:ascii="华文中宋" w:hAnsi="华文中宋" w:eastAsia="华文中宋"/>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6733</Words>
  <Characters>8200</Characters>
  <Lines>57</Lines>
  <Paragraphs>16</Paragraphs>
  <TotalTime>12</TotalTime>
  <ScaleCrop>false</ScaleCrop>
  <LinksUpToDate>false</LinksUpToDate>
  <CharactersWithSpaces>8404</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2023-02-17T10:54:00Z</cp:lastPrinted>
  <dcterms:modified xsi:type="dcterms:W3CDTF">2023-05-18T16:27:22Z</dcterms:modified>
  <dc:title>2020年度</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0DC2C15B189E4A5F8672B06819376C1E</vt:lpwstr>
  </property>
</Properties>
</file>