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许昌市业余体校单位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许昌市业余体校</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许昌市业余体校</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培养青少年体育苗子，为大专院校输送体育人才。体育教育与运动训练、体育专业培训。</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许昌市业余体校内设机构4个，包括：</w:t>
      </w:r>
      <w:r>
        <w:rPr>
          <w:rFonts w:hint="eastAsia" w:ascii="仿宋_GB2312" w:hAnsi="仿宋_GB2312" w:eastAsia="仿宋_GB2312" w:cs="仿宋_GB2312"/>
          <w:kern w:val="0"/>
          <w:sz w:val="32"/>
          <w:szCs w:val="32"/>
          <w:highlight w:val="none"/>
        </w:rPr>
        <w:t>办公室、总务科、教务科、学生科</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color w:val="auto"/>
          <w:kern w:val="0"/>
          <w:sz w:val="32"/>
          <w:szCs w:val="32"/>
          <w:highlight w:val="none"/>
          <w:lang w:val="en-US" w:eastAsia="zh-CN"/>
        </w:rPr>
        <w:t>许昌市业余体校</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许昌市业余体校</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0"/>
        <w:gridCol w:w="860"/>
        <w:gridCol w:w="1149"/>
        <w:gridCol w:w="4611"/>
        <w:gridCol w:w="860"/>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2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095"/>
        <w:gridCol w:w="1095"/>
        <w:gridCol w:w="1090"/>
        <w:gridCol w:w="1090"/>
        <w:gridCol w:w="1090"/>
        <w:gridCol w:w="1090"/>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8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215"/>
        <w:gridCol w:w="1215"/>
        <w:gridCol w:w="1209"/>
        <w:gridCol w:w="1209"/>
        <w:gridCol w:w="1209"/>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21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4"/>
        <w:gridCol w:w="557"/>
        <w:gridCol w:w="1116"/>
        <w:gridCol w:w="3973"/>
        <w:gridCol w:w="557"/>
        <w:gridCol w:w="970"/>
        <w:gridCol w:w="1083"/>
        <w:gridCol w:w="839"/>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5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35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2250"/>
        <w:gridCol w:w="2224"/>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656"/>
        <w:gridCol w:w="766"/>
        <w:gridCol w:w="439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187.90</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5"/>
        <w:gridCol w:w="1095"/>
        <w:gridCol w:w="1095"/>
        <w:gridCol w:w="1095"/>
        <w:gridCol w:w="1095"/>
        <w:gridCol w:w="1095"/>
        <w:gridCol w:w="1095"/>
        <w:gridCol w:w="1095"/>
        <w:gridCol w:w="1095"/>
        <w:gridCol w:w="1095"/>
        <w:gridCol w:w="109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1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57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14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说明：我单位没有预算安排的三公经费，也没有预算安排的三公支出，故本表无数据。</w:t>
      </w:r>
    </w:p>
    <w:tbl>
      <w:tblPr>
        <w:tblStyle w:val="5"/>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7"/>
        <w:gridCol w:w="1963"/>
        <w:gridCol w:w="1882"/>
        <w:gridCol w:w="1882"/>
        <w:gridCol w:w="1882"/>
        <w:gridCol w:w="1882"/>
        <w:gridCol w:w="1882"/>
        <w:gridCol w:w="1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3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：许昌市业余体校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25.75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11.78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本年度节约各项费用开支。</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156.25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156.25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25.75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11.78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本年度节约各项费用开支。</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15.81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8.93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业务需要，物价上涨</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一般公共服务（类）支出1.02万元，占0.53%；文化旅游体育与传媒（类）支出148.10万元，占76.83%；社会保障和就业（类）支出37.65万元，占19.53%；卫生健康（类）支出6.00万元，占3.11%。</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180.79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106.63</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文化旅游体育与传媒支出（类）体育（款）体育训练（项）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137.37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148.10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本年度加强体育训练</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年初预算为25.95万元，支出决算为26.01万元，完成年初预算的100.23%。决算数与年初预算数存在差异的主要原因是本年度退休人员支出增加。</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年初预算为11.25万元，支出决算为11.64万元，完成年初预算的103.47%。决算数与年初预算数存在差异的主要原因是本年度退休人员养老保险支出增加。</w:t>
      </w:r>
    </w:p>
    <w:p>
      <w:pPr>
        <w:widowControl/>
        <w:spacing w:line="590" w:lineRule="exact"/>
        <w:ind w:firstLine="643" w:firstLineChars="200"/>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年初预算为5.20万元，支出决算为6.00万元，完成年初预算的115.38%。决算数与年初预算数存在差异的主要原因是本年度</w:t>
      </w:r>
      <w:r>
        <w:rPr>
          <w:rFonts w:hint="eastAsia" w:ascii="仿宋_GB2312" w:hAnsi="仿宋_GB2312" w:eastAsia="仿宋_GB2312" w:cs="仿宋_GB2312"/>
          <w:b w:val="0"/>
          <w:bCs w:val="0"/>
          <w:color w:val="auto"/>
          <w:sz w:val="32"/>
          <w:szCs w:val="32"/>
          <w:highlight w:val="none"/>
          <w:lang w:val="en-US" w:eastAsia="zh-CN"/>
        </w:rPr>
        <w:t>事业单位医疗支出增加</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192.77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187.90</w:t>
      </w:r>
      <w:bookmarkStart w:id="0" w:name="_GoBack"/>
      <w:bookmarkEnd w:id="0"/>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基本工资、津贴补贴、奖金、绩效工资、机关事业单位基本养老保险缴费、职工基本医疗保险缴费、其他社会保障缴费、住房公积金、其他工资福利支出、退休费、生活补助；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4.87</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sz w:val="32"/>
          <w:szCs w:val="32"/>
          <w:highlight w:val="none"/>
          <w:lang w:eastAsia="zh-CN"/>
        </w:rPr>
        <w:t>办公费、印刷费、培训费、劳务费、</w:t>
      </w:r>
      <w:r>
        <w:rPr>
          <w:rFonts w:hint="eastAsia" w:ascii="仿宋_GB2312" w:hAnsi="仿宋_GB2312" w:eastAsia="仿宋_GB2312" w:cs="仿宋_GB2312"/>
          <w:color w:val="auto"/>
          <w:sz w:val="32"/>
          <w:szCs w:val="32"/>
          <w:highlight w:val="none"/>
          <w:lang w:val="en-US" w:eastAsia="zh-CN"/>
        </w:rPr>
        <w:t>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w:t>
      </w:r>
      <w:r>
        <w:rPr>
          <w:rFonts w:hint="eastAsia" w:ascii="仿宋_GB2312" w:hAnsi="仿宋_GB2312" w:eastAsia="仿宋_GB2312" w:cs="仿宋_GB2312"/>
          <w:sz w:val="32"/>
          <w:szCs w:val="32"/>
          <w:highlight w:val="none"/>
          <w:lang w:val="en-US" w:eastAsia="zh-CN"/>
        </w:rPr>
        <w:t>支出决算数与预算数不存在差异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许昌市业余体校2021年已全面开展绩效管理工作，根据财政局绩效科通知及要求，向本单位人员宣传绩效工作的重要性并组织本单位所有人员参与绩效培训，认真学习相关文件及课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是我单位2021年积极开展单位整体绩效自评工作，整体绩效执行率7分，产出指标得分46分，满意度指标得分9分，效益指标得分28分，自评得分90分。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许昌市财政局和我单位主管单位共选取我单位0个项目开展了单位重点绩效评价：0个项目等次为“优”、0个项目等次为“良”、0个项目等次为“中”、0个项目等次为“差”。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Y1OWQ1YzcwYjRiMWM4Yjk5Zjg0M2FkYzgzZD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970146"/>
    <w:rsid w:val="02A3489A"/>
    <w:rsid w:val="02CA138D"/>
    <w:rsid w:val="033646FC"/>
    <w:rsid w:val="03C75F80"/>
    <w:rsid w:val="0478364D"/>
    <w:rsid w:val="053D4C0D"/>
    <w:rsid w:val="0557532E"/>
    <w:rsid w:val="06234E87"/>
    <w:rsid w:val="0799329C"/>
    <w:rsid w:val="08397436"/>
    <w:rsid w:val="086F16A7"/>
    <w:rsid w:val="0A0F7225"/>
    <w:rsid w:val="0A2B7D82"/>
    <w:rsid w:val="0ADC40E9"/>
    <w:rsid w:val="0AE607F4"/>
    <w:rsid w:val="0B386127"/>
    <w:rsid w:val="0B451598"/>
    <w:rsid w:val="0BEC73F4"/>
    <w:rsid w:val="0C392698"/>
    <w:rsid w:val="10BD36F6"/>
    <w:rsid w:val="10D60254"/>
    <w:rsid w:val="11BF0649"/>
    <w:rsid w:val="11CB3DAE"/>
    <w:rsid w:val="11EE094F"/>
    <w:rsid w:val="123E3E08"/>
    <w:rsid w:val="12B02CB8"/>
    <w:rsid w:val="133212F4"/>
    <w:rsid w:val="13D22E22"/>
    <w:rsid w:val="161C2DFF"/>
    <w:rsid w:val="16373578"/>
    <w:rsid w:val="16D3336B"/>
    <w:rsid w:val="17200028"/>
    <w:rsid w:val="17806C36"/>
    <w:rsid w:val="178A1D29"/>
    <w:rsid w:val="17A74F62"/>
    <w:rsid w:val="18A47774"/>
    <w:rsid w:val="19251A8A"/>
    <w:rsid w:val="1A8D28EB"/>
    <w:rsid w:val="1A9F2D78"/>
    <w:rsid w:val="1B2E6FD8"/>
    <w:rsid w:val="1B877D21"/>
    <w:rsid w:val="1C4319A9"/>
    <w:rsid w:val="1DDB5E00"/>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8911E04"/>
    <w:rsid w:val="29365CF8"/>
    <w:rsid w:val="299469B3"/>
    <w:rsid w:val="2A805789"/>
    <w:rsid w:val="2ADC0D75"/>
    <w:rsid w:val="2B4A0E52"/>
    <w:rsid w:val="2BDC5E30"/>
    <w:rsid w:val="2BFF463C"/>
    <w:rsid w:val="2C585AC6"/>
    <w:rsid w:val="2C975890"/>
    <w:rsid w:val="2DEF21BB"/>
    <w:rsid w:val="2E4A2F05"/>
    <w:rsid w:val="2ECC1061"/>
    <w:rsid w:val="2ED747FA"/>
    <w:rsid w:val="2FA476AD"/>
    <w:rsid w:val="303F7540"/>
    <w:rsid w:val="31DD00BF"/>
    <w:rsid w:val="3293174C"/>
    <w:rsid w:val="32BB38D4"/>
    <w:rsid w:val="32C9376D"/>
    <w:rsid w:val="33780472"/>
    <w:rsid w:val="33AF0905"/>
    <w:rsid w:val="35584DBD"/>
    <w:rsid w:val="355932F4"/>
    <w:rsid w:val="35611882"/>
    <w:rsid w:val="35F25171"/>
    <w:rsid w:val="36746FC3"/>
    <w:rsid w:val="368763AE"/>
    <w:rsid w:val="37424819"/>
    <w:rsid w:val="3902655A"/>
    <w:rsid w:val="395D59E7"/>
    <w:rsid w:val="39A93932"/>
    <w:rsid w:val="3A915562"/>
    <w:rsid w:val="3B8D4765"/>
    <w:rsid w:val="3C000DBA"/>
    <w:rsid w:val="3DC045D3"/>
    <w:rsid w:val="3E504FFB"/>
    <w:rsid w:val="3E615CD0"/>
    <w:rsid w:val="3E9C47F6"/>
    <w:rsid w:val="3F8B0112"/>
    <w:rsid w:val="3FAB3095"/>
    <w:rsid w:val="3FE45947"/>
    <w:rsid w:val="40DE086C"/>
    <w:rsid w:val="41242965"/>
    <w:rsid w:val="435671EA"/>
    <w:rsid w:val="440809E9"/>
    <w:rsid w:val="442407A6"/>
    <w:rsid w:val="44805EA1"/>
    <w:rsid w:val="45710696"/>
    <w:rsid w:val="46142B1B"/>
    <w:rsid w:val="47E60DD0"/>
    <w:rsid w:val="48735039"/>
    <w:rsid w:val="492C684B"/>
    <w:rsid w:val="49384508"/>
    <w:rsid w:val="49500594"/>
    <w:rsid w:val="49E7604E"/>
    <w:rsid w:val="4ABF0457"/>
    <w:rsid w:val="4AEC6BE0"/>
    <w:rsid w:val="4BF67CDD"/>
    <w:rsid w:val="4C8C113C"/>
    <w:rsid w:val="4D173441"/>
    <w:rsid w:val="4D603DD6"/>
    <w:rsid w:val="4EBF010F"/>
    <w:rsid w:val="4F471EB0"/>
    <w:rsid w:val="4F801EFF"/>
    <w:rsid w:val="50A41F07"/>
    <w:rsid w:val="51331326"/>
    <w:rsid w:val="51740A7F"/>
    <w:rsid w:val="51A5541E"/>
    <w:rsid w:val="51B9413C"/>
    <w:rsid w:val="51C96242"/>
    <w:rsid w:val="526F57C8"/>
    <w:rsid w:val="53906AE1"/>
    <w:rsid w:val="54343EAC"/>
    <w:rsid w:val="54CE42FE"/>
    <w:rsid w:val="54F46F60"/>
    <w:rsid w:val="552B6CEA"/>
    <w:rsid w:val="55984744"/>
    <w:rsid w:val="55A37BEA"/>
    <w:rsid w:val="56362CD2"/>
    <w:rsid w:val="564E3CFE"/>
    <w:rsid w:val="5784687B"/>
    <w:rsid w:val="57846959"/>
    <w:rsid w:val="578E6A87"/>
    <w:rsid w:val="5AC2203A"/>
    <w:rsid w:val="5C2D1202"/>
    <w:rsid w:val="5CBB3334"/>
    <w:rsid w:val="5D0305A2"/>
    <w:rsid w:val="5D115FAF"/>
    <w:rsid w:val="5D320CAB"/>
    <w:rsid w:val="5DF238C8"/>
    <w:rsid w:val="62811722"/>
    <w:rsid w:val="62E75A72"/>
    <w:rsid w:val="64571880"/>
    <w:rsid w:val="649125B6"/>
    <w:rsid w:val="652F4C1A"/>
    <w:rsid w:val="654D2E3E"/>
    <w:rsid w:val="666D37F1"/>
    <w:rsid w:val="67087D8F"/>
    <w:rsid w:val="671F687E"/>
    <w:rsid w:val="67F415F8"/>
    <w:rsid w:val="682640D1"/>
    <w:rsid w:val="684B73E5"/>
    <w:rsid w:val="6A047A2A"/>
    <w:rsid w:val="6C5110CB"/>
    <w:rsid w:val="6EFB7548"/>
    <w:rsid w:val="6F3831C3"/>
    <w:rsid w:val="6F8B71C1"/>
    <w:rsid w:val="70753482"/>
    <w:rsid w:val="707B522A"/>
    <w:rsid w:val="71B552B7"/>
    <w:rsid w:val="72E644D0"/>
    <w:rsid w:val="73194D05"/>
    <w:rsid w:val="732E7F80"/>
    <w:rsid w:val="73A83B0E"/>
    <w:rsid w:val="744D3EF9"/>
    <w:rsid w:val="74794411"/>
    <w:rsid w:val="75867C40"/>
    <w:rsid w:val="75B10B26"/>
    <w:rsid w:val="76432199"/>
    <w:rsid w:val="76F44829"/>
    <w:rsid w:val="77A267C0"/>
    <w:rsid w:val="78882278"/>
    <w:rsid w:val="78B118A6"/>
    <w:rsid w:val="79135044"/>
    <w:rsid w:val="7A7D0F99"/>
    <w:rsid w:val="7E000943"/>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7409</Words>
  <Characters>8971</Characters>
  <Lines>60</Lines>
  <Paragraphs>16</Paragraphs>
  <TotalTime>3</TotalTime>
  <ScaleCrop>false</ScaleCrop>
  <LinksUpToDate>false</LinksUpToDate>
  <CharactersWithSpaces>9184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2023-05-10T02:38:23Z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74A4317E97364BDF93C5063C933F1600_13</vt:lpwstr>
  </property>
</Properties>
</file>