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bookmarkStart w:id="0" w:name="OLE_LINK1"/>
      <w:r>
        <w:rPr>
          <w:rFonts w:hint="eastAsia" w:ascii="黑体" w:hAnsi="黑体" w:eastAsia="黑体" w:cs="黑体"/>
          <w:color w:val="auto"/>
          <w:sz w:val="52"/>
          <w:szCs w:val="52"/>
          <w:highlight w:val="none"/>
          <w:lang w:val="en-US" w:eastAsia="zh-CN"/>
        </w:rPr>
        <w:t>许昌工商管理学校</w:t>
      </w:r>
      <w:bookmarkEnd w:id="0"/>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color w:val="auto"/>
          <w:sz w:val="32"/>
          <w:szCs w:val="32"/>
          <w:highlight w:val="none"/>
          <w:lang w:val="en-US" w:eastAsia="zh-CN"/>
        </w:rPr>
        <w:t>许昌工商管理学校</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color w:val="auto"/>
          <w:sz w:val="48"/>
          <w:szCs w:val="48"/>
          <w:highlight w:val="none"/>
          <w:lang w:val="en-US" w:eastAsia="zh-CN"/>
        </w:rPr>
        <w:t>许昌工商管理学校</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widowControl/>
        <w:ind w:firstLine="640" w:firstLineChars="200"/>
        <w:jc w:val="left"/>
        <w:outlineLvl w:val="1"/>
        <w:rPr>
          <w:rFonts w:ascii="宋体" w:hAnsi="宋体" w:eastAsia="宋体" w:cs="宋体"/>
          <w:color w:val="auto"/>
          <w:sz w:val="32"/>
          <w:szCs w:val="32"/>
          <w:highlight w:val="none"/>
        </w:rPr>
      </w:pPr>
      <w:r>
        <w:rPr>
          <w:rFonts w:hint="eastAsia" w:ascii="仿宋" w:hAnsi="仿宋" w:eastAsia="仿宋" w:cs="仿宋"/>
          <w:sz w:val="32"/>
          <w:szCs w:val="32"/>
        </w:rPr>
        <w:t>我单位主要职责是：培养中专学历商业人才，促进商业发展。</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numPr>
          <w:ilvl w:val="0"/>
          <w:numId w:val="0"/>
        </w:numPr>
        <w:ind w:firstLine="640" w:firstLineChars="200"/>
        <w:jc w:val="left"/>
        <w:rPr>
          <w:rFonts w:hint="eastAsia" w:ascii="宋体" w:hAnsi="宋体" w:eastAsia="仿宋" w:cs="宋体"/>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许昌工商管理学校内设机构7个，包括：</w:t>
      </w:r>
      <w:r>
        <w:rPr>
          <w:rFonts w:hint="eastAsia" w:ascii="仿宋" w:hAnsi="仿宋" w:eastAsia="仿宋" w:cs="仿宋"/>
          <w:sz w:val="32"/>
          <w:szCs w:val="32"/>
        </w:rPr>
        <w:t>教务科、政教科、党政办公室、招生就业科、财经商贸科、文化旅游科、信息技术科</w:t>
      </w:r>
      <w:r>
        <w:rPr>
          <w:rFonts w:hint="eastAsia" w:ascii="仿宋" w:hAnsi="仿宋" w:eastAsia="仿宋" w:cs="仿宋"/>
          <w:sz w:val="32"/>
          <w:szCs w:val="32"/>
          <w:lang w:eastAsia="zh-CN"/>
        </w:rPr>
        <w:t>。</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从决算单位构成看，许昌工商管理学校单位决算包括：本级决算。</w:t>
      </w:r>
    </w:p>
    <w:p>
      <w:pPr>
        <w:widowControl/>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纳入本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20</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决算编制范围的单位共1个，</w:t>
      </w:r>
      <w:r>
        <w:rPr>
          <w:rFonts w:hint="eastAsia" w:ascii="仿宋_GB2312" w:eastAsia="仿宋_GB2312" w:cs="仿宋_GB2312"/>
          <w:kern w:val="0"/>
          <w:sz w:val="32"/>
          <w:szCs w:val="32"/>
          <w:lang w:eastAsia="zh-CN"/>
        </w:rPr>
        <w:t>具体是</w:t>
      </w:r>
      <w:r>
        <w:rPr>
          <w:rFonts w:hint="eastAsia" w:asci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许昌工商管理学校</w:t>
      </w: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许昌工商管理学校</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3,567.28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0"/>
                <w:szCs w:val="20"/>
                <w:lang w:val="en-US" w:eastAsia="zh-CN" w:bidi="ar"/>
              </w:rPr>
              <w:t>16.44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,658.84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3,652.28</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4,327.04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674.76</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61</w:t>
            </w:r>
          </w:p>
        </w:tc>
        <w:tc>
          <w:tcPr>
            <w:tcW w:w="1699"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7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0"/>
                <w:szCs w:val="20"/>
                <w:lang w:val="en-US" w:eastAsia="zh-CN" w:bidi="ar"/>
              </w:rPr>
              <w:t>4,327.04</w:t>
            </w:r>
          </w:p>
        </w:tc>
        <w:tc>
          <w:tcPr>
            <w:tcW w:w="467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62</w:t>
            </w:r>
          </w:p>
        </w:tc>
        <w:tc>
          <w:tcPr>
            <w:tcW w:w="16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eastAsia" w:ascii="宋体" w:hAnsi="宋体" w:cs="宋体"/>
                <w:b/>
                <w:color w:val="000000"/>
                <w:sz w:val="20"/>
                <w:szCs w:val="20"/>
              </w:rPr>
            </w:pPr>
            <w:r>
              <w:rPr>
                <w:rFonts w:hint="eastAsia" w:ascii="宋体" w:hAnsi="宋体" w:eastAsia="宋体" w:cs="宋体"/>
                <w:color w:val="000000"/>
                <w:kern w:val="0"/>
                <w:sz w:val="20"/>
                <w:szCs w:val="20"/>
                <w:lang w:val="en-US" w:eastAsia="zh-CN" w:bidi="ar"/>
              </w:rPr>
              <w:t>4,327.0</w:t>
            </w: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0" w:type="dxa"/>
            <w:bottom w:w="0" w:type="dxa"/>
            <w:right w:w="0" w:type="dxa"/>
          </w:tblCellMar>
        </w:tblPrEx>
        <w:trPr>
          <w:trHeight w:val="585" w:hRule="atLeast"/>
        </w:trPr>
        <w:tc>
          <w:tcPr>
            <w:tcW w:w="13988"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本年度的总收支和年末结转结余情况。本表金额转换为万元时，因四舍五入可能存在尾差。</w:t>
            </w:r>
          </w:p>
        </w:tc>
      </w:tr>
      <w:tr>
        <w:tblPrEx>
          <w:tblCellMar>
            <w:top w:w="0" w:type="dxa"/>
            <w:left w:w="0" w:type="dxa"/>
            <w:bottom w:w="0" w:type="dxa"/>
            <w:right w:w="0" w:type="dxa"/>
          </w:tblCellMar>
        </w:tblPrEx>
        <w:trPr>
          <w:trHeight w:val="585" w:hRule="atLeast"/>
        </w:trPr>
        <w:tc>
          <w:tcPr>
            <w:tcW w:w="13988" w:type="dxa"/>
            <w:gridSpan w:val="6"/>
            <w:tcBorders>
              <w:top w:val="single" w:color="auto" w:sz="4"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1686"/>
        <w:gridCol w:w="1138"/>
        <w:gridCol w:w="88"/>
        <w:gridCol w:w="1465"/>
        <w:gridCol w:w="176"/>
        <w:gridCol w:w="1377"/>
        <w:gridCol w:w="264"/>
        <w:gridCol w:w="1289"/>
        <w:gridCol w:w="352"/>
        <w:gridCol w:w="1201"/>
        <w:gridCol w:w="440"/>
        <w:gridCol w:w="1113"/>
        <w:gridCol w:w="528"/>
        <w:gridCol w:w="1642"/>
      </w:tblGrid>
      <w:tr>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8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3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8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许昌工商管理学校</w:t>
            </w:r>
          </w:p>
        </w:tc>
        <w:tc>
          <w:tcPr>
            <w:tcW w:w="113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77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2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22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2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77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277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3,652.28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3,567.28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一般公共服务支出</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群众团体事务</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2012906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工会事务</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教育支出</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3,069.21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2,984.21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普通教育</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22.89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22.89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2050299</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其他普通教育支出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22.89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20503</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职业教育</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3,034.32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2,949.32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2050302</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中等职业教育</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3,034.32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2,949.32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20599</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其他教育支出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2059999</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其他教育支出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社会保障和就业支出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501.91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501.91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20805</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行政事业单位养老支出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484.92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484.92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2080502</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事业单位离退休</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305.68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305.68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2080505</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机关事业单位基本养老保险缴费支出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179.24</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179.24</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20808</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抚恤</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2080801</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死亡抚恤</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210</w:t>
            </w:r>
          </w:p>
        </w:tc>
        <w:tc>
          <w:tcPr>
            <w:tcW w:w="168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卫生健康支出</w:t>
            </w:r>
          </w:p>
        </w:tc>
        <w:tc>
          <w:tcPr>
            <w:tcW w:w="122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21011</w:t>
            </w:r>
          </w:p>
        </w:tc>
        <w:tc>
          <w:tcPr>
            <w:tcW w:w="1686"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行政事业单位医疗</w:t>
            </w:r>
          </w:p>
        </w:tc>
        <w:tc>
          <w:tcPr>
            <w:tcW w:w="1226"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000000" w:sz="4" w:space="0"/>
              <w:left w:val="single" w:color="000000" w:sz="4" w:space="0"/>
              <w:bottom w:val="single" w:color="auto"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450" w:hRule="atLeast"/>
        </w:trPr>
        <w:tc>
          <w:tcPr>
            <w:tcW w:w="108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2101102</w:t>
            </w:r>
          </w:p>
        </w:tc>
        <w:tc>
          <w:tcPr>
            <w:tcW w:w="16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事业单位医疗</w:t>
            </w:r>
          </w:p>
        </w:tc>
        <w:tc>
          <w:tcPr>
            <w:tcW w:w="1226"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64.73</w:t>
            </w:r>
          </w:p>
        </w:tc>
        <w:tc>
          <w:tcPr>
            <w:tcW w:w="16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0" w:type="dxa"/>
            <w:bottom w:w="0" w:type="dxa"/>
            <w:right w:w="0" w:type="dxa"/>
          </w:tblCellMar>
        </w:tblPrEx>
        <w:trPr>
          <w:trHeight w:val="615" w:hRule="atLeast"/>
        </w:trPr>
        <w:tc>
          <w:tcPr>
            <w:tcW w:w="13845" w:type="dxa"/>
            <w:gridSpan w:val="1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许昌工商管理学校</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4,327.04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3,804.83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522.21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工会事务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3,658.84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3,136.63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522.21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普通教育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53.68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45.12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8.56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2050299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其他普通教育支出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53.68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45.12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8.56</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职业教育</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3,593.16</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3,091.51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501.65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中等职业教育</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3,563.58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3,091.51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472.07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其他职业教育支出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29.58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29.58</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其他教育支出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2059999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其他教育支出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社会保障和就业支出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行政事业单位养老支出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531.00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531.00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事业单位离退休</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334.30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334.30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机关事业单位基本养老保险缴费支出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196.70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196.70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20808</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抚恤</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2080801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死亡抚恤</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卫生健康支出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auto"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21011</w:t>
            </w:r>
          </w:p>
        </w:tc>
        <w:tc>
          <w:tcPr>
            <w:tcW w:w="1376"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行政事业单位医疗</w:t>
            </w:r>
          </w:p>
        </w:tc>
        <w:tc>
          <w:tcPr>
            <w:tcW w:w="190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auto"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2101102</w:t>
            </w:r>
          </w:p>
        </w:tc>
        <w:tc>
          <w:tcPr>
            <w:tcW w:w="137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事业单位医疗</w:t>
            </w:r>
          </w:p>
        </w:tc>
        <w:tc>
          <w:tcPr>
            <w:tcW w:w="190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90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190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30" w:hRule="atLeast"/>
        </w:trPr>
        <w:tc>
          <w:tcPr>
            <w:tcW w:w="13988" w:type="dxa"/>
            <w:gridSpan w:val="1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993"/>
        <w:gridCol w:w="984"/>
        <w:gridCol w:w="1020"/>
        <w:gridCol w:w="455"/>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8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475"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许昌工商管理学校</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8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4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39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39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w:t>
            </w:r>
            <w:r>
              <w:rPr>
                <w:rFonts w:hint="eastAsia" w:ascii="宋体" w:hAnsi="宋体" w:eastAsia="宋体" w:cs="宋体"/>
                <w:color w:val="000000"/>
                <w:kern w:val="0"/>
                <w:sz w:val="20"/>
                <w:szCs w:val="20"/>
                <w:lang w:bidi="ar"/>
              </w:rPr>
              <w:t>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0"/>
                <w:szCs w:val="20"/>
                <w:lang w:val="en-US" w:eastAsia="zh-CN" w:bidi="ar"/>
              </w:rPr>
              <w:t>3,567.28</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33</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16.44</w:t>
            </w: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16.44</w:t>
            </w: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34</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36</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23"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37</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3573.84</w:t>
            </w: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3573.84</w:t>
            </w: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38</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39</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40</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41</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42</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43</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44</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46</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十五、商业服务业等支出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47</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十六、金融支出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48</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十七、援助其他地区支出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49</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十五、商业服务业等支出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十六、金融支出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十七、援助其他地区支出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55</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56</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98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3,567.28</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59</w:t>
            </w:r>
          </w:p>
        </w:tc>
        <w:tc>
          <w:tcPr>
            <w:tcW w:w="98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ind w:firstLine="200" w:firstLineChars="100"/>
              <w:jc w:val="left"/>
              <w:textAlignment w:val="center"/>
              <w:rPr>
                <w:rFonts w:hint="default" w:ascii="宋体" w:hAnsi="宋体" w:eastAsia="宋体" w:cs="宋体"/>
                <w:color w:val="000000"/>
                <w:kern w:val="0"/>
                <w:sz w:val="20"/>
                <w:szCs w:val="20"/>
                <w:lang w:val="en-US" w:bidi="ar"/>
              </w:rPr>
            </w:pPr>
            <w:r>
              <w:rPr>
                <w:rFonts w:hint="eastAsia" w:ascii="宋体" w:hAnsi="宋体" w:cs="宋体"/>
                <w:color w:val="000000"/>
                <w:kern w:val="0"/>
                <w:sz w:val="20"/>
                <w:szCs w:val="20"/>
                <w:lang w:val="en-US" w:eastAsia="zh-CN" w:bidi="ar"/>
              </w:rPr>
              <w:t>4242.04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ind w:firstLine="200" w:firstLineChars="100"/>
              <w:jc w:val="left"/>
              <w:textAlignment w:val="center"/>
              <w:rPr>
                <w:rFonts w:hint="default" w:ascii="宋体" w:hAnsi="宋体" w:eastAsia="宋体" w:cs="宋体"/>
                <w:color w:val="000000"/>
                <w:kern w:val="0"/>
                <w:sz w:val="20"/>
                <w:szCs w:val="20"/>
                <w:lang w:val="en-US" w:bidi="ar"/>
              </w:rPr>
            </w:pPr>
            <w:r>
              <w:rPr>
                <w:rFonts w:hint="eastAsia" w:ascii="宋体" w:hAnsi="宋体" w:cs="宋体"/>
                <w:color w:val="000000"/>
                <w:kern w:val="0"/>
                <w:sz w:val="20"/>
                <w:szCs w:val="20"/>
                <w:lang w:val="en-US" w:eastAsia="zh-CN" w:bidi="ar"/>
              </w:rPr>
              <w:t>4242.04</w:t>
            </w:r>
          </w:p>
        </w:tc>
        <w:tc>
          <w:tcPr>
            <w:tcW w:w="13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674.76</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w:t>
            </w:r>
          </w:p>
        </w:tc>
        <w:tc>
          <w:tcPr>
            <w:tcW w:w="98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13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674.76</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61</w:t>
            </w:r>
          </w:p>
        </w:tc>
        <w:tc>
          <w:tcPr>
            <w:tcW w:w="98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12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62</w:t>
            </w:r>
          </w:p>
        </w:tc>
        <w:tc>
          <w:tcPr>
            <w:tcW w:w="984"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auto"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31</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63</w:t>
            </w:r>
          </w:p>
        </w:tc>
        <w:tc>
          <w:tcPr>
            <w:tcW w:w="9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9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2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32</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000000"/>
                <w:sz w:val="20"/>
                <w:szCs w:val="20"/>
                <w:lang w:val="en-US" w:eastAsia="zh-CN"/>
              </w:rPr>
              <w:t>4242.04</w:t>
            </w:r>
          </w:p>
        </w:tc>
        <w:tc>
          <w:tcPr>
            <w:tcW w:w="259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9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64</w:t>
            </w:r>
          </w:p>
        </w:tc>
        <w:tc>
          <w:tcPr>
            <w:tcW w:w="9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ind w:firstLine="200" w:firstLineChars="100"/>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4242.04</w:t>
            </w:r>
          </w:p>
        </w:tc>
        <w:tc>
          <w:tcPr>
            <w:tcW w:w="10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ind w:firstLine="200" w:firstLineChars="100"/>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4242.04</w:t>
            </w:r>
          </w:p>
        </w:tc>
        <w:tc>
          <w:tcPr>
            <w:tcW w:w="139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585" w:hRule="atLeast"/>
        </w:trPr>
        <w:tc>
          <w:tcPr>
            <w:tcW w:w="12915"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 w:val="20"/>
                <w:szCs w:val="20"/>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282"/>
        <w:gridCol w:w="406"/>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6"/>
                <w:rFonts w:hint="default"/>
                <w:lang w:bidi="ar"/>
              </w:rPr>
              <w:t>5表</w:t>
            </w:r>
          </w:p>
        </w:tc>
      </w:tr>
      <w:tr>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p>
        </w:tc>
        <w:tc>
          <w:tcPr>
            <w:tcW w:w="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许昌工商管理学校</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13"/>
                <w:rFonts w:hint="default"/>
                <w:sz w:val="20"/>
                <w:szCs w:val="20"/>
                <w:lang w:bidi="ar"/>
              </w:rPr>
              <w:t xml:space="preserve">   </w:t>
            </w:r>
            <w:r>
              <w:rPr>
                <w:rStyle w:val="15"/>
                <w:rFonts w:hint="default"/>
                <w:sz w:val="20"/>
                <w:szCs w:val="20"/>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4,242.04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3,719.83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522.21</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教育支出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bidi="ar"/>
              </w:rPr>
            </w:pPr>
            <w:r>
              <w:rPr>
                <w:rFonts w:hint="eastAsia" w:ascii="宋体" w:hAnsi="宋体" w:cs="宋体"/>
                <w:color w:val="000000"/>
                <w:kern w:val="0"/>
                <w:sz w:val="20"/>
                <w:szCs w:val="20"/>
                <w:lang w:val="en-US" w:eastAsia="zh-CN" w:bidi="ar"/>
              </w:rPr>
              <w:t>3658.84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bidi="ar"/>
              </w:rPr>
            </w:pPr>
            <w:r>
              <w:rPr>
                <w:rFonts w:hint="eastAsia" w:ascii="宋体" w:hAnsi="宋体" w:cs="宋体"/>
                <w:color w:val="000000"/>
                <w:kern w:val="0"/>
                <w:sz w:val="20"/>
                <w:szCs w:val="20"/>
                <w:lang w:val="en-US" w:eastAsia="zh-CN" w:bidi="ar"/>
              </w:rPr>
              <w:t>3051.63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522.21</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普通教育</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53.68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8.56</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2050299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其他普通教育支出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53.68</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45.12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8.56</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职业教育</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3,508.16</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3,006.51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501.65</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中等职业教育</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3,478.58</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3,006.51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472.07</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2050399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其他职业教育支出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29.58</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29.58</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其他教育支出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2059999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其他教育支出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12.00</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社会保障和就业支出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556.81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行政事业单位养老支出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531.00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531.00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事业单位离退休</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334.30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334.30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2080505</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196.70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196.70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20808</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抚恤</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2080801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死亡抚恤</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25.80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卫生健康支出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21011</w:t>
            </w:r>
          </w:p>
        </w:tc>
        <w:tc>
          <w:tcPr>
            <w:tcW w:w="22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行政事业单位医疗</w:t>
            </w:r>
          </w:p>
        </w:tc>
        <w:tc>
          <w:tcPr>
            <w:tcW w:w="344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4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51" w:type="dxa"/>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50" w:hRule="atLeast"/>
        </w:trPr>
        <w:tc>
          <w:tcPr>
            <w:tcW w:w="141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2101102</w:t>
            </w:r>
          </w:p>
        </w:tc>
        <w:tc>
          <w:tcPr>
            <w:tcW w:w="2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 xml:space="preserve">  事业单位医疗</w:t>
            </w:r>
          </w:p>
        </w:tc>
        <w:tc>
          <w:tcPr>
            <w:tcW w:w="34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94.95</w:t>
            </w:r>
          </w:p>
        </w:tc>
        <w:tc>
          <w:tcPr>
            <w:tcW w:w="34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45" w:hRule="atLeast"/>
        </w:trPr>
        <w:tc>
          <w:tcPr>
            <w:tcW w:w="13988"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hint="default" w:ascii="Arial" w:hAnsi="Arial" w:eastAsia="宋体" w:cs="Arial"/>
                <w:color w:val="000000"/>
                <w:sz w:val="20"/>
                <w:szCs w:val="20"/>
                <w:lang w:val="en-US" w:eastAsia="zh-CN"/>
              </w:rPr>
            </w:pPr>
            <w:r>
              <w:rPr>
                <w:rFonts w:hint="eastAsia" w:ascii="Arial" w:hAnsi="Arial" w:cs="Arial"/>
                <w:color w:val="000000"/>
                <w:kern w:val="0"/>
                <w:sz w:val="20"/>
                <w:szCs w:val="20"/>
                <w:lang w:val="en-US" w:eastAsia="zh-CN" w:bidi="ar"/>
              </w:rPr>
              <w:t>单位</w:t>
            </w:r>
            <w:r>
              <w:rPr>
                <w:rFonts w:ascii="Arial" w:hAnsi="Arial" w:cs="Arial"/>
                <w:color w:val="000000"/>
                <w:kern w:val="0"/>
                <w:sz w:val="20"/>
                <w:szCs w:val="20"/>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Arial" w:hAnsi="Arial" w:cs="Arial"/>
                <w:color w:val="000000"/>
                <w:kern w:val="0"/>
                <w:sz w:val="20"/>
                <w:szCs w:val="20"/>
                <w:lang w:val="en-US" w:eastAsia="zh-CN" w:bidi="ar"/>
              </w:rPr>
              <w:t>许昌工商管理学校</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2,979.30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289.98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72.22</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881.45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238.79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14.99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56.48</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630.38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0.53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1.12</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453.21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11.35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194.35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14.62</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0.68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86.37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167.23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27.35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314.63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0.38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378.33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53.15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277.46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44.36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26.36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81.91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5.65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16.44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33.05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7.90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39999</w:t>
            </w:r>
          </w:p>
        </w:tc>
        <w:tc>
          <w:tcPr>
            <w:tcW w:w="35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938" w:type="dxa"/>
            <w:tcBorders>
              <w:top w:val="single" w:color="000000" w:sz="4" w:space="0"/>
              <w:left w:val="single" w:color="000000" w:sz="4" w:space="0"/>
              <w:bottom w:val="single" w:color="auto" w:sz="4" w:space="0"/>
              <w:right w:val="single" w:color="000000" w:sz="8"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10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3793"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52" w:hRule="atLeast"/>
        </w:trPr>
        <w:tc>
          <w:tcPr>
            <w:tcW w:w="3793"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人员经费合计</w:t>
            </w: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0"/>
                <w:szCs w:val="20"/>
                <w:lang w:val="en-US" w:eastAsia="zh-CN" w:bidi="ar"/>
              </w:rPr>
              <w:t>3,357.63</w:t>
            </w:r>
          </w:p>
        </w:tc>
        <w:tc>
          <w:tcPr>
            <w:tcW w:w="8319"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公用经费合计</w:t>
            </w:r>
          </w:p>
        </w:tc>
        <w:tc>
          <w:tcPr>
            <w:tcW w:w="9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362.20</w:t>
            </w:r>
          </w:p>
        </w:tc>
      </w:tr>
      <w:tr>
        <w:tblPrEx>
          <w:tblCellMar>
            <w:top w:w="0" w:type="dxa"/>
            <w:left w:w="0" w:type="dxa"/>
            <w:bottom w:w="0" w:type="dxa"/>
            <w:right w:w="0" w:type="dxa"/>
          </w:tblCellMar>
        </w:tblPrEx>
        <w:trPr>
          <w:trHeight w:val="390" w:hRule="atLeast"/>
        </w:trPr>
        <w:tc>
          <w:tcPr>
            <w:tcW w:w="13988" w:type="dxa"/>
            <w:gridSpan w:val="9"/>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许昌工商管理学校</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90" w:hRule="atLeast"/>
        </w:trPr>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5.2</w:t>
            </w:r>
          </w:p>
        </w:tc>
        <w:tc>
          <w:tcPr>
            <w:tcW w:w="11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w:t>
            </w: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1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w:t>
            </w:r>
          </w:p>
        </w:tc>
        <w:tc>
          <w:tcPr>
            <w:tcW w:w="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许昌工商管理学校</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val="en-US" w:eastAsia="zh-CN" w:bidi="ar"/>
              </w:rPr>
              <w:t>单位</w:t>
            </w:r>
            <w:r>
              <w:rPr>
                <w:rFonts w:hint="eastAsia" w:ascii="宋体" w:hAnsi="宋体" w:cs="宋体"/>
                <w:color w:val="000000"/>
                <w:kern w:val="0"/>
                <w:sz w:val="20"/>
                <w:szCs w:val="20"/>
                <w:lang w:bidi="ar"/>
              </w:rPr>
              <w:t>本年度政府性基金预算财政拨款收入、支出及结转和结余情况。</w:t>
            </w:r>
          </w:p>
          <w:p>
            <w:pPr>
              <w:widowControl/>
              <w:jc w:val="left"/>
              <w:textAlignment w:val="center"/>
              <w:rPr>
                <w:rFonts w:ascii="宋体" w:hAnsi="宋体" w:cs="宋体"/>
                <w:color w:val="000000"/>
                <w:sz w:val="20"/>
                <w:szCs w:val="20"/>
              </w:rPr>
            </w:pPr>
            <w:r>
              <w:rPr>
                <w:rFonts w:hint="eastAsia" w:ascii="宋体" w:hAnsi="宋体" w:cs="宋体"/>
                <w:color w:val="000000"/>
                <w:sz w:val="24"/>
                <w:szCs w:val="24"/>
              </w:rPr>
              <w:t>说明：我</w:t>
            </w:r>
            <w:r>
              <w:rPr>
                <w:rFonts w:hint="eastAsia" w:ascii="宋体" w:hAnsi="宋体" w:cs="宋体"/>
                <w:color w:val="000000"/>
                <w:sz w:val="24"/>
                <w:szCs w:val="24"/>
                <w:lang w:val="en-US" w:eastAsia="zh-CN"/>
              </w:rPr>
              <w:t>单位</w:t>
            </w:r>
            <w:r>
              <w:rPr>
                <w:rFonts w:hint="eastAsia" w:ascii="宋体" w:hAnsi="宋体" w:cs="宋体"/>
                <w:color w:val="000000"/>
                <w:sz w:val="24"/>
                <w:szCs w:val="24"/>
              </w:rPr>
              <w:t>没有政府性基金收入，也没有使用政府性基金安排的支出，故本表无数据。</w:t>
            </w: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年度收、支总计均为4327.04万元。与上年度相比，收、支总计各减少</w:t>
      </w:r>
      <w:r>
        <w:rPr>
          <w:rFonts w:hint="eastAsia" w:ascii="仿宋_GB2312" w:hAnsi="仿宋_GB2312" w:eastAsia="仿宋_GB2312" w:cs="仿宋_GB2312"/>
          <w:sz w:val="32"/>
          <w:szCs w:val="32"/>
          <w:lang w:val="en-US" w:eastAsia="zh-CN"/>
        </w:rPr>
        <w:t>235.15</w:t>
      </w:r>
      <w:r>
        <w:rPr>
          <w:rFonts w:hint="eastAsia" w:ascii="仿宋_GB2312" w:hAnsi="仿宋_GB2312" w:eastAsia="仿宋_GB2312" w:cs="仿宋_GB2312"/>
          <w:sz w:val="32"/>
          <w:szCs w:val="32"/>
        </w:rPr>
        <w:t>万元，下降</w:t>
      </w:r>
      <w:r>
        <w:rPr>
          <w:rFonts w:hint="eastAsia" w:ascii="仿宋_GB2312" w:hAnsi="仿宋_GB2312" w:eastAsia="仿宋_GB2312" w:cs="仿宋_GB2312"/>
          <w:color w:val="auto"/>
          <w:sz w:val="32"/>
          <w:szCs w:val="32"/>
          <w:lang w:val="en-US" w:eastAsia="zh-CN"/>
        </w:rPr>
        <w:t>5.15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highlight w:val="none"/>
          <w:lang w:val="en-US" w:eastAsia="zh-CN"/>
        </w:rPr>
        <w:t>人员经费和公用经费减少。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年度收入合计3652.28万元，其中：财政拨款收入3567.28万元，占</w:t>
      </w:r>
      <w:r>
        <w:rPr>
          <w:rFonts w:hint="eastAsia" w:ascii="仿宋_GB2312" w:hAnsi="仿宋_GB2312" w:eastAsia="仿宋_GB2312" w:cs="仿宋_GB2312"/>
          <w:sz w:val="32"/>
          <w:szCs w:val="32"/>
          <w:lang w:val="en-US" w:eastAsia="zh-CN"/>
        </w:rPr>
        <w:t>97.67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占2.33%</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年度支出合计4327.04万元，其中：基本支出3804.83万元，占</w:t>
      </w:r>
      <w:r>
        <w:rPr>
          <w:rFonts w:hint="eastAsia" w:ascii="仿宋_GB2312" w:hAnsi="仿宋_GB2312" w:eastAsia="仿宋_GB2312" w:cs="仿宋_GB2312"/>
          <w:sz w:val="32"/>
          <w:szCs w:val="32"/>
          <w:lang w:val="en-US" w:eastAsia="zh-CN"/>
        </w:rPr>
        <w:t>87.93</w:t>
      </w:r>
      <w:r>
        <w:rPr>
          <w:rFonts w:hint="eastAsia" w:ascii="仿宋_GB2312" w:hAnsi="仿宋_GB2312" w:eastAsia="仿宋_GB2312" w:cs="仿宋_GB2312"/>
          <w:sz w:val="32"/>
          <w:szCs w:val="32"/>
        </w:rPr>
        <w:t>%；项目支出522.21万元，占</w:t>
      </w:r>
      <w:r>
        <w:rPr>
          <w:rFonts w:hint="eastAsia" w:ascii="仿宋_GB2312" w:hAnsi="仿宋_GB2312" w:eastAsia="仿宋_GB2312" w:cs="仿宋_GB2312"/>
          <w:sz w:val="32"/>
          <w:szCs w:val="32"/>
          <w:lang w:val="en-US" w:eastAsia="zh-CN"/>
        </w:rPr>
        <w:t>12.07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4242.04</w:t>
      </w:r>
      <w:r>
        <w:rPr>
          <w:rFonts w:hint="eastAsia" w:ascii="仿宋_GB2312" w:hAnsi="仿宋_GB2312" w:eastAsia="仿宋_GB2312" w:cs="仿宋_GB2312"/>
          <w:sz w:val="32"/>
          <w:szCs w:val="32"/>
        </w:rPr>
        <w:t>万元。与上年度相比，财政拨款收、支总计各减少</w:t>
      </w:r>
      <w:r>
        <w:rPr>
          <w:rFonts w:hint="eastAsia" w:ascii="仿宋_GB2312" w:hAnsi="仿宋_GB2312" w:eastAsia="仿宋_GB2312" w:cs="仿宋_GB2312"/>
          <w:sz w:val="32"/>
          <w:szCs w:val="32"/>
          <w:lang w:val="en-US" w:eastAsia="zh-CN"/>
        </w:rPr>
        <w:t>235.15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%。主要原因是社会保障和就业支出</w:t>
      </w:r>
      <w:r>
        <w:rPr>
          <w:rFonts w:hint="eastAsia" w:ascii="仿宋_GB2312" w:hAnsi="仿宋_GB2312" w:eastAsia="仿宋_GB2312" w:cs="仿宋_GB2312"/>
          <w:sz w:val="32"/>
          <w:szCs w:val="32"/>
          <w:lang w:val="en-US" w:eastAsia="zh-CN"/>
        </w:rPr>
        <w:t>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4242.04</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98.03%</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406.37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10.59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highlight w:val="none"/>
          <w:lang w:val="en-US" w:eastAsia="zh-CN"/>
        </w:rPr>
        <w:t>教育支出增加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4242</w:t>
      </w:r>
      <w:r>
        <w:rPr>
          <w:rFonts w:hint="eastAsia" w:ascii="仿宋_GB2312" w:hAnsi="仿宋_GB2312" w:eastAsia="仿宋_GB2312" w:cs="仿宋_GB2312"/>
          <w:sz w:val="32"/>
          <w:szCs w:val="32"/>
        </w:rPr>
        <w:t>.04万元，主要用于以下方面：一般公共服务（类）支出16.44万元，占</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3573</w:t>
      </w:r>
      <w:r>
        <w:rPr>
          <w:rFonts w:hint="eastAsia" w:ascii="仿宋_GB2312" w:hAnsi="仿宋_GB2312" w:eastAsia="仿宋_GB2312" w:cs="仿宋_GB2312"/>
          <w:sz w:val="32"/>
          <w:szCs w:val="32"/>
        </w:rPr>
        <w:t>.84万元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84.25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val="en-US" w:eastAsia="zh-CN"/>
        </w:rPr>
        <w:t>支出556.81万元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13.13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rPr>
        <w:t>卫生健康（类）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94.95万元，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3387.81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color w:val="auto"/>
          <w:sz w:val="32"/>
          <w:szCs w:val="32"/>
          <w:lang w:val="en-US" w:eastAsia="zh-CN"/>
        </w:rPr>
        <w:t>4242</w:t>
      </w:r>
      <w:r>
        <w:rPr>
          <w:rFonts w:hint="eastAsia" w:ascii="仿宋_GB2312" w:hAnsi="仿宋_GB2312" w:eastAsia="仿宋_GB2312" w:cs="仿宋_GB2312"/>
          <w:color w:val="auto"/>
          <w:sz w:val="32"/>
          <w:szCs w:val="32"/>
        </w:rPr>
        <w:t>.04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125.21</w:t>
      </w:r>
      <w:r>
        <w:rPr>
          <w:rFonts w:hint="eastAsia"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 工会事务（项）。</w:t>
      </w:r>
      <w:r>
        <w:rPr>
          <w:rFonts w:hint="eastAsia" w:ascii="仿宋_GB2312" w:hAnsi="仿宋_GB2312" w:eastAsia="仿宋_GB2312" w:cs="仿宋_GB2312"/>
          <w:color w:val="auto"/>
          <w:sz w:val="32"/>
          <w:szCs w:val="32"/>
          <w:highlight w:val="none"/>
          <w:lang w:val="en-US" w:eastAsia="zh-CN"/>
        </w:rPr>
        <w:t>年初预算为16.44万元，支出决算为16.44万元，完成年初预算的100%。决算数与年初预算数不存在差异。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 其他普通教育支出（项）。</w:t>
      </w:r>
      <w:r>
        <w:rPr>
          <w:rFonts w:hint="eastAsia" w:ascii="仿宋_GB2312" w:hAnsi="仿宋_GB2312" w:eastAsia="仿宋_GB2312" w:cs="仿宋_GB2312"/>
          <w:color w:val="auto"/>
          <w:sz w:val="32"/>
          <w:szCs w:val="32"/>
          <w:highlight w:val="none"/>
          <w:lang w:val="en-US" w:eastAsia="zh-CN"/>
        </w:rPr>
        <w:t>年初预算为53.68万元，支出决算为53.68万元，完成年初预算的100%。决算数与年初预算数不存在差异。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3.教育支出（类）职业教育（款）中等职业教育（项）。</w:t>
      </w:r>
      <w:r>
        <w:rPr>
          <w:rFonts w:hint="eastAsia" w:ascii="仿宋_GB2312" w:hAnsi="仿宋_GB2312" w:eastAsia="仿宋_GB2312" w:cs="仿宋_GB2312"/>
          <w:color w:val="auto"/>
          <w:sz w:val="32"/>
          <w:szCs w:val="32"/>
          <w:highlight w:val="none"/>
          <w:lang w:val="en-US" w:eastAsia="zh-CN"/>
        </w:rPr>
        <w:t>年初预算为2785.24万元，支出决算为3478.58万元，完成年初预算的124.89%。决算数与年初预算数存在差异的主要原因是新进人员增多，人员经费增加。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4.教育支出（类）职业教育（款）其他职业教育支出（项）。</w:t>
      </w:r>
      <w:r>
        <w:rPr>
          <w:rFonts w:hint="eastAsia" w:ascii="仿宋_GB2312" w:hAnsi="仿宋_GB2312" w:eastAsia="仿宋_GB2312" w:cs="仿宋_GB2312"/>
          <w:color w:val="auto"/>
          <w:sz w:val="32"/>
          <w:szCs w:val="32"/>
          <w:highlight w:val="none"/>
          <w:lang w:val="en-US" w:eastAsia="zh-CN"/>
        </w:rPr>
        <w:t>年初预算为29.58万元，支出决算为29.58万元，完成年初预算的100%。决算数与年初预算数不存在差异。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5.教育支出（类）其他教育支出（款）其他教育支出（项）。</w:t>
      </w:r>
      <w:r>
        <w:rPr>
          <w:rFonts w:hint="eastAsia" w:ascii="仿宋_GB2312" w:hAnsi="仿宋_GB2312" w:eastAsia="仿宋_GB2312" w:cs="仿宋_GB2312"/>
          <w:color w:val="auto"/>
          <w:sz w:val="32"/>
          <w:szCs w:val="32"/>
          <w:highlight w:val="none"/>
          <w:lang w:val="en-US" w:eastAsia="zh-CN"/>
        </w:rPr>
        <w:t>年初预算为12万元，支出决算为12万元，完成年初预算的100%。决算数与年初预算数不存在差异。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6. </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309.39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334.30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108.05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学校退休人员增加</w:t>
      </w:r>
      <w:r>
        <w:rPr>
          <w:rFonts w:hint="eastAsia" w:ascii="仿宋_GB2312" w:hAnsi="仿宋_GB2312" w:eastAsia="仿宋_GB2312" w:cs="仿宋_GB2312"/>
          <w:sz w:val="32"/>
          <w:szCs w:val="32"/>
          <w:lang w:eastAsia="zh-CN"/>
        </w:rPr>
        <w:t>，相关工资待遇的人员经费支出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shd w:val="clear" w:color="FFFFFF" w:fill="D9D9D9"/>
          <w:lang w:eastAsia="zh-CN"/>
        </w:rPr>
      </w:pPr>
      <w:r>
        <w:rPr>
          <w:rFonts w:hint="eastAsia" w:ascii="仿宋_GB2312" w:hAnsi="仿宋_GB2312" w:eastAsia="仿宋_GB2312" w:cs="仿宋_GB2312"/>
          <w:b/>
          <w:bCs/>
          <w:sz w:val="32"/>
          <w:szCs w:val="32"/>
          <w:lang w:val="en-US" w:eastAsia="zh-CN"/>
        </w:rPr>
        <w:t xml:space="preserve">7. </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189.08</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96.70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104.03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新进人员增加</w:t>
      </w:r>
      <w:r>
        <w:rPr>
          <w:rFonts w:hint="eastAsia" w:ascii="仿宋_GB2312" w:hAnsi="仿宋_GB2312" w:eastAsia="仿宋_GB2312" w:cs="仿宋_GB2312"/>
          <w:sz w:val="32"/>
          <w:szCs w:val="32"/>
          <w:lang w:eastAsia="zh-CN"/>
        </w:rPr>
        <w:t>，相关工资待遇的人员经费支出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仿宋_GB2312" w:hAnsi="仿宋_GB2312" w:eastAsia="仿宋_GB2312" w:cs="仿宋_GB2312"/>
          <w:sz w:val="32"/>
          <w:szCs w:val="32"/>
          <w:shd w:val="clear" w:color="FFFFFF" w:fill="D9D9D9"/>
          <w:lang w:eastAsia="zh-CN"/>
        </w:rPr>
      </w:pPr>
      <w:r>
        <w:rPr>
          <w:rFonts w:hint="eastAsia" w:ascii="仿宋_GB2312" w:hAnsi="仿宋_GB2312" w:eastAsia="仿宋_GB2312" w:cs="仿宋_GB2312"/>
          <w:b/>
          <w:bCs/>
          <w:sz w:val="32"/>
          <w:szCs w:val="32"/>
          <w:lang w:val="en-US" w:eastAsia="zh-CN"/>
        </w:rPr>
        <w:t xml:space="preserve">8. </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eastAsia="zh-CN"/>
        </w:rPr>
        <w:t>个别离退休职工死亡，产生丧葬费、抚恤金等相关支出。</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9. </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87.66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108.32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医疗支出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3719.83</w:t>
      </w:r>
      <w:r>
        <w:rPr>
          <w:rFonts w:hint="eastAsia" w:ascii="仿宋_GB2312" w:hAnsi="仿宋_GB2312" w:eastAsia="仿宋_GB2312" w:cs="仿宋_GB2312"/>
          <w:sz w:val="32"/>
          <w:szCs w:val="32"/>
        </w:rPr>
        <w:t>万元。其中：人员经费3357.63万元，主要包括：</w:t>
      </w:r>
      <w:r>
        <w:rPr>
          <w:rFonts w:hint="eastAsia" w:ascii="仿宋_GB2312" w:hAnsi="仿宋_GB2312" w:eastAsia="仿宋_GB2312" w:cs="仿宋_GB2312"/>
          <w:color w:val="auto"/>
          <w:sz w:val="32"/>
          <w:szCs w:val="32"/>
          <w:highlight w:val="none"/>
          <w:lang w:val="en-US" w:eastAsia="zh-CN"/>
        </w:rPr>
        <w:t>基本工资、津贴补贴、奖金、绩效工资、机关事业单位基本养老保险缴费、职业年金缴费、职工基本医疗保险缴费、其他社会保障缴费、住房公积金、其他工资福利支出、离休费、退休费、抚恤金、生活补助、医疗费补助、助学金、其他对个人和家庭的补助支出；公用经费362.2万元，主要包括：办公费、印刷费、咨询费、水费、电费、邮电费、差旅费、维修（护）费、租赁费、培训费、专用材料费、劳务费、委托业务费、工会经费、福利费、公务用车运行维护费、其他交通费用、其他商品和服务支出、办公设备购置、专用设备购置、信息网络及软件购置更新。</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19.23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公务接待支出缩减。</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万元；公务用车购置及运行费支出决算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1万元。主要用于公车加油、维修。2020年期末，部门开支财政拨款的公务用车保有量为1辆。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预算为4.2万元，支出决算为0万元，完成预算的0%。决算数与预算数存在差异的主要原因是公务接待开支缩减。其中：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0万元。2020年共接待国（境）外来访团组0个、来访外宾0人次（不包括陪同人员）。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0万元。2020年共接待国内来访团组0个、来宾0人次（不包括陪同人员）。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lang w:val="en-US"/>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主要原因：我部门2020年度没有政府性基金收入，也没有使用政府性基金安排的支出.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2021年度政府采购支出总额116.73万元，其中：政府采购货物支出24.52万元、政府采购工程支出92.21万元、政府采购服务支出0万元。授予中小企业合同金额0万元，其中：授予小微企业合同金额0万元。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w:t>
      </w:r>
      <w:r>
        <w:rPr>
          <w:rFonts w:hint="eastAsia" w:ascii="仿宋_GB2312" w:hAnsi="仿宋_GB2312" w:eastAsia="仿宋_GB2312" w:cs="仿宋_GB2312"/>
          <w:color w:val="auto"/>
          <w:sz w:val="32"/>
          <w:szCs w:val="32"/>
          <w:highlight w:val="none"/>
          <w:lang w:val="en-US" w:eastAsia="zh-CN"/>
        </w:rPr>
        <w:t>我单位共有车辆1辆，其中：省级领导干部用车0辆、主要领导干部用车1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评采取打分评价的形式，满分为100分，履职效能30分、管理效率和运行成本40分、服务满意和可持续性20分、预算执行率10分根据指标的重要程度自主确定指标的权重分值，各项指标得分加总得出该项目绩效自评的总分。</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有效率。二是项目绩效自评情况。我单位共有5个项目批复了绩效目标，项目金额522.21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95.5分。其中：3个项目评价等级为“优”、2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r>
        <w:rPr>
          <w:rFonts w:hint="eastAsia" w:ascii="黑体" w:hAnsi="宋体" w:eastAsia="黑体" w:cs="宋体"/>
          <w:kern w:val="0"/>
          <w:sz w:val="28"/>
          <w:szCs w:val="28"/>
          <w:highlight w:val="none"/>
          <w:lang w:val="en-US" w:eastAsia="zh-CN"/>
        </w:rPr>
        <w:t>。</w:t>
      </w:r>
      <w:bookmarkStart w:id="1" w:name="_GoBack"/>
      <w:bookmarkEnd w:id="1"/>
    </w:p>
    <w:p>
      <w:pPr>
        <w:widowControl/>
        <w:jc w:val="left"/>
        <w:rPr>
          <w:rFonts w:hint="eastAsia" w:ascii="仿宋_GB2312" w:hAnsi="仿宋_GB2312" w:eastAsia="仿宋_GB2312" w:cs="仿宋_GB2312"/>
          <w:color w:val="auto"/>
          <w:sz w:val="32"/>
          <w:szCs w:val="32"/>
          <w:highlight w:val="none"/>
          <w:lang w:val="en-US" w:eastAsia="zh-CN"/>
        </w:rPr>
      </w:pPr>
    </w:p>
    <w:p>
      <w:pPr>
        <w:widowControl/>
        <w:jc w:val="left"/>
        <w:rPr>
          <w:rFonts w:hint="eastAsia" w:ascii="仿宋_GB2312" w:hAnsi="仿宋_GB2312" w:eastAsia="仿宋_GB2312" w:cs="仿宋_GB2312"/>
          <w:color w:val="auto"/>
          <w:sz w:val="32"/>
          <w:szCs w:val="32"/>
          <w:highlight w:val="none"/>
          <w:lang w:val="en-US" w:eastAsia="zh-CN"/>
        </w:rPr>
      </w:pPr>
    </w:p>
    <w:p>
      <w:pPr>
        <w:widowControl/>
        <w:jc w:val="left"/>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both"/>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82A5C"/>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671A9"/>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820350"/>
    <w:rsid w:val="02A3489A"/>
    <w:rsid w:val="02CA138D"/>
    <w:rsid w:val="033646FC"/>
    <w:rsid w:val="03C75F80"/>
    <w:rsid w:val="0478364D"/>
    <w:rsid w:val="053D4C0D"/>
    <w:rsid w:val="0557532E"/>
    <w:rsid w:val="06564EA7"/>
    <w:rsid w:val="06FB7EA8"/>
    <w:rsid w:val="0785600D"/>
    <w:rsid w:val="07963BDD"/>
    <w:rsid w:val="0799329C"/>
    <w:rsid w:val="07ED23E6"/>
    <w:rsid w:val="08397436"/>
    <w:rsid w:val="086F16A7"/>
    <w:rsid w:val="08D843AD"/>
    <w:rsid w:val="0A0F7225"/>
    <w:rsid w:val="0A2B7D82"/>
    <w:rsid w:val="0ADC40E9"/>
    <w:rsid w:val="0AE607F4"/>
    <w:rsid w:val="0B386127"/>
    <w:rsid w:val="0B451598"/>
    <w:rsid w:val="0BEC73F4"/>
    <w:rsid w:val="0C392698"/>
    <w:rsid w:val="0E824B4F"/>
    <w:rsid w:val="0E87393A"/>
    <w:rsid w:val="10BD36F6"/>
    <w:rsid w:val="118D208A"/>
    <w:rsid w:val="11BF0649"/>
    <w:rsid w:val="123E3E08"/>
    <w:rsid w:val="12F66946"/>
    <w:rsid w:val="133212F4"/>
    <w:rsid w:val="13D22E22"/>
    <w:rsid w:val="14D709D0"/>
    <w:rsid w:val="15CB28EE"/>
    <w:rsid w:val="15D60981"/>
    <w:rsid w:val="15EE5FD1"/>
    <w:rsid w:val="16065453"/>
    <w:rsid w:val="161C2DFF"/>
    <w:rsid w:val="16373578"/>
    <w:rsid w:val="16D3336B"/>
    <w:rsid w:val="17200028"/>
    <w:rsid w:val="17806C36"/>
    <w:rsid w:val="17A74F62"/>
    <w:rsid w:val="18A47774"/>
    <w:rsid w:val="1A617F9D"/>
    <w:rsid w:val="1A8D28EB"/>
    <w:rsid w:val="1A941D65"/>
    <w:rsid w:val="1A9F2D78"/>
    <w:rsid w:val="1B2E6FD8"/>
    <w:rsid w:val="1B877D21"/>
    <w:rsid w:val="1C4319A9"/>
    <w:rsid w:val="1CB36CF2"/>
    <w:rsid w:val="1E1159A7"/>
    <w:rsid w:val="1E443B4B"/>
    <w:rsid w:val="1E994F4A"/>
    <w:rsid w:val="1EA2432C"/>
    <w:rsid w:val="1EAF0224"/>
    <w:rsid w:val="1F2230A4"/>
    <w:rsid w:val="1FE521F3"/>
    <w:rsid w:val="20210932"/>
    <w:rsid w:val="202448E0"/>
    <w:rsid w:val="20F614FE"/>
    <w:rsid w:val="21302EEA"/>
    <w:rsid w:val="21DE514B"/>
    <w:rsid w:val="22376FB5"/>
    <w:rsid w:val="23E152D7"/>
    <w:rsid w:val="23EE2489"/>
    <w:rsid w:val="2457376F"/>
    <w:rsid w:val="255D43C8"/>
    <w:rsid w:val="25963E08"/>
    <w:rsid w:val="26714EF8"/>
    <w:rsid w:val="26876BDD"/>
    <w:rsid w:val="26FDB916"/>
    <w:rsid w:val="2714632A"/>
    <w:rsid w:val="27541E73"/>
    <w:rsid w:val="27B0539E"/>
    <w:rsid w:val="285A74F6"/>
    <w:rsid w:val="29365CF8"/>
    <w:rsid w:val="299469B3"/>
    <w:rsid w:val="2A60107B"/>
    <w:rsid w:val="2A805789"/>
    <w:rsid w:val="2ADC0D75"/>
    <w:rsid w:val="2B23372E"/>
    <w:rsid w:val="2B4A0E52"/>
    <w:rsid w:val="2C975890"/>
    <w:rsid w:val="2DCC49F2"/>
    <w:rsid w:val="2DEF21BB"/>
    <w:rsid w:val="2E4A2F05"/>
    <w:rsid w:val="2ECC1061"/>
    <w:rsid w:val="2EE65CA9"/>
    <w:rsid w:val="2FA476AD"/>
    <w:rsid w:val="303F7540"/>
    <w:rsid w:val="31DD00BF"/>
    <w:rsid w:val="3293174C"/>
    <w:rsid w:val="32BB38D4"/>
    <w:rsid w:val="32C9376D"/>
    <w:rsid w:val="33780472"/>
    <w:rsid w:val="33AF0905"/>
    <w:rsid w:val="33F5157C"/>
    <w:rsid w:val="34CC6722"/>
    <w:rsid w:val="35358AB9"/>
    <w:rsid w:val="355932F4"/>
    <w:rsid w:val="35611882"/>
    <w:rsid w:val="363C3B54"/>
    <w:rsid w:val="36746FC3"/>
    <w:rsid w:val="368763AE"/>
    <w:rsid w:val="37FE1C4C"/>
    <w:rsid w:val="395D59E7"/>
    <w:rsid w:val="39A93932"/>
    <w:rsid w:val="3A915562"/>
    <w:rsid w:val="3B060DA4"/>
    <w:rsid w:val="3B8D4765"/>
    <w:rsid w:val="3BF940A5"/>
    <w:rsid w:val="3C000DBA"/>
    <w:rsid w:val="3DC045D3"/>
    <w:rsid w:val="3DF5589F"/>
    <w:rsid w:val="3E4D0F8F"/>
    <w:rsid w:val="3E504FFB"/>
    <w:rsid w:val="3E615CD0"/>
    <w:rsid w:val="3E9C47F6"/>
    <w:rsid w:val="3F3146B5"/>
    <w:rsid w:val="3F5ACC94"/>
    <w:rsid w:val="3F8B0112"/>
    <w:rsid w:val="3FAB3095"/>
    <w:rsid w:val="3FE45947"/>
    <w:rsid w:val="3FFE2409"/>
    <w:rsid w:val="41242965"/>
    <w:rsid w:val="42D27F5D"/>
    <w:rsid w:val="42E86235"/>
    <w:rsid w:val="42FC76D0"/>
    <w:rsid w:val="435671EA"/>
    <w:rsid w:val="440809E9"/>
    <w:rsid w:val="442407A6"/>
    <w:rsid w:val="44805EA1"/>
    <w:rsid w:val="45710696"/>
    <w:rsid w:val="45FE322A"/>
    <w:rsid w:val="46142B1B"/>
    <w:rsid w:val="473301BF"/>
    <w:rsid w:val="47E60DD0"/>
    <w:rsid w:val="48735039"/>
    <w:rsid w:val="492C684B"/>
    <w:rsid w:val="49500594"/>
    <w:rsid w:val="497F6524"/>
    <w:rsid w:val="49E7604E"/>
    <w:rsid w:val="4A20088A"/>
    <w:rsid w:val="4AF31B98"/>
    <w:rsid w:val="4AF40C8C"/>
    <w:rsid w:val="4B6B7F7C"/>
    <w:rsid w:val="4BF67CDD"/>
    <w:rsid w:val="4C096A5F"/>
    <w:rsid w:val="4D173441"/>
    <w:rsid w:val="4D603DD6"/>
    <w:rsid w:val="4EBF010F"/>
    <w:rsid w:val="4F471EB0"/>
    <w:rsid w:val="4FDF6A44"/>
    <w:rsid w:val="51331326"/>
    <w:rsid w:val="51740A7F"/>
    <w:rsid w:val="51A5541E"/>
    <w:rsid w:val="51C96242"/>
    <w:rsid w:val="52917DD7"/>
    <w:rsid w:val="53906AE1"/>
    <w:rsid w:val="53973263"/>
    <w:rsid w:val="54F46F60"/>
    <w:rsid w:val="55A37BEA"/>
    <w:rsid w:val="56362CD2"/>
    <w:rsid w:val="5774562F"/>
    <w:rsid w:val="5784687B"/>
    <w:rsid w:val="57846959"/>
    <w:rsid w:val="578E6A87"/>
    <w:rsid w:val="5A2D57DD"/>
    <w:rsid w:val="5AC2203A"/>
    <w:rsid w:val="5B07285D"/>
    <w:rsid w:val="5BFF8C41"/>
    <w:rsid w:val="5CBB3334"/>
    <w:rsid w:val="5D115FAF"/>
    <w:rsid w:val="5E3E6996"/>
    <w:rsid w:val="5E617EBD"/>
    <w:rsid w:val="62811722"/>
    <w:rsid w:val="62E75A72"/>
    <w:rsid w:val="6356347F"/>
    <w:rsid w:val="63AD5DD7"/>
    <w:rsid w:val="64522861"/>
    <w:rsid w:val="64571880"/>
    <w:rsid w:val="649125B6"/>
    <w:rsid w:val="64EF5CAB"/>
    <w:rsid w:val="652F4C1A"/>
    <w:rsid w:val="666D37F1"/>
    <w:rsid w:val="667253BC"/>
    <w:rsid w:val="67087D8F"/>
    <w:rsid w:val="671F687E"/>
    <w:rsid w:val="67ED0DF1"/>
    <w:rsid w:val="67F415F8"/>
    <w:rsid w:val="682640D1"/>
    <w:rsid w:val="684B73E5"/>
    <w:rsid w:val="6A047A2A"/>
    <w:rsid w:val="6AAA163C"/>
    <w:rsid w:val="6B0D3978"/>
    <w:rsid w:val="6B3709F5"/>
    <w:rsid w:val="6B747317"/>
    <w:rsid w:val="6E920CE8"/>
    <w:rsid w:val="6EFB7548"/>
    <w:rsid w:val="6F3831C3"/>
    <w:rsid w:val="6F8B71C1"/>
    <w:rsid w:val="6FCC6462"/>
    <w:rsid w:val="70753482"/>
    <w:rsid w:val="707B522A"/>
    <w:rsid w:val="71FA1E47"/>
    <w:rsid w:val="726447C6"/>
    <w:rsid w:val="73194D05"/>
    <w:rsid w:val="73A83B0E"/>
    <w:rsid w:val="744D3EF9"/>
    <w:rsid w:val="74794411"/>
    <w:rsid w:val="75867C40"/>
    <w:rsid w:val="75B10B26"/>
    <w:rsid w:val="76432199"/>
    <w:rsid w:val="76F44829"/>
    <w:rsid w:val="77A267C0"/>
    <w:rsid w:val="77BFF99E"/>
    <w:rsid w:val="77E53480"/>
    <w:rsid w:val="77EB69D3"/>
    <w:rsid w:val="78882278"/>
    <w:rsid w:val="78B118A6"/>
    <w:rsid w:val="79135044"/>
    <w:rsid w:val="7A3C1B84"/>
    <w:rsid w:val="7A7D0F99"/>
    <w:rsid w:val="7C3C5E6C"/>
    <w:rsid w:val="7E4A0E7C"/>
    <w:rsid w:val="7EFD449D"/>
    <w:rsid w:val="7FFD0005"/>
    <w:rsid w:val="AFD55AC5"/>
    <w:rsid w:val="BFFDDB89"/>
    <w:rsid w:val="CEBD9370"/>
    <w:rsid w:val="E4BE61B6"/>
    <w:rsid w:val="FB5F447F"/>
    <w:rsid w:val="FDFF2856"/>
    <w:rsid w:val="FFFFD7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字符"/>
    <w:link w:val="2"/>
    <w:semiHidden/>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页眉 字符"/>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7937</Words>
  <Characters>10064</Characters>
  <Lines>65</Lines>
  <Paragraphs>18</Paragraphs>
  <TotalTime>31</TotalTime>
  <ScaleCrop>false</ScaleCrop>
  <LinksUpToDate>false</LinksUpToDate>
  <CharactersWithSpaces>10430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2022-09-09T01:57:00Z</dcterms:created>
  <dc:creator>管理者</dc:creator>
  <cp:lastModifiedBy>载入中. . .</cp:lastModifiedBy>
  <cp:lastPrinted>2023-09-14T07:21:00Z</cp:lastPrinted>
  <dcterms:modified xsi:type="dcterms:W3CDTF">2023-09-14T09:20:27Z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C5D978470A534A898F4AA9B3A56EFDFC_13</vt:lpwstr>
  </property>
</Properties>
</file>