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tabs>
          <w:tab w:val="left" w:pos="7815"/>
        </w:tabs>
        <w:jc w:val="left"/>
        <w:rPr>
          <w:rFonts w:ascii="黑体" w:hAnsi="宋体" w:eastAsia="黑体" w:cs="宋体"/>
          <w:kern w:val="0"/>
          <w:sz w:val="28"/>
          <w:szCs w:val="28"/>
        </w:rPr>
      </w:pPr>
      <w:r>
        <w:rPr>
          <w:rFonts w:hint="eastAsia" w:ascii="黑体" w:hAnsi="宋体" w:eastAsia="黑体" w:cs="宋体"/>
          <w:kern w:val="0"/>
          <w:sz w:val="28"/>
          <w:szCs w:val="28"/>
        </w:rPr>
        <w:tab/>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许昌实验小学单位决算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许昌实验小学概况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许昌实验小学概况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（一） 全面贯彻执行党和国家的教育方针、政策和法规，实施小学义务教育，促进基础教育发展。</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（二） 负责依法制定学校章程，并按照章程自主管理。</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（三） 负责制定学校教育发展规划，并抓好组织实施和落实工作。</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（四） 负责按照教育主管部门发布的指导性教育计划、教学大纲，组织实施教育教学活动。</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（五） 负责依据国家教育主管部门有关教学计划、课程设置等方面的规定，决定和实施本校的教学计划，组织教学评比、集体备课，对学生进行统一考核、考试等。</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（六） 负责科学管理、合理使用学校的设施和经费，并积极筹措资金，改善办学条件。</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（七） 负责维护学校、师生的合法权益，有权拒绝任何组织和个人对教育教学活动进行非法干涉。</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（八） 依法接受各级教育行政部门的检查指导和人民群众的监督。</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许昌实验小学内设机构4个，包括：教务处、总务处、办公室、保卫科。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从决算单位构成看，许昌实验小学单位决算包括：本级决算。纳入本单位2021年度决算编制范围的单位共1个，具体是：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许昌实验小学</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ind w:firstLine="600" w:firstLineChars="200"/>
        <w:jc w:val="center"/>
        <w:rPr>
          <w:rFonts w:ascii="宋体" w:hAnsi="宋体" w:cs="黑体"/>
          <w:sz w:val="30"/>
          <w:szCs w:val="30"/>
        </w:rPr>
      </w:pPr>
      <w:r>
        <w:rPr>
          <w:rFonts w:hint="eastAsia" w:ascii="宋体" w:hAnsi="宋体" w:cs="黑体"/>
          <w:sz w:val="30"/>
          <w:szCs w:val="30"/>
        </w:rPr>
        <w:t>收入支出决算总表</w:t>
      </w:r>
    </w:p>
    <w:p>
      <w:pPr>
        <w:rPr>
          <w:rFonts w:ascii="仿宋_GB2312" w:hAnsi="仿宋_GB2312" w:eastAsia="仿宋_GB2312" w:cs="仿宋_GB2312"/>
          <w:sz w:val="32"/>
          <w:szCs w:val="32"/>
        </w:rPr>
      </w:pPr>
    </w:p>
    <w:tbl>
      <w:tblPr>
        <w:tblStyle w:val="5"/>
        <w:tblW w:w="13770" w:type="dxa"/>
        <w:tblInd w:w="93" w:type="dxa"/>
        <w:tblLayout w:type="autofit"/>
        <w:tblCellMar>
          <w:top w:w="0" w:type="dxa"/>
          <w:left w:w="108" w:type="dxa"/>
          <w:bottom w:w="0" w:type="dxa"/>
          <w:right w:w="108" w:type="dxa"/>
        </w:tblCellMar>
      </w:tblPr>
      <w:tblGrid>
        <w:gridCol w:w="4215"/>
        <w:gridCol w:w="656"/>
        <w:gridCol w:w="1950"/>
        <w:gridCol w:w="4215"/>
        <w:gridCol w:w="1056"/>
        <w:gridCol w:w="1764"/>
      </w:tblGrid>
      <w:tr>
        <w:tblPrEx>
          <w:tblCellMar>
            <w:top w:w="0" w:type="dxa"/>
            <w:left w:w="108" w:type="dxa"/>
            <w:bottom w:w="0" w:type="dxa"/>
            <w:right w:w="108" w:type="dxa"/>
          </w:tblCellMar>
        </w:tblPrEx>
        <w:trPr>
          <w:trHeight w:val="260" w:hRule="atLeast"/>
        </w:trPr>
        <w:tc>
          <w:tcPr>
            <w:tcW w:w="421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7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95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421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820" w:type="dxa"/>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4,569.92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5,289.03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1,125.11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5,299.08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5,299.08</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90" w:type="dxa"/>
        <w:tblInd w:w="93" w:type="dxa"/>
        <w:tblLayout w:type="autofit"/>
        <w:tblCellMar>
          <w:top w:w="0" w:type="dxa"/>
          <w:left w:w="108" w:type="dxa"/>
          <w:bottom w:w="0" w:type="dxa"/>
          <w:right w:w="108" w:type="dxa"/>
        </w:tblCellMar>
      </w:tblPr>
      <w:tblGrid>
        <w:gridCol w:w="990"/>
        <w:gridCol w:w="3956"/>
        <w:gridCol w:w="1410"/>
        <w:gridCol w:w="1425"/>
        <w:gridCol w:w="1110"/>
        <w:gridCol w:w="1164"/>
        <w:gridCol w:w="1191"/>
        <w:gridCol w:w="1205"/>
        <w:gridCol w:w="1440"/>
      </w:tblGrid>
      <w:tr>
        <w:tblPrEx>
          <w:tblCellMar>
            <w:top w:w="0" w:type="dxa"/>
            <w:left w:w="108" w:type="dxa"/>
            <w:bottom w:w="0" w:type="dxa"/>
            <w:right w:w="108" w:type="dxa"/>
          </w:tblCellMar>
        </w:tblPrEx>
        <w:trPr>
          <w:trHeight w:val="390" w:hRule="atLeast"/>
        </w:trPr>
        <w:tc>
          <w:tcPr>
            <w:tcW w:w="13890"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4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42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11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18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2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80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4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8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7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80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4,173.98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4,173.98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3,485.20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3,485.20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3,452.56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3,452.56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3,149.84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3,149.84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302.71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302.71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568.58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568.58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550.16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550.16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307.47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307.47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242.69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242.69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101.65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05" w:type="dxa"/>
        <w:tblInd w:w="93" w:type="dxa"/>
        <w:tblLayout w:type="autofit"/>
        <w:tblCellMar>
          <w:top w:w="0" w:type="dxa"/>
          <w:left w:w="108" w:type="dxa"/>
          <w:bottom w:w="0" w:type="dxa"/>
          <w:right w:w="108" w:type="dxa"/>
        </w:tblCellMar>
      </w:tblPr>
      <w:tblGrid>
        <w:gridCol w:w="990"/>
        <w:gridCol w:w="3956"/>
        <w:gridCol w:w="1260"/>
        <w:gridCol w:w="1545"/>
        <w:gridCol w:w="1545"/>
        <w:gridCol w:w="1290"/>
        <w:gridCol w:w="1320"/>
        <w:gridCol w:w="1399"/>
      </w:tblGrid>
      <w:tr>
        <w:tblPrEx>
          <w:tblCellMar>
            <w:top w:w="0" w:type="dxa"/>
            <w:left w:w="108" w:type="dxa"/>
            <w:bottom w:w="0" w:type="dxa"/>
            <w:right w:w="108" w:type="dxa"/>
          </w:tblCellMar>
        </w:tblPrEx>
        <w:trPr>
          <w:trHeight w:val="390" w:hRule="atLeast"/>
        </w:trPr>
        <w:tc>
          <w:tcPr>
            <w:tcW w:w="13305"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5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54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29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32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42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26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2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6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54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9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2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42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4,108.37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1,180.66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1,180.66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4,534.88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1,145.62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3,548.96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159.70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特殊教育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2050701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特殊学校教育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573.04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573.04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328.97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328.97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244.08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244.08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5" w:type="dxa"/>
        <w:tblInd w:w="93" w:type="dxa"/>
        <w:tblLayout w:type="autofit"/>
        <w:tblCellMar>
          <w:top w:w="0" w:type="dxa"/>
          <w:left w:w="108" w:type="dxa"/>
          <w:bottom w:w="0" w:type="dxa"/>
          <w:right w:w="108" w:type="dxa"/>
        </w:tblCellMar>
      </w:tblPr>
      <w:tblGrid>
        <w:gridCol w:w="3480"/>
        <w:gridCol w:w="552"/>
        <w:gridCol w:w="1226"/>
        <w:gridCol w:w="3935"/>
        <w:gridCol w:w="552"/>
        <w:gridCol w:w="1202"/>
        <w:gridCol w:w="1259"/>
        <w:gridCol w:w="782"/>
        <w:gridCol w:w="947"/>
      </w:tblGrid>
      <w:tr>
        <w:tblPrEx>
          <w:tblCellMar>
            <w:top w:w="0" w:type="dxa"/>
            <w:left w:w="108" w:type="dxa"/>
            <w:bottom w:w="0" w:type="dxa"/>
            <w:right w:w="108" w:type="dxa"/>
          </w:tblCellMar>
        </w:tblPrEx>
        <w:trPr>
          <w:trHeight w:val="390" w:hRule="atLeast"/>
        </w:trPr>
        <w:tc>
          <w:tcPr>
            <w:tcW w:w="13935"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90" w:hRule="atLeast"/>
        </w:trPr>
        <w:tc>
          <w:tcPr>
            <w:tcW w:w="0" w:type="auto"/>
            <w:gridSpan w:val="7"/>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27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66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0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99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29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66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20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99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9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4,569.92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4,173.98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5,289.03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1,125.11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1,125.11</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5,299.08</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5,299.08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5,299.08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935" w:type="dxa"/>
            <w:gridSpan w:val="9"/>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990"/>
        <w:gridCol w:w="3956"/>
        <w:gridCol w:w="2242"/>
        <w:gridCol w:w="2242"/>
        <w:gridCol w:w="2242"/>
      </w:tblGrid>
      <w:tr>
        <w:tblPrEx>
          <w:tblCellMar>
            <w:top w:w="0" w:type="dxa"/>
            <w:left w:w="108" w:type="dxa"/>
            <w:bottom w:w="0" w:type="dxa"/>
            <w:right w:w="108" w:type="dxa"/>
          </w:tblCellMar>
        </w:tblPrEx>
        <w:trPr>
          <w:trHeight w:val="390" w:hRule="atLeast"/>
        </w:trPr>
        <w:tc>
          <w:tcPr>
            <w:tcW w:w="11670" w:type="dxa"/>
            <w:gridSpan w:val="5"/>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5,289.03</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4,108.37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1,180.66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4,569.92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1,180.66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普通教育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4,534.88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1,145.62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3,548.96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3,389.26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159.70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2050299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其他普通教育支出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985.92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985.92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特殊教育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2050701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特殊学校教育</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2059999</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其他教育支出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32.64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573.04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573.04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328.97</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328.97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244.08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244.08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60" w:type="dxa"/>
        <w:tblInd w:w="93" w:type="dxa"/>
        <w:tblLayout w:type="fixed"/>
        <w:tblCellMar>
          <w:top w:w="0" w:type="dxa"/>
          <w:left w:w="108" w:type="dxa"/>
          <w:bottom w:w="0" w:type="dxa"/>
          <w:right w:w="108" w:type="dxa"/>
        </w:tblCellMar>
      </w:tblPr>
      <w:tblGrid>
        <w:gridCol w:w="708"/>
        <w:gridCol w:w="3168"/>
        <w:gridCol w:w="1185"/>
        <w:gridCol w:w="668"/>
        <w:gridCol w:w="2041"/>
        <w:gridCol w:w="1015"/>
        <w:gridCol w:w="694"/>
        <w:gridCol w:w="3795"/>
        <w:gridCol w:w="986"/>
      </w:tblGrid>
      <w:tr>
        <w:tblPrEx>
          <w:tblCellMar>
            <w:top w:w="0" w:type="dxa"/>
            <w:left w:w="108" w:type="dxa"/>
            <w:bottom w:w="0" w:type="dxa"/>
            <w:right w:w="108" w:type="dxa"/>
          </w:tblCellMar>
        </w:tblPrEx>
        <w:trPr>
          <w:trHeight w:val="390" w:hRule="atLeast"/>
        </w:trPr>
        <w:tc>
          <w:tcPr>
            <w:tcW w:w="14260" w:type="dxa"/>
            <w:gridSpan w:val="9"/>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14260" w:type="dxa"/>
            <w:gridSpan w:val="9"/>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8785" w:type="dxa"/>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5475" w:type="dxa"/>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06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199"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70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16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8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66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04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1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694"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7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70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16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8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66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204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1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694"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37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9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74"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3,586.26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145.76</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1,395.43</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36.79</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1,081.22</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180.56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6.21</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9.49</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0.50</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226.17</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2.78</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9.41</w:t>
            </w:r>
          </w:p>
        </w:tc>
      </w:tr>
      <w:tr>
        <w:tblPrEx>
          <w:tblCellMar>
            <w:top w:w="0" w:type="dxa"/>
            <w:left w:w="108" w:type="dxa"/>
            <w:bottom w:w="0" w:type="dxa"/>
            <w:right w:w="108" w:type="dxa"/>
          </w:tblCellMar>
        </w:tblPrEx>
        <w:trPr>
          <w:trHeight w:val="755"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244.08</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17.37</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113.65</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2.00</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17.36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0.74</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201.40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11.71</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126.40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366.86</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60.30</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10.39</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277.51</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18.41</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10.63</w:t>
            </w: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0.08</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18.55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33.27</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0.95</w:t>
            </w:r>
          </w:p>
        </w:tc>
        <w:tc>
          <w:tcPr>
            <w:tcW w:w="694"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3795"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101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31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0.06</w:t>
            </w: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168"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668"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04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101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3.05</w:t>
            </w:r>
          </w:p>
        </w:tc>
        <w:tc>
          <w:tcPr>
            <w:tcW w:w="694"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3795"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rPr>
            </w:pPr>
          </w:p>
        </w:tc>
        <w:tc>
          <w:tcPr>
            <w:tcW w:w="98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7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1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3,953.12</w:t>
            </w:r>
          </w:p>
        </w:tc>
        <w:tc>
          <w:tcPr>
            <w:tcW w:w="8213"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98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155.25</w:t>
            </w:r>
          </w:p>
        </w:tc>
      </w:tr>
      <w:tr>
        <w:tblPrEx>
          <w:tblCellMar>
            <w:top w:w="0" w:type="dxa"/>
            <w:left w:w="108" w:type="dxa"/>
            <w:bottom w:w="0" w:type="dxa"/>
            <w:right w:w="108" w:type="dxa"/>
          </w:tblCellMar>
        </w:tblPrEx>
        <w:trPr>
          <w:trHeight w:val="308" w:hRule="atLeast"/>
        </w:trPr>
        <w:tc>
          <w:tcPr>
            <w:tcW w:w="14260" w:type="dxa"/>
            <w:gridSpan w:val="9"/>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5" w:type="dxa"/>
        <w:tblInd w:w="93" w:type="dxa"/>
        <w:tblLayout w:type="autofit"/>
        <w:tblCellMar>
          <w:top w:w="0" w:type="dxa"/>
          <w:left w:w="108" w:type="dxa"/>
          <w:bottom w:w="0" w:type="dxa"/>
          <w:right w:w="108" w:type="dxa"/>
        </w:tblCellMar>
      </w:tblPr>
      <w:tblGrid>
        <w:gridCol w:w="1410"/>
        <w:gridCol w:w="1230"/>
        <w:gridCol w:w="1035"/>
        <w:gridCol w:w="1110"/>
        <w:gridCol w:w="1050"/>
        <w:gridCol w:w="1095"/>
        <w:gridCol w:w="1140"/>
        <w:gridCol w:w="1140"/>
        <w:gridCol w:w="1035"/>
        <w:gridCol w:w="1170"/>
        <w:gridCol w:w="1110"/>
        <w:gridCol w:w="1410"/>
      </w:tblGrid>
      <w:tr>
        <w:tblPrEx>
          <w:tblCellMar>
            <w:top w:w="0" w:type="dxa"/>
            <w:left w:w="108" w:type="dxa"/>
            <w:bottom w:w="0" w:type="dxa"/>
            <w:right w:w="108" w:type="dxa"/>
          </w:tblCellMar>
        </w:tblPrEx>
        <w:trPr>
          <w:trHeight w:val="540" w:hRule="atLeast"/>
        </w:trPr>
        <w:tc>
          <w:tcPr>
            <w:tcW w:w="13935" w:type="dxa"/>
            <w:gridSpan w:val="12"/>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3"/>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7005"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3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19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0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15"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0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1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41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3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5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09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35"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7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935" w:type="dxa"/>
            <w:gridSpan w:val="12"/>
            <w:tcBorders>
              <w:top w:val="nil"/>
              <w:left w:val="nil"/>
              <w:bottom w:val="nil"/>
              <w:right w:val="nil"/>
            </w:tcBorders>
            <w:shd w:val="clear" w:color="auto" w:fill="FFFFFF"/>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20" w:type="dxa"/>
        <w:tblInd w:w="93" w:type="dxa"/>
        <w:tblLayout w:type="autofit"/>
        <w:tblCellMar>
          <w:top w:w="0" w:type="dxa"/>
          <w:left w:w="108" w:type="dxa"/>
          <w:bottom w:w="0" w:type="dxa"/>
          <w:right w:w="108" w:type="dxa"/>
        </w:tblCellMar>
      </w:tblPr>
      <w:tblGrid>
        <w:gridCol w:w="1303"/>
        <w:gridCol w:w="2003"/>
        <w:gridCol w:w="1646"/>
        <w:gridCol w:w="1714"/>
        <w:gridCol w:w="1933"/>
        <w:gridCol w:w="1714"/>
        <w:gridCol w:w="1674"/>
        <w:gridCol w:w="1933"/>
      </w:tblGrid>
      <w:tr>
        <w:tblPrEx>
          <w:tblCellMar>
            <w:top w:w="0" w:type="dxa"/>
            <w:left w:w="108" w:type="dxa"/>
            <w:bottom w:w="0" w:type="dxa"/>
            <w:right w:w="108" w:type="dxa"/>
          </w:tblCellMar>
        </w:tblPrEx>
        <w:trPr>
          <w:trHeight w:val="390" w:hRule="atLeast"/>
        </w:trPr>
        <w:tc>
          <w:tcPr>
            <w:tcW w:w="13920" w:type="dxa"/>
            <w:gridSpan w:val="8"/>
            <w:tcBorders>
              <w:top w:val="nil"/>
              <w:left w:val="nil"/>
              <w:bottom w:val="nil"/>
              <w:right w:val="nil"/>
            </w:tcBorders>
            <w:shd w:val="clear" w:color="auto" w:fill="FFFFFF"/>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单位：许昌实验小学</w:t>
            </w:r>
          </w:p>
        </w:tc>
        <w:tc>
          <w:tcPr>
            <w:tcW w:w="0" w:type="auto"/>
            <w:gridSpan w:val="2"/>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6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44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4515"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8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440"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9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440"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39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ind w:firstLine="240" w:firstLineChars="100"/>
        <w:jc w:val="left"/>
        <w:textAlignment w:val="center"/>
        <w:rPr>
          <w:rFonts w:ascii="宋体" w:hAnsi="宋体" w:cs="宋体"/>
          <w:color w:val="000000"/>
          <w:sz w:val="24"/>
          <w:szCs w:val="24"/>
        </w:rPr>
      </w:pPr>
      <w:r>
        <w:rPr>
          <w:rFonts w:hint="eastAsia" w:ascii="宋体" w:hAnsi="宋体" w:cs="宋体"/>
          <w:color w:val="000000"/>
          <w:sz w:val="24"/>
          <w:szCs w:val="24"/>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一、收入支出决算总体情况说明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2021年度收、支总计均为5299.08万元。与上年度相比，收、支总计各减少105.39万元，下降1.95%。主要原因是延时服务未拨付。</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二、收入决算情况说明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收入合计4173.98万元，其中：财政拨款收入4173.98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三、支出决算情况说明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2021年度支出合计5289.03万元，其中：基本支出4108.37万元，占77.68%；项目支出1180.66万元，占22.32%；上缴上级支出0.00万元，占0.00%；经营支出0.00万元，占0.00%；对附属单位补助支出0.00万元，占0.00%。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四、财政拨款收入支出决算总体情况说明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2021年度财政拨款收、支总计均为5299.08万元。与上年度相比，财政拨款收、支总计各减少105.39万元，下降1.95%。主要原因是延时服务未拨付。</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（一）总体情况。</w:t>
      </w:r>
    </w:p>
    <w:p>
      <w:pPr>
        <w:widowControl/>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 xml:space="preserve">   2021年度一般公共预算财政拨款支出5289.03万元，占支出合计的100.00%。与上年度相比，一般公共预算财政拨款支出增加990.77万元，增长23.05%。主要原因是教育教学投入的增加。</w:t>
      </w:r>
    </w:p>
    <w:p>
      <w:pPr>
        <w:widowControl/>
        <w:spacing w:line="59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（二）结构情况。</w:t>
      </w:r>
    </w:p>
    <w:p>
      <w:pPr>
        <w:widowControl/>
        <w:tabs>
          <w:tab w:val="left" w:pos="679"/>
        </w:tabs>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2021年度一般公共预算财政拨款支出5289.03万元，主要用于以下方面：一般公共服务（类）支出18.55万元，占0.35%；</w:t>
      </w:r>
      <w:r>
        <w:rPr>
          <w:rFonts w:hint="eastAsia" w:ascii="仿宋_GB2312" w:hAnsi="仿宋_GB2312" w:eastAsia="仿宋_GB2312" w:cs="仿宋_GB2312"/>
          <w:color w:val="000000"/>
          <w:sz w:val="32"/>
          <w:szCs w:val="32"/>
        </w:rPr>
        <w:t>教育（类）支出4569.92万元，占86.41%；社会保障和就业（类）支出591.46万元，占11.18%；卫生健康（类）支出109.10万元，占2.06%。</w:t>
      </w:r>
    </w:p>
    <w:p>
      <w:pPr>
        <w:widowControl/>
        <w:spacing w:line="59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（三）具体情况。</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2021年度一般公共预算财政拨款支出年初预算为3769.33万元，支出决算为5289.03万元，完成年初预算的140.32%。其中：</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1．一般公共服务支出（类）群众团体事务（款）工会事务（项）。</w:t>
      </w:r>
      <w:r>
        <w:rPr>
          <w:rFonts w:hint="eastAsia" w:ascii="仿宋_GB2312" w:hAnsi="仿宋_GB2312" w:eastAsia="仿宋_GB2312" w:cs="仿宋_GB2312"/>
          <w:color w:val="000000"/>
          <w:sz w:val="32"/>
          <w:szCs w:val="32"/>
        </w:rPr>
        <w:t>年初预算为18.55万元，支出决算为18.55万元，完成年初预算100.00%，决算数与年初预算数不存在差异。</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2.教育支出（类）普通教育（款）小学教育（项）。</w:t>
      </w:r>
      <w:r>
        <w:rPr>
          <w:rFonts w:hint="eastAsia" w:ascii="仿宋_GB2312" w:hAnsi="仿宋_GB2312" w:eastAsia="仿宋_GB2312" w:cs="仿宋_GB2312"/>
          <w:color w:val="000000"/>
          <w:sz w:val="32"/>
          <w:szCs w:val="32"/>
        </w:rPr>
        <w:t>年初预算为3084.30万元，支出决算为3548.96万元，完成年初预算的115.07%，决算数与年初预算数存在差异的主要原因是</w:t>
      </w:r>
      <w:r>
        <w:rPr>
          <w:rFonts w:hint="eastAsia" w:ascii="仿宋_GB2312" w:hAnsi="仿宋_GB2312" w:eastAsia="仿宋_GB2312"/>
          <w:color w:val="000000"/>
          <w:sz w:val="32"/>
          <w:szCs w:val="24"/>
        </w:rPr>
        <w:t>教育教学投入的增加</w:t>
      </w:r>
      <w:r>
        <w:rPr>
          <w:rFonts w:hint="eastAsia" w:ascii="仿宋_GB2312" w:hAnsi="仿宋_GB2312" w:eastAsia="仿宋_GB2312" w:cs="仿宋_GB2312"/>
          <w:color w:val="000000"/>
          <w:sz w:val="32"/>
          <w:szCs w:val="32"/>
        </w:rPr>
        <w:t>。</w:t>
      </w:r>
    </w:p>
    <w:p>
      <w:pPr>
        <w:widowControl/>
        <w:spacing w:line="59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3.教育支出（类）普通教育（款）其他普通教育（项）。</w:t>
      </w:r>
    </w:p>
    <w:p>
      <w:pPr>
        <w:widowControl/>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年初预算为0.00万元，支出决算为985.92万元，决算数与年初预算数存在差异的主要原因是年初未安排预算数。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4.教育支出（类）特殊教育（款）特殊学校教育（项）。</w:t>
      </w:r>
      <w:r>
        <w:rPr>
          <w:rFonts w:hint="eastAsia" w:ascii="仿宋_GB2312" w:hAnsi="仿宋_GB2312" w:eastAsia="仿宋_GB2312" w:cs="仿宋_GB2312"/>
          <w:color w:val="000000"/>
          <w:sz w:val="32"/>
          <w:szCs w:val="32"/>
        </w:rPr>
        <w:t>年初预算为0.00万元，支出决算为2.40万元，决算数与年初预算数存在差异的主要原因是年初未安排预算数。</w:t>
      </w:r>
    </w:p>
    <w:p>
      <w:pPr>
        <w:widowControl/>
        <w:spacing w:line="59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5.教育支出（类）其他教育支出（款）其他教育支出（项）。</w:t>
      </w:r>
      <w:r>
        <w:rPr>
          <w:rFonts w:hint="eastAsia" w:ascii="仿宋_GB2312" w:hAnsi="仿宋_GB2312" w:eastAsia="仿宋_GB2312" w:cs="仿宋_GB2312"/>
          <w:color w:val="000000"/>
          <w:sz w:val="32"/>
          <w:szCs w:val="32"/>
        </w:rPr>
        <w:t>年初预算为0.00万元，支出决算为32.64万元，决算数与年初预算数存在差异的主要原因是</w:t>
      </w:r>
      <w:r>
        <w:rPr>
          <w:rFonts w:hint="eastAsia" w:ascii="仿宋_GB2312" w:hAnsi="仿宋_GB2312" w:eastAsia="仿宋_GB2312"/>
          <w:color w:val="000000"/>
          <w:sz w:val="32"/>
          <w:szCs w:val="24"/>
        </w:rPr>
        <w:t>教育教学投入的增加</w:t>
      </w:r>
      <w:r>
        <w:rPr>
          <w:rFonts w:hint="eastAsia" w:ascii="仿宋_GB2312" w:hAnsi="仿宋_GB2312" w:eastAsia="仿宋_GB2312" w:cs="仿宋_GB2312"/>
          <w:color w:val="000000"/>
          <w:sz w:val="32"/>
          <w:szCs w:val="32"/>
        </w:rPr>
        <w:t>。</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6.社会保障和就业支出（类）行政事业单位养老支出（款）事业单位离退休（项）。</w:t>
      </w:r>
      <w:r>
        <w:rPr>
          <w:rFonts w:hint="eastAsia" w:ascii="仿宋_GB2312" w:hAnsi="仿宋_GB2312" w:eastAsia="仿宋_GB2312" w:cs="仿宋_GB2312"/>
          <w:color w:val="000000"/>
          <w:sz w:val="32"/>
          <w:szCs w:val="32"/>
        </w:rPr>
        <w:t>年初预算为295.46万元，支出决算为328.97万元，完成年初预算的111.34%，决算数与年初预算数存在差异的主要原因是离退休人员增加。</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7.社会保障和就业支出（类）行政事业单位养老支出（款）机关事业单位基本养老保险缴费支出（项）。</w:t>
      </w:r>
      <w:r>
        <w:rPr>
          <w:rFonts w:hint="eastAsia" w:ascii="仿宋_GB2312" w:hAnsi="仿宋_GB2312" w:eastAsia="仿宋_GB2312" w:cs="仿宋_GB2312"/>
          <w:color w:val="000000"/>
          <w:sz w:val="32"/>
          <w:szCs w:val="32"/>
        </w:rPr>
        <w:t>年初预算为266.59万元，支出决算为244.08万元，完成年初预算的91.56%，决算数与年初预算数存在差异的主要原因在职人员转退休</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8.社会保障和就业支出（类）抚恤（款）死亡抚恤（项）。</w:t>
      </w:r>
      <w:r>
        <w:rPr>
          <w:rFonts w:hint="eastAsia" w:ascii="仿宋_GB2312" w:hAnsi="仿宋_GB2312" w:eastAsia="仿宋_GB2312" w:cs="仿宋_GB2312"/>
          <w:color w:val="000000"/>
          <w:sz w:val="32"/>
          <w:szCs w:val="32"/>
        </w:rPr>
        <w:t>年初预算为0.00万元，支出决算为18.41万元，决算数与年初预算数存在差异的主要原因是当年追加死亡人员抚恤金和丧葬费预算。</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9.卫生健康支出（类）行政事业单位医疗（款）事业单位医疗（项）。</w:t>
      </w:r>
      <w:r>
        <w:rPr>
          <w:rFonts w:hint="eastAsia" w:ascii="仿宋_GB2312" w:hAnsi="仿宋_GB2312" w:eastAsia="仿宋_GB2312" w:cs="仿宋_GB2312"/>
          <w:color w:val="000000"/>
          <w:sz w:val="32"/>
          <w:szCs w:val="32"/>
        </w:rPr>
        <w:t>年初预算为104.43万元，支出决算为109.10万元，完成年初预算的104.47%，。决算数与年初预算数存在差异的主要原因是在职人员晋级晋档。</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度一般公共预算财政拨款基本支出4108.37万元。其中：人员经费3953.12万元，主要包括：基本工资、津贴补贴、奖金、绩效工资、机关事业单位基本养老保险缴费、职工基本医疗保险缴费、其他社会保障缴费、住房公积金、其他工资福利支出、离休费、退休费、抚恤金、生活补助；公用经费155.25万元，主要包括：办公费、咨询费、手续费、水费、电费、邮电费、取暖费、差旅费、维修（护）费、培训费、专用材料费、工会经费、福利费、公务用车运行维护费、税金及附加费用、其他商品和服务支出、办公设备购置、其他资本性支出。</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（一）“三公”经费财政拨款支出决算总体情况说明。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w:t>
      </w:r>
      <w:r>
        <w:rPr>
          <w:rFonts w:eastAsia="Times New Roman"/>
          <w:color w:val="000000"/>
          <w:sz w:val="32"/>
          <w:szCs w:val="24"/>
        </w:rPr>
        <w:t>“</w:t>
      </w:r>
      <w:r>
        <w:rPr>
          <w:rFonts w:hint="eastAsia" w:ascii="仿宋_GB2312" w:hAnsi="仿宋_GB2312" w:eastAsia="仿宋_GB2312"/>
          <w:color w:val="000000"/>
          <w:sz w:val="32"/>
          <w:szCs w:val="24"/>
        </w:rPr>
        <w:t>三公</w:t>
      </w:r>
      <w:r>
        <w:rPr>
          <w:rFonts w:eastAsia="Times New Roman"/>
          <w:color w:val="000000"/>
          <w:sz w:val="32"/>
          <w:szCs w:val="24"/>
        </w:rPr>
        <w:t>”</w:t>
      </w:r>
      <w:r>
        <w:rPr>
          <w:rFonts w:hint="eastAsia" w:ascii="仿宋_GB2312" w:hAnsi="仿宋_GB2312" w:eastAsia="仿宋_GB2312"/>
          <w:color w:val="000000"/>
          <w:sz w:val="32"/>
          <w:szCs w:val="24"/>
        </w:rPr>
        <w:t>经费财政拨款支出预算为10.32万元，支出决算为0.95万元，完成预算的</w:t>
      </w:r>
      <w:r>
        <w:rPr>
          <w:rFonts w:hint="eastAsia" w:ascii="仿宋_GB2312" w:hAnsi="仿宋_GB2312" w:eastAsia="仿宋_GB2312"/>
          <w:color w:val="000000"/>
          <w:sz w:val="32"/>
          <w:szCs w:val="24"/>
          <w:lang w:val="en-US" w:eastAsia="zh-CN"/>
        </w:rPr>
        <w:t>9.20</w:t>
      </w:r>
      <w:r>
        <w:rPr>
          <w:rFonts w:hint="eastAsia" w:ascii="仿宋_GB2312" w:hAnsi="仿宋_GB2312" w:eastAsia="仿宋_GB2312"/>
          <w:color w:val="000000"/>
          <w:sz w:val="32"/>
          <w:szCs w:val="24"/>
        </w:rPr>
        <w:t>%。2021年度</w:t>
      </w:r>
      <w:r>
        <w:rPr>
          <w:rFonts w:eastAsia="Times New Roman"/>
          <w:color w:val="000000"/>
          <w:sz w:val="32"/>
          <w:szCs w:val="24"/>
        </w:rPr>
        <w:t>“</w:t>
      </w:r>
      <w:r>
        <w:rPr>
          <w:rFonts w:hint="eastAsia" w:ascii="仿宋_GB2312" w:hAnsi="仿宋_GB2312" w:eastAsia="仿宋_GB2312"/>
          <w:color w:val="000000"/>
          <w:sz w:val="32"/>
          <w:szCs w:val="24"/>
        </w:rPr>
        <w:t>三公</w:t>
      </w:r>
      <w:r>
        <w:rPr>
          <w:rFonts w:eastAsia="Times New Roman"/>
          <w:color w:val="000000"/>
          <w:sz w:val="32"/>
          <w:szCs w:val="24"/>
        </w:rPr>
        <w:t>”</w:t>
      </w:r>
      <w:r>
        <w:rPr>
          <w:rFonts w:hint="eastAsia" w:ascii="仿宋_GB2312" w:hAnsi="仿宋_GB2312" w:eastAsia="仿宋_GB2312"/>
          <w:color w:val="000000"/>
          <w:sz w:val="32"/>
          <w:szCs w:val="24"/>
        </w:rPr>
        <w:t>经费支出决算数与预算数存在差异的主要原因是</w:t>
      </w:r>
      <w:r>
        <w:rPr>
          <w:rFonts w:hint="eastAsia" w:ascii="仿宋_GB2312" w:hAnsi="仿宋_GB2312" w:eastAsia="仿宋_GB2312" w:cs="仿宋_GB2312"/>
          <w:color w:val="000000"/>
          <w:sz w:val="32"/>
          <w:szCs w:val="32"/>
        </w:rPr>
        <w:t>本年度没有发生公务接待费、</w:t>
      </w:r>
      <w:r>
        <w:rPr>
          <w:rFonts w:hint="eastAsia" w:ascii="仿宋_GB2312" w:hAnsi="仿宋_GB2312" w:eastAsia="仿宋_GB2312"/>
          <w:color w:val="000000"/>
          <w:sz w:val="32"/>
          <w:szCs w:val="24"/>
        </w:rPr>
        <w:t>本年度压缩三公经费支出</w:t>
      </w:r>
      <w:r>
        <w:rPr>
          <w:rFonts w:hint="eastAsia" w:ascii="仿宋_GB2312" w:hAnsi="仿宋_GB2312" w:eastAsia="仿宋_GB2312" w:cs="仿宋_GB2312"/>
          <w:color w:val="000000"/>
          <w:sz w:val="32"/>
          <w:szCs w:val="32"/>
        </w:rPr>
        <w:t>。</w:t>
      </w:r>
    </w:p>
    <w:p>
      <w:pPr>
        <w:widowControl/>
        <w:spacing w:line="590" w:lineRule="exact"/>
        <w:ind w:firstLine="643"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（二）“三公”经费财政拨款支出决算具体情况说明。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w:t>
      </w:r>
      <w:r>
        <w:rPr>
          <w:rFonts w:eastAsia="Times New Roman"/>
          <w:color w:val="000000"/>
          <w:sz w:val="32"/>
          <w:szCs w:val="24"/>
        </w:rPr>
        <w:t>“</w:t>
      </w:r>
      <w:r>
        <w:rPr>
          <w:rFonts w:hint="eastAsia" w:ascii="仿宋_GB2312" w:hAnsi="仿宋_GB2312" w:eastAsia="仿宋_GB2312"/>
          <w:color w:val="000000"/>
          <w:sz w:val="32"/>
          <w:szCs w:val="24"/>
        </w:rPr>
        <w:t>三公</w:t>
      </w:r>
      <w:r>
        <w:rPr>
          <w:rFonts w:eastAsia="Times New Roman"/>
          <w:color w:val="000000"/>
          <w:sz w:val="32"/>
          <w:szCs w:val="24"/>
        </w:rPr>
        <w:t>”</w:t>
      </w:r>
      <w:r>
        <w:rPr>
          <w:rFonts w:hint="eastAsia" w:ascii="仿宋_GB2312" w:hAnsi="仿宋_GB2312" w:eastAsia="仿宋_GB2312"/>
          <w:color w:val="000000"/>
          <w:sz w:val="32"/>
          <w:szCs w:val="24"/>
        </w:rPr>
        <w:t>经费财政拨款支出决算中，因公出国（境）费支出决算0.00万元；公务用车购置及运行费支出决算0.95万元，完成预算的95.00%，占100%；公务接待费支出决算0.00万元；具体情况如下：</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1．因公出国（境）费</w:t>
      </w:r>
      <w:r>
        <w:rPr>
          <w:rFonts w:hint="eastAsia" w:ascii="仿宋_GB2312" w:hAnsi="仿宋_GB2312" w:eastAsia="仿宋_GB2312" w:cs="仿宋_GB2312"/>
          <w:color w:val="000000"/>
          <w:sz w:val="32"/>
          <w:szCs w:val="32"/>
        </w:rPr>
        <w:t>预算为0.00万元，支出决算为0.00万元。决算数与预算数不存在差异，</w:t>
      </w:r>
      <w:r>
        <w:rPr>
          <w:rFonts w:hint="eastAsia" w:ascii="仿宋_GB2312" w:hAnsi="仿宋_GB2312" w:eastAsia="仿宋_GB2312"/>
          <w:color w:val="000000"/>
          <w:sz w:val="32"/>
          <w:szCs w:val="24"/>
        </w:rPr>
        <w:t>因公出国（境）团组数0个，因公出国（境）人次数0人。</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2．公务用车购置及运行费</w:t>
      </w:r>
      <w:r>
        <w:rPr>
          <w:rFonts w:hint="eastAsia" w:ascii="仿宋_GB2312" w:hAnsi="仿宋_GB2312" w:eastAsia="仿宋_GB2312"/>
          <w:color w:val="000000"/>
          <w:sz w:val="32"/>
          <w:szCs w:val="24"/>
        </w:rPr>
        <w:t>预算为1.00万元，支出决算为0.95万元，完成年初预算的95.00%，决算数与年初预算数存在差异的主要原因是本年度压缩公务用车维护费支出。其中：</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为0.00万元，购置车辆0台。</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公务用车运行支出</w:t>
      </w:r>
      <w:r>
        <w:rPr>
          <w:rFonts w:hint="eastAsia" w:ascii="仿宋_GB2312" w:hAnsi="仿宋_GB2312" w:eastAsia="仿宋_GB2312" w:cs="仿宋_GB2312"/>
          <w:color w:val="000000"/>
          <w:sz w:val="32"/>
          <w:szCs w:val="32"/>
        </w:rPr>
        <w:t>0.95万元。主要用于公务用车维护运行相关费用支出。</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年期末，单位开支财政拨款的公务用车保有量为1辆。</w:t>
      </w:r>
    </w:p>
    <w:p>
      <w:pPr>
        <w:widowControl/>
        <w:numPr>
          <w:ilvl w:val="0"/>
          <w:numId w:val="2"/>
        </w:numPr>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公务接待费</w:t>
      </w:r>
      <w:r>
        <w:rPr>
          <w:rFonts w:hint="eastAsia" w:ascii="仿宋_GB2312" w:hAnsi="仿宋_GB2312" w:eastAsia="仿宋_GB2312"/>
          <w:color w:val="000000"/>
          <w:sz w:val="32"/>
          <w:szCs w:val="24"/>
        </w:rPr>
        <w:t>预算为9.32万元，支出决算为0.00万元。决算数与年初预算数存在差异的主要原因是</w:t>
      </w:r>
      <w:r>
        <w:rPr>
          <w:rFonts w:hint="eastAsia" w:ascii="仿宋_GB2312" w:hAnsi="仿宋_GB2312" w:eastAsia="仿宋_GB2312" w:cs="仿宋_GB2312"/>
          <w:color w:val="000000"/>
          <w:sz w:val="32"/>
          <w:szCs w:val="32"/>
        </w:rPr>
        <w:t>本年度没有发生公务接待费</w:t>
      </w:r>
      <w:r>
        <w:rPr>
          <w:rFonts w:hint="eastAsia" w:ascii="仿宋_GB2312" w:hAnsi="仿宋_GB2312" w:eastAsia="仿宋_GB2312"/>
          <w:color w:val="000000"/>
          <w:sz w:val="32"/>
          <w:szCs w:val="24"/>
        </w:rPr>
        <w:t>。其中：</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外宾接待支出</w:t>
      </w:r>
      <w:r>
        <w:rPr>
          <w:rFonts w:hint="eastAsia" w:ascii="仿宋_GB2312" w:hAnsi="仿宋_GB2312" w:eastAsia="仿宋_GB2312" w:cs="仿宋_GB2312"/>
          <w:color w:val="000000"/>
          <w:sz w:val="32"/>
          <w:szCs w:val="32"/>
        </w:rPr>
        <w:t>0.00万元。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其他国内公务接待支出</w:t>
      </w:r>
      <w:r>
        <w:rPr>
          <w:rFonts w:hint="eastAsia" w:ascii="仿宋_GB2312" w:hAnsi="仿宋_GB2312" w:eastAsia="仿宋_GB2312" w:cs="仿宋_GB2312"/>
          <w:color w:val="000000"/>
          <w:sz w:val="32"/>
          <w:szCs w:val="32"/>
        </w:rPr>
        <w:t>0.00万元。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八、政府性基金预算财政拨款支出决算情况说明</w:t>
      </w:r>
    </w:p>
    <w:p>
      <w:pPr>
        <w:spacing w:line="590" w:lineRule="exact"/>
        <w:ind w:firstLine="640" w:firstLineChars="200"/>
        <w:rPr>
          <w:rFonts w:eastAsia="Times New Roman"/>
          <w:color w:val="000000"/>
          <w:kern w:val="0"/>
          <w:sz w:val="18"/>
          <w:szCs w:val="24"/>
          <w:lang w:val="zh-CN"/>
        </w:rPr>
      </w:pPr>
      <w:r>
        <w:rPr>
          <w:rFonts w:hint="eastAsia" w:ascii="仿宋_GB2312" w:hAnsi="仿宋_GB2312" w:eastAsia="仿宋_GB2312"/>
          <w:color w:val="000000"/>
          <w:sz w:val="32"/>
          <w:szCs w:val="24"/>
        </w:rPr>
        <w:t>2021年度政府性基金预算财政拨款支出年初预算为0.00万元，支出决算为0.00万元。不存在项目年末结转和结余资金数额较大，我单位2021年度没有政府性基金收入，也没有使用政府性基金安排的支出。</w:t>
      </w:r>
    </w:p>
    <w:p>
      <w:pPr>
        <w:widowControl/>
        <w:spacing w:line="590" w:lineRule="exact"/>
        <w:ind w:firstLine="640" w:firstLineChars="200"/>
        <w:rPr>
          <w:rFonts w:ascii="仿宋_GB2312" w:hAnsi="仿宋_GB2312" w:eastAsia="仿宋_GB2312" w:cs="仿宋_GB2312"/>
          <w:color w:val="000000"/>
          <w:sz w:val="32"/>
          <w:szCs w:val="32"/>
        </w:rPr>
      </w:pP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九、机关运行经费支出情况说明</w:t>
      </w:r>
    </w:p>
    <w:p>
      <w:pPr>
        <w:widowControl/>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十、政府采购支出情况说明</w:t>
      </w:r>
    </w:p>
    <w:p>
      <w:pPr>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olor w:val="000000"/>
          <w:sz w:val="32"/>
          <w:szCs w:val="24"/>
        </w:rPr>
        <w:t>2021年度政府采购支出总额418.79万元，其中：政府采购货物支出130.72万元、政府采购工程支出288.07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十一、国有资产占用情况说明</w:t>
      </w:r>
    </w:p>
    <w:p>
      <w:pPr>
        <w:widowControl/>
        <w:spacing w:line="59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000000"/>
          <w:sz w:val="32"/>
          <w:szCs w:val="32"/>
        </w:rPr>
      </w:pPr>
      <w:r>
        <w:rPr>
          <w:rFonts w:hint="eastAsia" w:ascii="黑体" w:hAnsi="黑体" w:eastAsia="黑体" w:cs="黑体"/>
          <w:color w:val="000000"/>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（一）绩效管理工作开展情况。</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3769.33万元，其中：基本支出3715.24万元；支出项目1个，支出金额54.09万元。开展项目绩效自评项目1个，自评金额54.09万元。</w:t>
      </w:r>
    </w:p>
    <w:p>
      <w:pPr>
        <w:widowControl/>
        <w:spacing w:line="360" w:lineRule="auto"/>
        <w:ind w:firstLine="643"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（二）单位整体和项目绩效自评结果。</w:t>
      </w:r>
    </w:p>
    <w:p>
      <w:pPr>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按照《许昌市财政局关于开展2021年度市级预算绩效自评工作的通知》（许财效</w:t>
      </w:r>
      <w:bookmarkStart w:id="0" w:name="_GoBack"/>
      <w:bookmarkEnd w:id="0"/>
      <w:r>
        <w:rPr>
          <w:rFonts w:hint="eastAsia" w:ascii="仿宋_GB2312" w:hAnsi="仿宋_GB2312" w:eastAsia="仿宋_GB2312" w:cs="仿宋_GB2312"/>
          <w:color w:val="000000"/>
          <w:sz w:val="32"/>
          <w:szCs w:val="32"/>
        </w:rPr>
        <w:t>〔2022〕1号）等文件精神，我单位对本单位整体绩效目标和项目支出绩效目标进行了自评。一是单位整体绩效自评情况本年度我单位绩效工作已开展，并参加了由财政局组织的相关培训，整体绩效全年执行率为100.00%，绩效指标得分95分。二是项目绩效自评情况。我单位共有1个项目批复了绩效目标。</w:t>
      </w:r>
      <w:r>
        <w:rPr>
          <w:rFonts w:hint="eastAsia" w:ascii="仿宋_GB2312" w:hAnsi="仿宋_GB2312" w:eastAsia="仿宋_GB2312" w:cs="仿宋_GB2312"/>
          <w:bCs/>
          <w:color w:val="000000"/>
          <w:sz w:val="32"/>
          <w:szCs w:val="32"/>
        </w:rPr>
        <w:t>2021年我单位项目资金预算主要是校园运行维护费，年初预算54.09万元，全年执行数54.09万元，执行率100.00%。</w:t>
      </w:r>
    </w:p>
    <w:p>
      <w:pPr>
        <w:widowControl/>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项目预期目标的实现程度，对2021年度项目支出绩效进行自评，绩效自评平均得分为94.00分。其中：1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（三）重点绩效评价结果。</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2021年度我单位没有开展重点绩效评价的项目。</w:t>
      </w:r>
    </w:p>
    <w:p>
      <w:pPr>
        <w:widowControl/>
        <w:ind w:firstLine="560" w:firstLineChars="200"/>
        <w:jc w:val="left"/>
        <w:rPr>
          <w:rFonts w:ascii="黑体" w:hAnsi="宋体" w:eastAsia="黑体" w:cs="宋体"/>
          <w:color w:val="000000"/>
          <w:kern w:val="0"/>
          <w:sz w:val="28"/>
          <w:szCs w:val="28"/>
        </w:rPr>
      </w:pPr>
    </w:p>
    <w:p>
      <w:pPr>
        <w:widowControl/>
        <w:ind w:firstLine="560" w:firstLineChars="200"/>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outlineLvl w:val="0"/>
        <w:rPr>
          <w:rFonts w:ascii="黑体" w:hAnsi="黑体" w:eastAsia="黑体" w:cs="黑体"/>
          <w:color w:val="000000"/>
          <w:sz w:val="48"/>
          <w:szCs w:val="48"/>
        </w:rPr>
      </w:pPr>
    </w:p>
    <w:p>
      <w:pPr>
        <w:jc w:val="center"/>
        <w:outlineLvl w:val="0"/>
        <w:rPr>
          <w:rFonts w:ascii="黑体" w:hAnsi="黑体" w:eastAsia="黑体" w:cs="黑体"/>
          <w:color w:val="000000"/>
          <w:sz w:val="48"/>
          <w:szCs w:val="48"/>
        </w:rPr>
      </w:pPr>
      <w:r>
        <w:rPr>
          <w:rFonts w:hint="eastAsia" w:ascii="黑体" w:hAnsi="黑体" w:eastAsia="黑体" w:cs="黑体"/>
          <w:color w:val="000000"/>
          <w:sz w:val="48"/>
          <w:szCs w:val="48"/>
        </w:rPr>
        <w:t>第四部分  名词解释</w:t>
      </w:r>
    </w:p>
    <w:p>
      <w:pPr>
        <w:jc w:val="center"/>
        <w:rPr>
          <w:rFonts w:ascii="黑体" w:hAnsi="黑体" w:eastAsia="黑体" w:cs="黑体"/>
          <w:color w:val="000000"/>
          <w:sz w:val="48"/>
          <w:szCs w:val="48"/>
        </w:rPr>
      </w:pPr>
    </w:p>
    <w:p>
      <w:pPr>
        <w:jc w:val="center"/>
        <w:outlineLvl w:val="0"/>
        <w:rPr>
          <w:rFonts w:ascii="黑体" w:hAnsi="黑体" w:eastAsia="黑体" w:cs="黑体"/>
          <w:color w:val="000000"/>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13568"/>
    <w:multiLevelType w:val="singleLevel"/>
    <w:tmpl w:val="B6B13568"/>
    <w:lvl w:ilvl="0" w:tentative="0">
      <w:start w:val="3"/>
      <w:numFmt w:val="decimal"/>
      <w:lvlText w:val="%1."/>
      <w:lvlJc w:val="left"/>
      <w:pPr>
        <w:tabs>
          <w:tab w:val="left" w:pos="312"/>
        </w:tabs>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43144"/>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02A10"/>
    <w:rsid w:val="00214AE1"/>
    <w:rsid w:val="00260D70"/>
    <w:rsid w:val="00281114"/>
    <w:rsid w:val="00282C7F"/>
    <w:rsid w:val="00287811"/>
    <w:rsid w:val="00292B4B"/>
    <w:rsid w:val="002A6352"/>
    <w:rsid w:val="002B3F94"/>
    <w:rsid w:val="002C171D"/>
    <w:rsid w:val="002E6A86"/>
    <w:rsid w:val="00304D04"/>
    <w:rsid w:val="00305B88"/>
    <w:rsid w:val="00315FEB"/>
    <w:rsid w:val="003B1BFE"/>
    <w:rsid w:val="003D73C1"/>
    <w:rsid w:val="003E7ADB"/>
    <w:rsid w:val="0041489C"/>
    <w:rsid w:val="0042585F"/>
    <w:rsid w:val="00444309"/>
    <w:rsid w:val="00445CAC"/>
    <w:rsid w:val="00472E19"/>
    <w:rsid w:val="00487869"/>
    <w:rsid w:val="004D5275"/>
    <w:rsid w:val="004F63DB"/>
    <w:rsid w:val="00505190"/>
    <w:rsid w:val="00507364"/>
    <w:rsid w:val="00546F7C"/>
    <w:rsid w:val="005A0C2F"/>
    <w:rsid w:val="005B1AE2"/>
    <w:rsid w:val="005D6F03"/>
    <w:rsid w:val="005E3397"/>
    <w:rsid w:val="00603600"/>
    <w:rsid w:val="00607D67"/>
    <w:rsid w:val="006228C4"/>
    <w:rsid w:val="00636C37"/>
    <w:rsid w:val="006512DD"/>
    <w:rsid w:val="00656BEF"/>
    <w:rsid w:val="00656D75"/>
    <w:rsid w:val="00657E86"/>
    <w:rsid w:val="00673EF7"/>
    <w:rsid w:val="006841E9"/>
    <w:rsid w:val="0069449E"/>
    <w:rsid w:val="006A5681"/>
    <w:rsid w:val="006B79BF"/>
    <w:rsid w:val="006C07F0"/>
    <w:rsid w:val="006C644A"/>
    <w:rsid w:val="006C7D84"/>
    <w:rsid w:val="0070324F"/>
    <w:rsid w:val="007148E8"/>
    <w:rsid w:val="00733DAA"/>
    <w:rsid w:val="00742BA0"/>
    <w:rsid w:val="00753545"/>
    <w:rsid w:val="00764156"/>
    <w:rsid w:val="007706D7"/>
    <w:rsid w:val="007879ED"/>
    <w:rsid w:val="007A48A3"/>
    <w:rsid w:val="007C029F"/>
    <w:rsid w:val="007C7F49"/>
    <w:rsid w:val="007D2A21"/>
    <w:rsid w:val="00843461"/>
    <w:rsid w:val="00853128"/>
    <w:rsid w:val="008651E7"/>
    <w:rsid w:val="00872946"/>
    <w:rsid w:val="0088023A"/>
    <w:rsid w:val="008858FB"/>
    <w:rsid w:val="008877F6"/>
    <w:rsid w:val="00894B41"/>
    <w:rsid w:val="008B5427"/>
    <w:rsid w:val="008C7CD0"/>
    <w:rsid w:val="00903F6B"/>
    <w:rsid w:val="009173F9"/>
    <w:rsid w:val="009308CB"/>
    <w:rsid w:val="00950270"/>
    <w:rsid w:val="00962F58"/>
    <w:rsid w:val="00975A04"/>
    <w:rsid w:val="00987E71"/>
    <w:rsid w:val="009A13B3"/>
    <w:rsid w:val="009F0FBB"/>
    <w:rsid w:val="009F546E"/>
    <w:rsid w:val="00A079F0"/>
    <w:rsid w:val="00A42F43"/>
    <w:rsid w:val="00A51982"/>
    <w:rsid w:val="00A57BF7"/>
    <w:rsid w:val="00A71DC1"/>
    <w:rsid w:val="00A83D8A"/>
    <w:rsid w:val="00A93E7D"/>
    <w:rsid w:val="00AA260E"/>
    <w:rsid w:val="00AA44CB"/>
    <w:rsid w:val="00AA67CD"/>
    <w:rsid w:val="00AD6761"/>
    <w:rsid w:val="00AE2E45"/>
    <w:rsid w:val="00AE2FEA"/>
    <w:rsid w:val="00AE600E"/>
    <w:rsid w:val="00B0083B"/>
    <w:rsid w:val="00B040BC"/>
    <w:rsid w:val="00B209B8"/>
    <w:rsid w:val="00B20BBC"/>
    <w:rsid w:val="00B249F3"/>
    <w:rsid w:val="00B649BE"/>
    <w:rsid w:val="00B653A5"/>
    <w:rsid w:val="00B710DD"/>
    <w:rsid w:val="00B922D4"/>
    <w:rsid w:val="00BE5A85"/>
    <w:rsid w:val="00BF4E6A"/>
    <w:rsid w:val="00BF5718"/>
    <w:rsid w:val="00C13474"/>
    <w:rsid w:val="00C3106E"/>
    <w:rsid w:val="00C3110C"/>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03801"/>
    <w:rsid w:val="00F14C17"/>
    <w:rsid w:val="00F17041"/>
    <w:rsid w:val="00F218CF"/>
    <w:rsid w:val="00F22F9D"/>
    <w:rsid w:val="00F314E5"/>
    <w:rsid w:val="00F43F5D"/>
    <w:rsid w:val="00F44937"/>
    <w:rsid w:val="00F61A47"/>
    <w:rsid w:val="00F84422"/>
    <w:rsid w:val="00F95455"/>
    <w:rsid w:val="00FA297F"/>
    <w:rsid w:val="00FA574D"/>
    <w:rsid w:val="00FC2588"/>
    <w:rsid w:val="00FD2872"/>
    <w:rsid w:val="00FE7AD9"/>
    <w:rsid w:val="01322275"/>
    <w:rsid w:val="01821B74"/>
    <w:rsid w:val="019422A6"/>
    <w:rsid w:val="01B6046E"/>
    <w:rsid w:val="01DC6F05"/>
    <w:rsid w:val="0264611C"/>
    <w:rsid w:val="02A3489A"/>
    <w:rsid w:val="02CA138D"/>
    <w:rsid w:val="033646FC"/>
    <w:rsid w:val="0341020B"/>
    <w:rsid w:val="038500F8"/>
    <w:rsid w:val="03A762C0"/>
    <w:rsid w:val="03C75F80"/>
    <w:rsid w:val="04567CE7"/>
    <w:rsid w:val="04726FC9"/>
    <w:rsid w:val="0478364D"/>
    <w:rsid w:val="048C3B4E"/>
    <w:rsid w:val="04CE1F73"/>
    <w:rsid w:val="04E23328"/>
    <w:rsid w:val="053D4C0D"/>
    <w:rsid w:val="055661F0"/>
    <w:rsid w:val="0557532E"/>
    <w:rsid w:val="057B115B"/>
    <w:rsid w:val="05CC0260"/>
    <w:rsid w:val="05DD22CE"/>
    <w:rsid w:val="0648365F"/>
    <w:rsid w:val="06540256"/>
    <w:rsid w:val="06D030DE"/>
    <w:rsid w:val="070457D8"/>
    <w:rsid w:val="07972AF0"/>
    <w:rsid w:val="0799329C"/>
    <w:rsid w:val="07AD5E6F"/>
    <w:rsid w:val="07D40D35"/>
    <w:rsid w:val="07E04497"/>
    <w:rsid w:val="08397436"/>
    <w:rsid w:val="086F16A7"/>
    <w:rsid w:val="08732C15"/>
    <w:rsid w:val="08A74FB5"/>
    <w:rsid w:val="08E375DA"/>
    <w:rsid w:val="09187C60"/>
    <w:rsid w:val="09C6296F"/>
    <w:rsid w:val="09EA33AB"/>
    <w:rsid w:val="0A0F7225"/>
    <w:rsid w:val="0A24644D"/>
    <w:rsid w:val="0A2B7D82"/>
    <w:rsid w:val="0A4E393A"/>
    <w:rsid w:val="0A9B6A6D"/>
    <w:rsid w:val="0ADC40E9"/>
    <w:rsid w:val="0AE607F4"/>
    <w:rsid w:val="0B077F8D"/>
    <w:rsid w:val="0B386127"/>
    <w:rsid w:val="0B451598"/>
    <w:rsid w:val="0B4B7E79"/>
    <w:rsid w:val="0B4E798E"/>
    <w:rsid w:val="0BB974D9"/>
    <w:rsid w:val="0BEC73F4"/>
    <w:rsid w:val="0BF027CF"/>
    <w:rsid w:val="0BFE4EEC"/>
    <w:rsid w:val="0C392698"/>
    <w:rsid w:val="0C3C2A5B"/>
    <w:rsid w:val="0C5114BF"/>
    <w:rsid w:val="0C7958B5"/>
    <w:rsid w:val="0C917B0E"/>
    <w:rsid w:val="0CC872A8"/>
    <w:rsid w:val="0D157BAE"/>
    <w:rsid w:val="0D89139E"/>
    <w:rsid w:val="0D8B0A01"/>
    <w:rsid w:val="0E76345F"/>
    <w:rsid w:val="0E941B37"/>
    <w:rsid w:val="0EFE3455"/>
    <w:rsid w:val="0F8D660A"/>
    <w:rsid w:val="10030D22"/>
    <w:rsid w:val="10294501"/>
    <w:rsid w:val="10BD36F6"/>
    <w:rsid w:val="110E660B"/>
    <w:rsid w:val="119F59BD"/>
    <w:rsid w:val="11BF0649"/>
    <w:rsid w:val="12351DFD"/>
    <w:rsid w:val="123C676E"/>
    <w:rsid w:val="123E3E08"/>
    <w:rsid w:val="12425795"/>
    <w:rsid w:val="12647A72"/>
    <w:rsid w:val="12850115"/>
    <w:rsid w:val="1295087A"/>
    <w:rsid w:val="13054DB2"/>
    <w:rsid w:val="13230DBA"/>
    <w:rsid w:val="133212F4"/>
    <w:rsid w:val="133E4E86"/>
    <w:rsid w:val="13D22E22"/>
    <w:rsid w:val="14961A2A"/>
    <w:rsid w:val="14F43330"/>
    <w:rsid w:val="151B157A"/>
    <w:rsid w:val="15545B7C"/>
    <w:rsid w:val="156404B5"/>
    <w:rsid w:val="161C2DFF"/>
    <w:rsid w:val="16373578"/>
    <w:rsid w:val="167209B0"/>
    <w:rsid w:val="16866209"/>
    <w:rsid w:val="16D3336B"/>
    <w:rsid w:val="17035AAC"/>
    <w:rsid w:val="17200028"/>
    <w:rsid w:val="17806C36"/>
    <w:rsid w:val="17A74F62"/>
    <w:rsid w:val="17AC7EF2"/>
    <w:rsid w:val="18356139"/>
    <w:rsid w:val="18A47774"/>
    <w:rsid w:val="197B5DCD"/>
    <w:rsid w:val="19B47531"/>
    <w:rsid w:val="1A623059"/>
    <w:rsid w:val="1A8D28EB"/>
    <w:rsid w:val="1A9F2D78"/>
    <w:rsid w:val="1B2C32BB"/>
    <w:rsid w:val="1B2E6FD8"/>
    <w:rsid w:val="1B877D21"/>
    <w:rsid w:val="1C0C301E"/>
    <w:rsid w:val="1C4319A9"/>
    <w:rsid w:val="1C493F61"/>
    <w:rsid w:val="1CBF4223"/>
    <w:rsid w:val="1D3F5364"/>
    <w:rsid w:val="1DAD49C3"/>
    <w:rsid w:val="1E443B4B"/>
    <w:rsid w:val="1E994F4A"/>
    <w:rsid w:val="1EAF0224"/>
    <w:rsid w:val="1F182311"/>
    <w:rsid w:val="1F2230A4"/>
    <w:rsid w:val="1F9A4E2D"/>
    <w:rsid w:val="1FE54021"/>
    <w:rsid w:val="20210932"/>
    <w:rsid w:val="202448E0"/>
    <w:rsid w:val="205E01F7"/>
    <w:rsid w:val="207277FE"/>
    <w:rsid w:val="20784E15"/>
    <w:rsid w:val="20CE712B"/>
    <w:rsid w:val="20F614FE"/>
    <w:rsid w:val="20FB77F4"/>
    <w:rsid w:val="20FF5536"/>
    <w:rsid w:val="21302EEA"/>
    <w:rsid w:val="21486EDD"/>
    <w:rsid w:val="22376FB5"/>
    <w:rsid w:val="231921B3"/>
    <w:rsid w:val="23256DAA"/>
    <w:rsid w:val="232A616E"/>
    <w:rsid w:val="232C638A"/>
    <w:rsid w:val="232F19D7"/>
    <w:rsid w:val="235D6544"/>
    <w:rsid w:val="23B87C1E"/>
    <w:rsid w:val="23CC71B3"/>
    <w:rsid w:val="23E152D7"/>
    <w:rsid w:val="23EE2489"/>
    <w:rsid w:val="240A66CC"/>
    <w:rsid w:val="243F3E9B"/>
    <w:rsid w:val="24C0322E"/>
    <w:rsid w:val="255D43C8"/>
    <w:rsid w:val="256736AA"/>
    <w:rsid w:val="25F0369F"/>
    <w:rsid w:val="26714EF8"/>
    <w:rsid w:val="26876BDD"/>
    <w:rsid w:val="26CF4A3D"/>
    <w:rsid w:val="2714632A"/>
    <w:rsid w:val="273B077A"/>
    <w:rsid w:val="27541E73"/>
    <w:rsid w:val="27A37350"/>
    <w:rsid w:val="27B0539E"/>
    <w:rsid w:val="27FE6547"/>
    <w:rsid w:val="28043432"/>
    <w:rsid w:val="283B5CC8"/>
    <w:rsid w:val="283D06F2"/>
    <w:rsid w:val="289B1FE8"/>
    <w:rsid w:val="28BB61E6"/>
    <w:rsid w:val="28EB63A0"/>
    <w:rsid w:val="29365CF8"/>
    <w:rsid w:val="299469B3"/>
    <w:rsid w:val="29BF1D06"/>
    <w:rsid w:val="29E347B4"/>
    <w:rsid w:val="2A0C4820"/>
    <w:rsid w:val="2A805789"/>
    <w:rsid w:val="2ADC0D75"/>
    <w:rsid w:val="2B397896"/>
    <w:rsid w:val="2B4A0E52"/>
    <w:rsid w:val="2B88437A"/>
    <w:rsid w:val="2C8E776E"/>
    <w:rsid w:val="2C975890"/>
    <w:rsid w:val="2DEF21BB"/>
    <w:rsid w:val="2E4A2F05"/>
    <w:rsid w:val="2ECC1061"/>
    <w:rsid w:val="2EEB70FA"/>
    <w:rsid w:val="2F0401BB"/>
    <w:rsid w:val="2F1F1AC1"/>
    <w:rsid w:val="2F3326A3"/>
    <w:rsid w:val="2F75449A"/>
    <w:rsid w:val="2FA476AD"/>
    <w:rsid w:val="2FD1009E"/>
    <w:rsid w:val="303F7540"/>
    <w:rsid w:val="30470360"/>
    <w:rsid w:val="30AC1625"/>
    <w:rsid w:val="311566B0"/>
    <w:rsid w:val="31A83080"/>
    <w:rsid w:val="31BB2DB3"/>
    <w:rsid w:val="31BE810A"/>
    <w:rsid w:val="31DD00BF"/>
    <w:rsid w:val="31E56082"/>
    <w:rsid w:val="3273368E"/>
    <w:rsid w:val="328A09D8"/>
    <w:rsid w:val="3293174C"/>
    <w:rsid w:val="32AB72CC"/>
    <w:rsid w:val="32BB38D4"/>
    <w:rsid w:val="32C9376D"/>
    <w:rsid w:val="33492641"/>
    <w:rsid w:val="33780472"/>
    <w:rsid w:val="33AF0905"/>
    <w:rsid w:val="33E800AC"/>
    <w:rsid w:val="33EF143A"/>
    <w:rsid w:val="344A6670"/>
    <w:rsid w:val="3498562E"/>
    <w:rsid w:val="34D86E99"/>
    <w:rsid w:val="34FA0097"/>
    <w:rsid w:val="350D601C"/>
    <w:rsid w:val="355932F4"/>
    <w:rsid w:val="35611882"/>
    <w:rsid w:val="35635364"/>
    <w:rsid w:val="363B355D"/>
    <w:rsid w:val="36581519"/>
    <w:rsid w:val="36746FC3"/>
    <w:rsid w:val="368763AE"/>
    <w:rsid w:val="377834F5"/>
    <w:rsid w:val="37DA79AC"/>
    <w:rsid w:val="37FA1725"/>
    <w:rsid w:val="38507FCD"/>
    <w:rsid w:val="3862667F"/>
    <w:rsid w:val="38996341"/>
    <w:rsid w:val="38DE382B"/>
    <w:rsid w:val="38F372D7"/>
    <w:rsid w:val="39400042"/>
    <w:rsid w:val="395D59E7"/>
    <w:rsid w:val="399A1E48"/>
    <w:rsid w:val="39A93932"/>
    <w:rsid w:val="39DA66B4"/>
    <w:rsid w:val="3A915562"/>
    <w:rsid w:val="3AAA2B43"/>
    <w:rsid w:val="3AC151B3"/>
    <w:rsid w:val="3AC4360F"/>
    <w:rsid w:val="3AF15A98"/>
    <w:rsid w:val="3B2714BA"/>
    <w:rsid w:val="3B645349"/>
    <w:rsid w:val="3B8D4765"/>
    <w:rsid w:val="3BC92571"/>
    <w:rsid w:val="3BDA29D0"/>
    <w:rsid w:val="3C000DBA"/>
    <w:rsid w:val="3C0B4937"/>
    <w:rsid w:val="3C7977E5"/>
    <w:rsid w:val="3D2A3992"/>
    <w:rsid w:val="3D2C1009"/>
    <w:rsid w:val="3DC045D3"/>
    <w:rsid w:val="3E46434D"/>
    <w:rsid w:val="3E504FFB"/>
    <w:rsid w:val="3E615CD0"/>
    <w:rsid w:val="3E9C47F6"/>
    <w:rsid w:val="3F152DF8"/>
    <w:rsid w:val="3F340649"/>
    <w:rsid w:val="3F7FEFEF"/>
    <w:rsid w:val="3F8B0112"/>
    <w:rsid w:val="3FAB3095"/>
    <w:rsid w:val="3FAC4683"/>
    <w:rsid w:val="3FB13A48"/>
    <w:rsid w:val="3FE45947"/>
    <w:rsid w:val="3FF102E8"/>
    <w:rsid w:val="409969B6"/>
    <w:rsid w:val="40F57B0B"/>
    <w:rsid w:val="40F736DC"/>
    <w:rsid w:val="41242965"/>
    <w:rsid w:val="4168282C"/>
    <w:rsid w:val="41764F49"/>
    <w:rsid w:val="424E37D0"/>
    <w:rsid w:val="42D31F27"/>
    <w:rsid w:val="43036368"/>
    <w:rsid w:val="435671EA"/>
    <w:rsid w:val="43601A0D"/>
    <w:rsid w:val="436F1C50"/>
    <w:rsid w:val="440809E9"/>
    <w:rsid w:val="442407A6"/>
    <w:rsid w:val="44805EA1"/>
    <w:rsid w:val="449F47B6"/>
    <w:rsid w:val="45440EBA"/>
    <w:rsid w:val="45710696"/>
    <w:rsid w:val="45DF53C5"/>
    <w:rsid w:val="46142B1B"/>
    <w:rsid w:val="46BB51AC"/>
    <w:rsid w:val="46DC75FC"/>
    <w:rsid w:val="47037A73"/>
    <w:rsid w:val="472D7E58"/>
    <w:rsid w:val="474E6020"/>
    <w:rsid w:val="47721D0E"/>
    <w:rsid w:val="479F062A"/>
    <w:rsid w:val="47B75973"/>
    <w:rsid w:val="47E60DD0"/>
    <w:rsid w:val="4812529F"/>
    <w:rsid w:val="482D3E87"/>
    <w:rsid w:val="48735039"/>
    <w:rsid w:val="48F03833"/>
    <w:rsid w:val="48FF5824"/>
    <w:rsid w:val="492C684B"/>
    <w:rsid w:val="49500594"/>
    <w:rsid w:val="49765266"/>
    <w:rsid w:val="49D7054F"/>
    <w:rsid w:val="49E7604E"/>
    <w:rsid w:val="4A77763C"/>
    <w:rsid w:val="4B06733D"/>
    <w:rsid w:val="4B756271"/>
    <w:rsid w:val="4BF67CDD"/>
    <w:rsid w:val="4C0C0983"/>
    <w:rsid w:val="4CF431C6"/>
    <w:rsid w:val="4CF84A64"/>
    <w:rsid w:val="4D173441"/>
    <w:rsid w:val="4D5B4FF3"/>
    <w:rsid w:val="4D603DD6"/>
    <w:rsid w:val="4D970721"/>
    <w:rsid w:val="4DB072A3"/>
    <w:rsid w:val="4DF72F6D"/>
    <w:rsid w:val="4EBF010F"/>
    <w:rsid w:val="4EDF107B"/>
    <w:rsid w:val="4F3D2C02"/>
    <w:rsid w:val="4F471EB0"/>
    <w:rsid w:val="4F7E3B05"/>
    <w:rsid w:val="4FAA7ED4"/>
    <w:rsid w:val="504B75A0"/>
    <w:rsid w:val="50A63AE7"/>
    <w:rsid w:val="51331326"/>
    <w:rsid w:val="51740A7F"/>
    <w:rsid w:val="51915487"/>
    <w:rsid w:val="51A5541E"/>
    <w:rsid w:val="51C96242"/>
    <w:rsid w:val="51CA43A1"/>
    <w:rsid w:val="525E180D"/>
    <w:rsid w:val="52976ACD"/>
    <w:rsid w:val="52AB7255"/>
    <w:rsid w:val="52B23907"/>
    <w:rsid w:val="53906AE1"/>
    <w:rsid w:val="539574B0"/>
    <w:rsid w:val="53BD6A07"/>
    <w:rsid w:val="54BF230B"/>
    <w:rsid w:val="54F46F60"/>
    <w:rsid w:val="5507618C"/>
    <w:rsid w:val="55A37BEA"/>
    <w:rsid w:val="56362CD2"/>
    <w:rsid w:val="567A298E"/>
    <w:rsid w:val="56E31F89"/>
    <w:rsid w:val="56FB2217"/>
    <w:rsid w:val="57081D47"/>
    <w:rsid w:val="57295971"/>
    <w:rsid w:val="5784687B"/>
    <w:rsid w:val="57846959"/>
    <w:rsid w:val="578E6A87"/>
    <w:rsid w:val="57FA6232"/>
    <w:rsid w:val="58450D79"/>
    <w:rsid w:val="588E2720"/>
    <w:rsid w:val="59391443"/>
    <w:rsid w:val="5A3D0EC9"/>
    <w:rsid w:val="5A5359CF"/>
    <w:rsid w:val="5A8A500D"/>
    <w:rsid w:val="5AB956CA"/>
    <w:rsid w:val="5AC2203A"/>
    <w:rsid w:val="5B6028C0"/>
    <w:rsid w:val="5B991B08"/>
    <w:rsid w:val="5BEA3FEC"/>
    <w:rsid w:val="5C197C99"/>
    <w:rsid w:val="5C643EC4"/>
    <w:rsid w:val="5CBB3334"/>
    <w:rsid w:val="5CE2303B"/>
    <w:rsid w:val="5D115FAF"/>
    <w:rsid w:val="5D7719D5"/>
    <w:rsid w:val="5EB10F16"/>
    <w:rsid w:val="5FCB6008"/>
    <w:rsid w:val="600D6620"/>
    <w:rsid w:val="604C7149"/>
    <w:rsid w:val="60765F74"/>
    <w:rsid w:val="60964868"/>
    <w:rsid w:val="609D5BF6"/>
    <w:rsid w:val="60CF38D6"/>
    <w:rsid w:val="611C6575"/>
    <w:rsid w:val="615D36B8"/>
    <w:rsid w:val="623C31ED"/>
    <w:rsid w:val="626764BC"/>
    <w:rsid w:val="62811722"/>
    <w:rsid w:val="62C03E1E"/>
    <w:rsid w:val="62E75A72"/>
    <w:rsid w:val="63352116"/>
    <w:rsid w:val="63C82F8A"/>
    <w:rsid w:val="63E458EA"/>
    <w:rsid w:val="64571880"/>
    <w:rsid w:val="64836EB1"/>
    <w:rsid w:val="649125B6"/>
    <w:rsid w:val="64947310"/>
    <w:rsid w:val="64EF7828"/>
    <w:rsid w:val="652F4C1A"/>
    <w:rsid w:val="65C2639F"/>
    <w:rsid w:val="65CF57E3"/>
    <w:rsid w:val="666D37F1"/>
    <w:rsid w:val="67087D8F"/>
    <w:rsid w:val="671F687E"/>
    <w:rsid w:val="67A91325"/>
    <w:rsid w:val="67C820E5"/>
    <w:rsid w:val="67F415F8"/>
    <w:rsid w:val="682640D1"/>
    <w:rsid w:val="684B73E5"/>
    <w:rsid w:val="68FB170C"/>
    <w:rsid w:val="69831701"/>
    <w:rsid w:val="69E2696D"/>
    <w:rsid w:val="69EB1906"/>
    <w:rsid w:val="6A047A2A"/>
    <w:rsid w:val="6A5D139E"/>
    <w:rsid w:val="6AB10892"/>
    <w:rsid w:val="6AE71EDB"/>
    <w:rsid w:val="6B361121"/>
    <w:rsid w:val="6B631BEA"/>
    <w:rsid w:val="6B8E0C3D"/>
    <w:rsid w:val="6BB838E4"/>
    <w:rsid w:val="6BDF3567"/>
    <w:rsid w:val="6D3F0BBB"/>
    <w:rsid w:val="6D5B6C1D"/>
    <w:rsid w:val="6E146265"/>
    <w:rsid w:val="6E657628"/>
    <w:rsid w:val="6EA91C0A"/>
    <w:rsid w:val="6EE4631B"/>
    <w:rsid w:val="6EFB7548"/>
    <w:rsid w:val="6F0D3F47"/>
    <w:rsid w:val="6F3326BD"/>
    <w:rsid w:val="6F3831C3"/>
    <w:rsid w:val="6F8B71C1"/>
    <w:rsid w:val="6FE078AE"/>
    <w:rsid w:val="70753482"/>
    <w:rsid w:val="707B522A"/>
    <w:rsid w:val="71B903B6"/>
    <w:rsid w:val="71F65166"/>
    <w:rsid w:val="71F8619A"/>
    <w:rsid w:val="73194D05"/>
    <w:rsid w:val="73A83B0E"/>
    <w:rsid w:val="73D03795"/>
    <w:rsid w:val="744D3EF9"/>
    <w:rsid w:val="74794411"/>
    <w:rsid w:val="74A4534E"/>
    <w:rsid w:val="74BB2B21"/>
    <w:rsid w:val="750E6C6B"/>
    <w:rsid w:val="754028AA"/>
    <w:rsid w:val="75735347"/>
    <w:rsid w:val="757A7E5C"/>
    <w:rsid w:val="75867C40"/>
    <w:rsid w:val="75910012"/>
    <w:rsid w:val="75B10B26"/>
    <w:rsid w:val="75B82733"/>
    <w:rsid w:val="76432199"/>
    <w:rsid w:val="766D79C1"/>
    <w:rsid w:val="76F44829"/>
    <w:rsid w:val="77767249"/>
    <w:rsid w:val="77843214"/>
    <w:rsid w:val="77A267C0"/>
    <w:rsid w:val="786077DD"/>
    <w:rsid w:val="78882278"/>
    <w:rsid w:val="78B118A6"/>
    <w:rsid w:val="79135044"/>
    <w:rsid w:val="792F268D"/>
    <w:rsid w:val="79963EAD"/>
    <w:rsid w:val="7A574C10"/>
    <w:rsid w:val="7A7D0F99"/>
    <w:rsid w:val="7B2745E3"/>
    <w:rsid w:val="7BFF9CC4"/>
    <w:rsid w:val="7D124E1E"/>
    <w:rsid w:val="7D455504"/>
    <w:rsid w:val="7DB163E5"/>
    <w:rsid w:val="7E45730E"/>
    <w:rsid w:val="7E4A0E7C"/>
    <w:rsid w:val="7EFD449D"/>
    <w:rsid w:val="7F3826D1"/>
    <w:rsid w:val="7F517E80"/>
    <w:rsid w:val="7FB34697"/>
    <w:rsid w:val="DDF5B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1897</Words>
  <Characters>10818</Characters>
  <Lines>90</Lines>
  <Paragraphs>25</Paragraphs>
  <TotalTime>71</TotalTime>
  <ScaleCrop>false</ScaleCrop>
  <LinksUpToDate>false</LinksUpToDate>
  <CharactersWithSpaces>12690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ahui</cp:lastModifiedBy>
  <cp:lastPrinted>2018-07-24T18:50:00Z</cp:lastPrinted>
  <dcterms:modified xsi:type="dcterms:W3CDTF">2023-09-12T10:08:38Z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81E912FA3CBA4BE5A9C887FFE8CEB9D7_13</vt:lpwstr>
  </property>
</Properties>
</file>