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jc w:val="center"/>
        <w:rPr>
          <w:rFonts w:hint="eastAsia" w:ascii="黑体" w:hAnsi="黑体" w:eastAsia="黑体" w:cs="黑体"/>
          <w:color w:val="000000"/>
          <w:sz w:val="52"/>
          <w:szCs w:val="52"/>
          <w:highlight w:val="none"/>
          <w:shd w:val="clear" w:color="auto" w:fill="auto"/>
        </w:rPr>
      </w:pPr>
      <w:r>
        <w:rPr>
          <w:rFonts w:hint="eastAsia" w:ascii="黑体" w:hAnsi="黑体" w:eastAsia="黑体" w:cs="黑体"/>
          <w:color w:val="000000"/>
          <w:sz w:val="52"/>
          <w:szCs w:val="52"/>
          <w:highlight w:val="none"/>
          <w:shd w:val="clear" w:color="auto" w:fill="auto"/>
        </w:rPr>
        <w:t>20</w:t>
      </w:r>
      <w:r>
        <w:rPr>
          <w:rFonts w:ascii="黑体" w:hAnsi="黑体" w:eastAsia="黑体" w:cs="黑体"/>
          <w:color w:val="000000"/>
          <w:sz w:val="52"/>
          <w:szCs w:val="52"/>
          <w:highlight w:val="none"/>
          <w:shd w:val="clear" w:color="auto" w:fill="auto"/>
        </w:rPr>
        <w:t>21</w:t>
      </w:r>
      <w:r>
        <w:rPr>
          <w:rFonts w:hint="eastAsia" w:ascii="黑体" w:hAnsi="黑体" w:eastAsia="黑体" w:cs="黑体"/>
          <w:color w:val="000000"/>
          <w:sz w:val="52"/>
          <w:szCs w:val="52"/>
          <w:highlight w:val="none"/>
          <w:shd w:val="clear" w:color="auto" w:fill="auto"/>
        </w:rPr>
        <w:t>年度</w:t>
      </w:r>
    </w:p>
    <w:p>
      <w:pPr>
        <w:jc w:val="center"/>
        <w:rPr>
          <w:rFonts w:hint="eastAsia" w:ascii="黑体" w:hAnsi="黑体" w:eastAsia="黑体" w:cs="黑体"/>
          <w:color w:val="000000"/>
          <w:sz w:val="52"/>
          <w:szCs w:val="52"/>
          <w:highlight w:val="none"/>
          <w:shd w:val="clear" w:color="auto" w:fill="auto"/>
        </w:rPr>
      </w:pPr>
      <w:r>
        <w:rPr>
          <w:rFonts w:hint="eastAsia" w:ascii="黑体" w:hAnsi="黑体" w:eastAsia="黑体" w:cs="黑体"/>
          <w:color w:val="000000"/>
          <w:sz w:val="52"/>
          <w:szCs w:val="52"/>
          <w:highlight w:val="none"/>
          <w:shd w:val="clear" w:color="auto" w:fill="auto"/>
          <w:lang w:eastAsia="zh-CN"/>
        </w:rPr>
        <w:t>许昌实验中学单位</w:t>
      </w:r>
      <w:r>
        <w:rPr>
          <w:rFonts w:hint="eastAsia" w:ascii="黑体" w:hAnsi="黑体" w:eastAsia="黑体" w:cs="黑体"/>
          <w:color w:val="000000"/>
          <w:sz w:val="52"/>
          <w:szCs w:val="52"/>
          <w:highlight w:val="none"/>
          <w:shd w:val="clear" w:color="auto" w:fill="auto"/>
        </w:rPr>
        <w:t>决算</w:t>
      </w:r>
    </w:p>
    <w:p>
      <w:pPr>
        <w:jc w:val="center"/>
        <w:rPr>
          <w:rFonts w:ascii="黑体" w:hAnsi="黑体" w:eastAsia="黑体" w:cs="黑体"/>
          <w:color w:val="000000"/>
          <w:sz w:val="52"/>
          <w:szCs w:val="52"/>
          <w:highlight w:val="none"/>
          <w:shd w:val="clear" w:color="auto" w:fill="auto"/>
        </w:rPr>
      </w:pPr>
    </w:p>
    <w:p>
      <w:pPr>
        <w:jc w:val="center"/>
        <w:rPr>
          <w:rFonts w:hint="eastAsia" w:ascii="黑体" w:hAnsi="黑体" w:eastAsia="黑体" w:cs="黑体"/>
          <w:color w:val="000000"/>
          <w:sz w:val="52"/>
          <w:szCs w:val="52"/>
          <w:highlight w:val="none"/>
          <w:shd w:val="clear" w:color="auto" w:fill="auto"/>
        </w:rPr>
      </w:pPr>
    </w:p>
    <w:p>
      <w:pPr>
        <w:jc w:val="center"/>
        <w:rPr>
          <w:rFonts w:hint="eastAsia" w:ascii="黑体" w:hAnsi="黑体" w:eastAsia="黑体" w:cs="黑体"/>
          <w:color w:val="000000"/>
          <w:sz w:val="52"/>
          <w:szCs w:val="52"/>
          <w:highlight w:val="none"/>
          <w:shd w:val="clear" w:color="auto" w:fill="auto"/>
        </w:rPr>
      </w:pPr>
    </w:p>
    <w:p>
      <w:pPr>
        <w:jc w:val="center"/>
        <w:rPr>
          <w:rFonts w:hint="eastAsia" w:ascii="黑体" w:hAnsi="黑体" w:eastAsia="黑体" w:cs="黑体"/>
          <w:color w:val="000000"/>
          <w:sz w:val="52"/>
          <w:szCs w:val="52"/>
          <w:highlight w:val="none"/>
          <w:shd w:val="clear" w:color="auto" w:fill="auto"/>
        </w:rPr>
      </w:pPr>
    </w:p>
    <w:p>
      <w:pPr>
        <w:jc w:val="center"/>
        <w:rPr>
          <w:rFonts w:hint="eastAsia" w:ascii="黑体" w:hAnsi="黑体" w:eastAsia="黑体" w:cs="黑体"/>
          <w:color w:val="000000"/>
          <w:sz w:val="52"/>
          <w:szCs w:val="52"/>
          <w:highlight w:val="none"/>
          <w:shd w:val="clear" w:color="auto" w:fill="auto"/>
        </w:rPr>
      </w:pPr>
    </w:p>
    <w:p>
      <w:pPr>
        <w:jc w:val="center"/>
        <w:rPr>
          <w:rFonts w:hint="eastAsia" w:ascii="黑体" w:hAnsi="黑体" w:eastAsia="黑体" w:cs="黑体"/>
          <w:color w:val="000000"/>
          <w:sz w:val="52"/>
          <w:szCs w:val="52"/>
          <w:highlight w:val="none"/>
          <w:shd w:val="clear" w:color="auto" w:fill="auto"/>
        </w:rPr>
      </w:pPr>
    </w:p>
    <w:p>
      <w:pPr>
        <w:jc w:val="center"/>
        <w:rPr>
          <w:rFonts w:hint="eastAsia" w:ascii="黑体" w:hAnsi="黑体" w:eastAsia="黑体" w:cs="黑体"/>
          <w:color w:val="000000"/>
          <w:sz w:val="32"/>
          <w:szCs w:val="32"/>
          <w:highlight w:val="none"/>
          <w:shd w:val="clear" w:color="auto" w:fill="auto"/>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000000"/>
          <w:sz w:val="32"/>
          <w:szCs w:val="32"/>
          <w:highlight w:val="none"/>
          <w:shd w:val="clear" w:color="auto" w:fill="auto"/>
        </w:rPr>
        <w:t>二〇二二年</w:t>
      </w:r>
      <w:r>
        <w:rPr>
          <w:rFonts w:hint="eastAsia" w:ascii="黑体" w:hAnsi="黑体" w:eastAsia="黑体" w:cs="黑体"/>
          <w:color w:val="000000"/>
          <w:sz w:val="32"/>
          <w:szCs w:val="32"/>
          <w:highlight w:val="none"/>
          <w:shd w:val="clear" w:color="auto" w:fill="auto"/>
          <w:lang w:eastAsia="zh-CN"/>
        </w:rPr>
        <w:t>九</w:t>
      </w:r>
      <w:r>
        <w:rPr>
          <w:rFonts w:hint="eastAsia" w:ascii="黑体" w:hAnsi="黑体" w:eastAsia="黑体" w:cs="黑体"/>
          <w:color w:val="000000"/>
          <w:sz w:val="32"/>
          <w:szCs w:val="32"/>
          <w:highlight w:val="none"/>
          <w:shd w:val="clear" w:color="auto" w:fill="auto"/>
        </w:rPr>
        <w:t>月</w:t>
      </w:r>
    </w:p>
    <w:p>
      <w:pPr>
        <w:jc w:val="center"/>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目　　录</w:t>
      </w:r>
    </w:p>
    <w:p>
      <w:pPr>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第一部分　</w:t>
      </w:r>
      <w:r>
        <w:rPr>
          <w:rFonts w:hint="eastAsia" w:ascii="黑体" w:hAnsi="黑体" w:eastAsia="黑体" w:cs="黑体"/>
          <w:color w:val="000000"/>
          <w:sz w:val="32"/>
          <w:szCs w:val="32"/>
          <w:highlight w:val="none"/>
          <w:shd w:val="clear" w:color="auto" w:fill="auto"/>
          <w:lang w:eastAsia="zh-CN"/>
        </w:rPr>
        <w:t>许昌实验中学</w:t>
      </w:r>
      <w:r>
        <w:rPr>
          <w:rFonts w:hint="eastAsia" w:ascii="黑体" w:hAnsi="黑体" w:eastAsia="黑体" w:cs="黑体"/>
          <w:color w:val="000000"/>
          <w:sz w:val="32"/>
          <w:szCs w:val="32"/>
          <w:highlight w:val="none"/>
          <w:shd w:val="clear" w:color="auto" w:fill="auto"/>
        </w:rPr>
        <w:t>概况</w:t>
      </w:r>
    </w:p>
    <w:p>
      <w:pPr>
        <w:numPr>
          <w:ilvl w:val="0"/>
          <w:numId w:val="1"/>
        </w:num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lang w:eastAsia="zh-CN"/>
        </w:rPr>
        <w:t>单位</w:t>
      </w:r>
      <w:r>
        <w:rPr>
          <w:rFonts w:hint="eastAsia" w:ascii="黑体" w:hAnsi="黑体" w:eastAsia="黑体" w:cs="黑体"/>
          <w:color w:val="000000"/>
          <w:sz w:val="32"/>
          <w:szCs w:val="32"/>
          <w:highlight w:val="none"/>
          <w:shd w:val="clear" w:color="auto" w:fill="auto"/>
        </w:rPr>
        <w:t>职责</w:t>
      </w:r>
    </w:p>
    <w:p>
      <w:pPr>
        <w:numPr>
          <w:ilvl w:val="0"/>
          <w:numId w:val="1"/>
        </w:num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机构设置</w:t>
      </w:r>
    </w:p>
    <w:p>
      <w:pPr>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第二部分  2021年度</w:t>
      </w:r>
      <w:r>
        <w:rPr>
          <w:rFonts w:hint="eastAsia" w:ascii="黑体" w:hAnsi="黑体" w:eastAsia="黑体" w:cs="黑体"/>
          <w:color w:val="000000"/>
          <w:sz w:val="32"/>
          <w:szCs w:val="32"/>
          <w:highlight w:val="none"/>
          <w:shd w:val="clear" w:color="auto" w:fill="auto"/>
          <w:lang w:eastAsia="zh-CN"/>
        </w:rPr>
        <w:t>单位</w:t>
      </w:r>
      <w:r>
        <w:rPr>
          <w:rFonts w:hint="eastAsia" w:ascii="黑体" w:hAnsi="黑体" w:eastAsia="黑体" w:cs="黑体"/>
          <w:color w:val="000000"/>
          <w:sz w:val="32"/>
          <w:szCs w:val="32"/>
          <w:highlight w:val="none"/>
          <w:shd w:val="clear" w:color="auto" w:fill="auto"/>
        </w:rPr>
        <w:t>决算表</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一、收入支出决算总表</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二、收入决算表</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三、支出决算表</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四、财政拨款收入支出决算总表</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五、一般公共预算财政拨款支出决算表</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六、一般公共预算财政拨款基本支出决算明细表</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七、一般公共预算财政拨款“三公”经费支出决算表</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八、政府性基金预算财政拨款收入支出决算表</w:t>
      </w:r>
    </w:p>
    <w:p>
      <w:pPr>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第三部分　2021年度</w:t>
      </w:r>
      <w:r>
        <w:rPr>
          <w:rFonts w:hint="eastAsia" w:ascii="黑体" w:hAnsi="黑体" w:eastAsia="黑体" w:cs="黑体"/>
          <w:color w:val="000000"/>
          <w:sz w:val="32"/>
          <w:szCs w:val="32"/>
          <w:highlight w:val="none"/>
          <w:shd w:val="clear" w:color="auto" w:fill="auto"/>
          <w:lang w:eastAsia="zh-CN"/>
        </w:rPr>
        <w:t>单位</w:t>
      </w:r>
      <w:r>
        <w:rPr>
          <w:rFonts w:hint="eastAsia" w:ascii="黑体" w:hAnsi="黑体" w:eastAsia="黑体" w:cs="黑体"/>
          <w:color w:val="000000"/>
          <w:sz w:val="32"/>
          <w:szCs w:val="32"/>
          <w:highlight w:val="none"/>
          <w:shd w:val="clear" w:color="auto" w:fill="auto"/>
        </w:rPr>
        <w:t>决算情况说明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一、收入支出决算总体情况说明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二、收入决算情况说明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三、支出决算情况说明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四、财政拨款收入支出决算总体情况说明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五、一般公共预算财政拨款支出决算情况说明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六、一般公共预算财政拨款基本支出决算情况说明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七、一般公共预算财政拨款“三公”经费支出决算情况说明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八、政府性基金预算财政拨款支出决算情况说明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九、机关运行经费支出情况说明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十、政府采购支出情况说明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十一、国有资产占用情况说明</w:t>
      </w:r>
    </w:p>
    <w:p>
      <w:pPr>
        <w:ind w:firstLine="640" w:firstLineChars="200"/>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十二、预算绩效情况说明</w:t>
      </w:r>
    </w:p>
    <w:p>
      <w:pPr>
        <w:jc w:val="left"/>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第四部分　　名词解释</w:t>
      </w: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both"/>
        <w:outlineLvl w:val="0"/>
        <w:rPr>
          <w:rFonts w:hint="eastAsia" w:ascii="黑体" w:hAnsi="黑体" w:eastAsia="黑体" w:cs="黑体"/>
          <w:color w:val="000000"/>
          <w:sz w:val="48"/>
          <w:szCs w:val="48"/>
          <w:highlight w:val="none"/>
          <w:shd w:val="clear" w:color="auto" w:fill="auto"/>
        </w:rPr>
      </w:pPr>
    </w:p>
    <w:p>
      <w:pPr>
        <w:widowControl/>
        <w:jc w:val="center"/>
        <w:outlineLvl w:val="0"/>
        <w:rPr>
          <w:rFonts w:hint="eastAsia" w:ascii="黑体" w:hAnsi="黑体" w:eastAsia="黑体" w:cs="黑体"/>
          <w:color w:val="000000"/>
          <w:sz w:val="48"/>
          <w:szCs w:val="48"/>
          <w:highlight w:val="none"/>
          <w:shd w:val="clear" w:color="auto" w:fill="auto"/>
        </w:rPr>
      </w:pPr>
    </w:p>
    <w:p>
      <w:pPr>
        <w:widowControl/>
        <w:jc w:val="center"/>
        <w:outlineLvl w:val="0"/>
        <w:rPr>
          <w:rFonts w:hint="eastAsia" w:ascii="黑体" w:hAnsi="黑体" w:eastAsia="黑体" w:cs="黑体"/>
          <w:color w:val="000000"/>
          <w:sz w:val="48"/>
          <w:szCs w:val="48"/>
          <w:highlight w:val="none"/>
          <w:shd w:val="clear" w:color="auto" w:fill="auto"/>
        </w:rPr>
      </w:pPr>
    </w:p>
    <w:p>
      <w:pPr>
        <w:widowControl/>
        <w:jc w:val="center"/>
        <w:outlineLvl w:val="0"/>
        <w:rPr>
          <w:rFonts w:hint="eastAsia" w:ascii="黑体" w:hAnsi="黑体" w:eastAsia="黑体" w:cs="黑体"/>
          <w:color w:val="000000"/>
          <w:sz w:val="48"/>
          <w:szCs w:val="48"/>
          <w:highlight w:val="none"/>
          <w:shd w:val="clear" w:color="auto" w:fill="auto"/>
        </w:rPr>
      </w:pPr>
    </w:p>
    <w:p>
      <w:pPr>
        <w:widowControl/>
        <w:jc w:val="center"/>
        <w:outlineLvl w:val="0"/>
        <w:rPr>
          <w:rFonts w:hint="eastAsia" w:ascii="黑体" w:hAnsi="黑体" w:eastAsia="黑体" w:cs="黑体"/>
          <w:color w:val="000000"/>
          <w:sz w:val="48"/>
          <w:szCs w:val="48"/>
          <w:highlight w:val="none"/>
          <w:shd w:val="clear" w:color="auto" w:fill="auto"/>
        </w:rPr>
      </w:pPr>
    </w:p>
    <w:p>
      <w:pPr>
        <w:widowControl/>
        <w:jc w:val="center"/>
        <w:outlineLvl w:val="0"/>
        <w:rPr>
          <w:rFonts w:hint="eastAsia" w:ascii="黑体" w:hAnsi="黑体" w:eastAsia="黑体" w:cs="黑体"/>
          <w:color w:val="000000"/>
          <w:sz w:val="48"/>
          <w:szCs w:val="48"/>
          <w:highlight w:val="none"/>
          <w:shd w:val="clear" w:color="auto" w:fill="auto"/>
        </w:rPr>
      </w:pPr>
    </w:p>
    <w:p>
      <w:pPr>
        <w:widowControl/>
        <w:jc w:val="center"/>
        <w:outlineLvl w:val="0"/>
        <w:rPr>
          <w:rFonts w:hint="eastAsia" w:ascii="黑体" w:hAnsi="黑体" w:eastAsia="黑体" w:cs="黑体"/>
          <w:color w:val="000000"/>
          <w:sz w:val="48"/>
          <w:szCs w:val="48"/>
          <w:highlight w:val="none"/>
          <w:shd w:val="clear" w:color="auto" w:fill="auto"/>
        </w:rPr>
      </w:pPr>
    </w:p>
    <w:p>
      <w:pPr>
        <w:widowControl/>
        <w:jc w:val="center"/>
        <w:outlineLvl w:val="0"/>
        <w:rPr>
          <w:rFonts w:hint="eastAsia" w:ascii="黑体" w:hAnsi="黑体" w:eastAsia="黑体" w:cs="黑体"/>
          <w:color w:val="000000"/>
          <w:sz w:val="48"/>
          <w:szCs w:val="48"/>
          <w:highlight w:val="none"/>
          <w:shd w:val="clear" w:color="auto" w:fill="auto"/>
        </w:rPr>
      </w:pPr>
    </w:p>
    <w:p>
      <w:pPr>
        <w:widowControl/>
        <w:jc w:val="center"/>
        <w:outlineLvl w:val="0"/>
        <w:rPr>
          <w:rFonts w:hint="eastAsia" w:ascii="黑体" w:hAnsi="黑体" w:eastAsia="黑体" w:cs="黑体"/>
          <w:color w:val="000000"/>
          <w:sz w:val="48"/>
          <w:szCs w:val="48"/>
          <w:highlight w:val="none"/>
          <w:shd w:val="clear" w:color="auto" w:fill="auto"/>
        </w:rPr>
      </w:pPr>
    </w:p>
    <w:p>
      <w:pPr>
        <w:widowControl/>
        <w:jc w:val="center"/>
        <w:outlineLvl w:val="0"/>
        <w:rPr>
          <w:rFonts w:hint="eastAsia" w:ascii="黑体" w:hAnsi="黑体" w:eastAsia="黑体" w:cs="黑体"/>
          <w:color w:val="000000"/>
          <w:sz w:val="48"/>
          <w:szCs w:val="48"/>
          <w:highlight w:val="none"/>
          <w:shd w:val="clear" w:color="auto" w:fill="auto"/>
        </w:rPr>
      </w:pPr>
    </w:p>
    <w:p>
      <w:pPr>
        <w:widowControl/>
        <w:jc w:val="center"/>
        <w:outlineLvl w:val="0"/>
        <w:rPr>
          <w:rFonts w:hint="eastAsia" w:ascii="黑体" w:hAnsi="宋体" w:eastAsia="黑体" w:cs="宋体"/>
          <w:color w:val="000000"/>
          <w:kern w:val="0"/>
          <w:sz w:val="28"/>
          <w:szCs w:val="28"/>
          <w:highlight w:val="none"/>
          <w:shd w:val="clear" w:color="auto" w:fill="auto"/>
        </w:rPr>
      </w:pPr>
      <w:r>
        <w:rPr>
          <w:rFonts w:hint="eastAsia" w:ascii="黑体" w:hAnsi="黑体" w:eastAsia="黑体" w:cs="黑体"/>
          <w:color w:val="000000"/>
          <w:sz w:val="48"/>
          <w:szCs w:val="48"/>
          <w:highlight w:val="none"/>
          <w:shd w:val="clear" w:color="auto" w:fill="auto"/>
        </w:rPr>
        <w:t xml:space="preserve">第一部分  </w:t>
      </w:r>
      <w:r>
        <w:rPr>
          <w:rFonts w:hint="eastAsia" w:ascii="黑体" w:hAnsi="黑体" w:eastAsia="黑体" w:cs="黑体"/>
          <w:color w:val="000000"/>
          <w:sz w:val="48"/>
          <w:szCs w:val="48"/>
          <w:highlight w:val="none"/>
          <w:shd w:val="clear" w:color="auto" w:fill="auto"/>
          <w:lang w:eastAsia="zh-CN"/>
        </w:rPr>
        <w:t>许昌实验中学</w:t>
      </w:r>
      <w:r>
        <w:rPr>
          <w:rFonts w:hint="eastAsia" w:ascii="黑体" w:hAnsi="黑体" w:eastAsia="黑体" w:cs="黑体"/>
          <w:color w:val="000000"/>
          <w:sz w:val="48"/>
          <w:szCs w:val="48"/>
          <w:highlight w:val="none"/>
          <w:shd w:val="clear" w:color="auto" w:fill="auto"/>
        </w:rPr>
        <w:t>概况</w:t>
      </w:r>
    </w:p>
    <w:p>
      <w:pPr>
        <w:widowControl/>
        <w:ind w:firstLine="640" w:firstLineChars="200"/>
        <w:jc w:val="left"/>
        <w:outlineLvl w:val="1"/>
        <w:rPr>
          <w:rFonts w:ascii="黑体" w:hAnsi="黑体" w:eastAsia="黑体" w:cs="黑体"/>
          <w:color w:val="000000"/>
          <w:kern w:val="0"/>
          <w:sz w:val="32"/>
          <w:szCs w:val="32"/>
          <w:highlight w:val="none"/>
          <w:shd w:val="clear" w:color="auto" w:fill="auto"/>
        </w:rPr>
      </w:pPr>
    </w:p>
    <w:p>
      <w:pPr>
        <w:widowControl/>
        <w:ind w:firstLine="640" w:firstLineChars="200"/>
        <w:jc w:val="left"/>
        <w:outlineLvl w:val="1"/>
        <w:rPr>
          <w:rFonts w:ascii="黑体" w:hAnsi="黑体" w:eastAsia="黑体" w:cs="黑体"/>
          <w:color w:val="000000"/>
          <w:kern w:val="0"/>
          <w:sz w:val="32"/>
          <w:szCs w:val="32"/>
          <w:highlight w:val="none"/>
          <w:shd w:val="clear" w:color="auto" w:fill="auto"/>
        </w:rPr>
      </w:pPr>
    </w:p>
    <w:p>
      <w:pPr>
        <w:widowControl/>
        <w:ind w:firstLine="640" w:firstLineChars="200"/>
        <w:jc w:val="left"/>
        <w:outlineLvl w:val="1"/>
        <w:rPr>
          <w:rFonts w:ascii="黑体" w:hAnsi="黑体" w:eastAsia="黑体" w:cs="黑体"/>
          <w:color w:val="000000"/>
          <w:kern w:val="0"/>
          <w:sz w:val="32"/>
          <w:szCs w:val="32"/>
          <w:highlight w:val="none"/>
          <w:shd w:val="clear" w:color="auto" w:fill="auto"/>
        </w:rPr>
      </w:pPr>
    </w:p>
    <w:p>
      <w:pPr>
        <w:widowControl/>
        <w:ind w:firstLine="640" w:firstLineChars="200"/>
        <w:jc w:val="left"/>
        <w:outlineLvl w:val="1"/>
        <w:rPr>
          <w:rFonts w:ascii="黑体" w:hAnsi="黑体" w:eastAsia="黑体" w:cs="黑体"/>
          <w:color w:val="000000"/>
          <w:kern w:val="0"/>
          <w:sz w:val="32"/>
          <w:szCs w:val="32"/>
          <w:highlight w:val="none"/>
          <w:shd w:val="clear" w:color="auto" w:fill="auto"/>
        </w:rPr>
      </w:pPr>
    </w:p>
    <w:p>
      <w:pPr>
        <w:widowControl/>
        <w:ind w:firstLine="640" w:firstLineChars="200"/>
        <w:jc w:val="left"/>
        <w:outlineLvl w:val="1"/>
        <w:rPr>
          <w:rFonts w:ascii="黑体" w:hAnsi="黑体" w:eastAsia="黑体" w:cs="黑体"/>
          <w:color w:val="000000"/>
          <w:kern w:val="0"/>
          <w:sz w:val="32"/>
          <w:szCs w:val="32"/>
          <w:highlight w:val="none"/>
          <w:shd w:val="clear" w:color="auto" w:fill="auto"/>
        </w:rPr>
      </w:pPr>
    </w:p>
    <w:p>
      <w:pPr>
        <w:widowControl/>
        <w:ind w:firstLine="640" w:firstLineChars="200"/>
        <w:jc w:val="left"/>
        <w:outlineLvl w:val="1"/>
        <w:rPr>
          <w:rFonts w:ascii="黑体" w:hAnsi="黑体" w:eastAsia="黑体" w:cs="黑体"/>
          <w:color w:val="000000"/>
          <w:kern w:val="0"/>
          <w:sz w:val="32"/>
          <w:szCs w:val="32"/>
          <w:highlight w:val="none"/>
          <w:shd w:val="clear" w:color="auto" w:fill="auto"/>
        </w:rPr>
      </w:pPr>
    </w:p>
    <w:p>
      <w:pPr>
        <w:widowControl/>
        <w:jc w:val="left"/>
        <w:outlineLvl w:val="1"/>
        <w:rPr>
          <w:rFonts w:ascii="黑体" w:hAnsi="黑体" w:eastAsia="黑体" w:cs="黑体"/>
          <w:color w:val="000000"/>
          <w:kern w:val="0"/>
          <w:sz w:val="32"/>
          <w:szCs w:val="32"/>
          <w:highlight w:val="none"/>
          <w:shd w:val="clear" w:color="auto" w:fill="auto"/>
        </w:rPr>
      </w:pPr>
    </w:p>
    <w:p>
      <w:pPr>
        <w:widowControl/>
        <w:ind w:firstLine="640" w:firstLineChars="200"/>
        <w:jc w:val="left"/>
        <w:outlineLvl w:val="1"/>
        <w:rPr>
          <w:rFonts w:hint="eastAsia" w:ascii="黑体" w:hAnsi="黑体" w:eastAsia="黑体" w:cs="黑体"/>
          <w:color w:val="000000"/>
          <w:kern w:val="0"/>
          <w:sz w:val="32"/>
          <w:szCs w:val="32"/>
          <w:highlight w:val="none"/>
          <w:shd w:val="clear" w:color="auto" w:fill="auto"/>
        </w:rPr>
      </w:pPr>
      <w:r>
        <w:rPr>
          <w:rFonts w:hint="eastAsia" w:ascii="黑体" w:hAnsi="黑体" w:eastAsia="黑体" w:cs="黑体"/>
          <w:color w:val="000000"/>
          <w:kern w:val="0"/>
          <w:sz w:val="32"/>
          <w:szCs w:val="32"/>
          <w:highlight w:val="none"/>
          <w:shd w:val="clear" w:color="auto" w:fill="auto"/>
        </w:rPr>
        <w:t>一、</w:t>
      </w:r>
      <w:r>
        <w:rPr>
          <w:rFonts w:hint="eastAsia" w:ascii="黑体" w:hAnsi="黑体" w:eastAsia="黑体" w:cs="黑体"/>
          <w:color w:val="000000"/>
          <w:kern w:val="0"/>
          <w:sz w:val="32"/>
          <w:szCs w:val="32"/>
          <w:highlight w:val="none"/>
          <w:shd w:val="clear" w:color="auto" w:fill="auto"/>
          <w:lang w:eastAsia="zh-CN"/>
        </w:rPr>
        <w:t>单位</w:t>
      </w:r>
      <w:r>
        <w:rPr>
          <w:rFonts w:hint="eastAsia" w:ascii="黑体" w:hAnsi="黑体" w:eastAsia="黑体" w:cs="黑体"/>
          <w:bCs/>
          <w:color w:val="000000"/>
          <w:sz w:val="32"/>
          <w:szCs w:val="32"/>
          <w:highlight w:val="none"/>
          <w:shd w:val="clear" w:color="auto" w:fill="auto"/>
        </w:rPr>
        <w:t>职责</w:t>
      </w:r>
    </w:p>
    <w:p>
      <w:pPr>
        <w:spacing w:line="336" w:lineRule="auto"/>
        <w:ind w:firstLine="640" w:firstLineChars="2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1、认真执行党和国家的教育方针、全面贯彻党的教育政策和教育法规，对初中义务教育和素质齐抓共管，不断提高高中教育教学工作向新的目标提高发展。</w:t>
      </w:r>
    </w:p>
    <w:p>
      <w:pPr>
        <w:spacing w:line="336" w:lineRule="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  </w:t>
      </w: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2、按照教育主管部门发布的指导性教育计划、教学大纲，组织实施教育教学活动。制定学校教育发展目标长远规划，组织抓好实施和落实工作。</w:t>
      </w:r>
    </w:p>
    <w:p>
      <w:pPr>
        <w:spacing w:line="336" w:lineRule="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  </w:t>
      </w: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3、依法制定学校各项</w:t>
      </w:r>
      <w:r>
        <w:rPr>
          <w:rFonts w:hint="eastAsia" w:ascii="仿宋_GB2312" w:hAnsi="仿宋_GB2312" w:eastAsia="仿宋_GB2312" w:cs="仿宋_GB2312"/>
          <w:color w:val="000000"/>
          <w:sz w:val="32"/>
          <w:szCs w:val="32"/>
          <w:highlight w:val="none"/>
          <w:shd w:val="clear" w:color="auto" w:fill="auto"/>
          <w:lang w:eastAsia="zh-CN"/>
        </w:rPr>
        <w:t>规章制度</w:t>
      </w:r>
      <w:r>
        <w:rPr>
          <w:rFonts w:hint="eastAsia" w:ascii="仿宋_GB2312" w:hAnsi="仿宋_GB2312" w:eastAsia="仿宋_GB2312" w:cs="仿宋_GB2312"/>
          <w:color w:val="000000"/>
          <w:sz w:val="32"/>
          <w:szCs w:val="32"/>
          <w:highlight w:val="none"/>
          <w:shd w:val="clear" w:color="auto" w:fill="auto"/>
        </w:rPr>
        <w:t>，并严格按照</w:t>
      </w:r>
      <w:r>
        <w:rPr>
          <w:rFonts w:hint="eastAsia" w:ascii="仿宋_GB2312" w:hAnsi="仿宋_GB2312" w:eastAsia="仿宋_GB2312" w:cs="仿宋_GB2312"/>
          <w:color w:val="000000"/>
          <w:sz w:val="32"/>
          <w:szCs w:val="32"/>
          <w:highlight w:val="none"/>
          <w:shd w:val="clear" w:color="auto" w:fill="auto"/>
          <w:lang w:eastAsia="zh-CN"/>
        </w:rPr>
        <w:t>制度</w:t>
      </w:r>
      <w:r>
        <w:rPr>
          <w:rFonts w:hint="eastAsia" w:ascii="仿宋_GB2312" w:hAnsi="仿宋_GB2312" w:eastAsia="仿宋_GB2312" w:cs="仿宋_GB2312"/>
          <w:color w:val="000000"/>
          <w:sz w:val="32"/>
          <w:szCs w:val="32"/>
          <w:highlight w:val="none"/>
          <w:shd w:val="clear" w:color="auto" w:fill="auto"/>
        </w:rPr>
        <w:t>分级细化管理。制定科学、严格、有效、规范、有序、合理的</w:t>
      </w:r>
      <w:r>
        <w:rPr>
          <w:rFonts w:hint="eastAsia" w:ascii="仿宋_GB2312" w:hAnsi="仿宋_GB2312" w:eastAsia="仿宋_GB2312" w:cs="仿宋_GB2312"/>
          <w:color w:val="000000"/>
          <w:sz w:val="32"/>
          <w:szCs w:val="32"/>
          <w:highlight w:val="none"/>
          <w:shd w:val="clear" w:color="auto" w:fill="auto"/>
          <w:lang w:eastAsia="zh-CN"/>
        </w:rPr>
        <w:t>资金</w:t>
      </w:r>
      <w:r>
        <w:rPr>
          <w:rFonts w:hint="eastAsia" w:ascii="仿宋_GB2312" w:hAnsi="仿宋_GB2312" w:eastAsia="仿宋_GB2312" w:cs="仿宋_GB2312"/>
          <w:color w:val="000000"/>
          <w:sz w:val="32"/>
          <w:szCs w:val="32"/>
          <w:highlight w:val="none"/>
          <w:shd w:val="clear" w:color="auto" w:fill="auto"/>
        </w:rPr>
        <w:t>和</w:t>
      </w:r>
      <w:r>
        <w:rPr>
          <w:rFonts w:hint="eastAsia" w:ascii="仿宋_GB2312" w:hAnsi="仿宋_GB2312" w:eastAsia="仿宋_GB2312" w:cs="仿宋_GB2312"/>
          <w:color w:val="000000"/>
          <w:sz w:val="32"/>
          <w:szCs w:val="32"/>
          <w:highlight w:val="none"/>
          <w:shd w:val="clear" w:color="auto" w:fill="auto"/>
          <w:lang w:eastAsia="zh-CN"/>
        </w:rPr>
        <w:t>资产</w:t>
      </w:r>
      <w:r>
        <w:rPr>
          <w:rFonts w:hint="eastAsia" w:ascii="仿宋_GB2312" w:hAnsi="仿宋_GB2312" w:eastAsia="仿宋_GB2312" w:cs="仿宋_GB2312"/>
          <w:color w:val="000000"/>
          <w:sz w:val="32"/>
          <w:szCs w:val="32"/>
          <w:highlight w:val="none"/>
          <w:shd w:val="clear" w:color="auto" w:fill="auto"/>
        </w:rPr>
        <w:t>使用制度，</w:t>
      </w:r>
      <w:r>
        <w:rPr>
          <w:rFonts w:hint="eastAsia" w:ascii="仿宋_GB2312" w:hAnsi="仿宋_GB2312" w:eastAsia="仿宋_GB2312" w:cs="仿宋_GB2312"/>
          <w:color w:val="000000"/>
          <w:sz w:val="32"/>
          <w:szCs w:val="32"/>
          <w:highlight w:val="none"/>
          <w:shd w:val="clear" w:color="auto" w:fill="auto"/>
          <w:lang w:eastAsia="zh-CN"/>
        </w:rPr>
        <w:t>保证</w:t>
      </w:r>
      <w:r>
        <w:rPr>
          <w:rFonts w:hint="eastAsia" w:ascii="仿宋_GB2312" w:hAnsi="仿宋_GB2312" w:eastAsia="仿宋_GB2312" w:cs="仿宋_GB2312"/>
          <w:color w:val="000000"/>
          <w:sz w:val="32"/>
          <w:szCs w:val="32"/>
          <w:highlight w:val="none"/>
          <w:shd w:val="clear" w:color="auto" w:fill="auto"/>
        </w:rPr>
        <w:t>学校的</w:t>
      </w:r>
      <w:r>
        <w:rPr>
          <w:rFonts w:hint="eastAsia" w:ascii="仿宋_GB2312" w:hAnsi="仿宋_GB2312" w:eastAsia="仿宋_GB2312" w:cs="仿宋_GB2312"/>
          <w:color w:val="000000"/>
          <w:sz w:val="32"/>
          <w:szCs w:val="32"/>
          <w:highlight w:val="none"/>
          <w:shd w:val="clear" w:color="auto" w:fill="auto"/>
          <w:lang w:eastAsia="zh-CN"/>
        </w:rPr>
        <w:t>各项经费和</w:t>
      </w:r>
      <w:r>
        <w:rPr>
          <w:rFonts w:hint="eastAsia" w:ascii="仿宋_GB2312" w:hAnsi="仿宋_GB2312" w:eastAsia="仿宋_GB2312" w:cs="仿宋_GB2312"/>
          <w:color w:val="000000"/>
          <w:sz w:val="32"/>
          <w:szCs w:val="32"/>
          <w:highlight w:val="none"/>
          <w:shd w:val="clear" w:color="auto" w:fill="auto"/>
        </w:rPr>
        <w:t>资产设</w:t>
      </w:r>
      <w:r>
        <w:rPr>
          <w:rFonts w:hint="eastAsia" w:ascii="仿宋_GB2312" w:hAnsi="仿宋_GB2312" w:eastAsia="仿宋_GB2312" w:cs="仿宋_GB2312"/>
          <w:color w:val="000000"/>
          <w:sz w:val="32"/>
          <w:szCs w:val="32"/>
          <w:highlight w:val="none"/>
          <w:shd w:val="clear" w:color="auto" w:fill="auto"/>
          <w:lang w:eastAsia="zh-CN"/>
        </w:rPr>
        <w:t>备</w:t>
      </w:r>
      <w:r>
        <w:rPr>
          <w:rFonts w:hint="eastAsia" w:ascii="仿宋_GB2312" w:hAnsi="仿宋_GB2312" w:eastAsia="仿宋_GB2312" w:cs="仿宋_GB2312"/>
          <w:color w:val="000000"/>
          <w:sz w:val="32"/>
          <w:szCs w:val="32"/>
          <w:highlight w:val="none"/>
          <w:shd w:val="clear" w:color="auto" w:fill="auto"/>
        </w:rPr>
        <w:t>能够</w:t>
      </w:r>
      <w:r>
        <w:rPr>
          <w:rFonts w:hint="eastAsia" w:ascii="仿宋_GB2312" w:hAnsi="仿宋_GB2312" w:eastAsia="仿宋_GB2312" w:cs="仿宋_GB2312"/>
          <w:color w:val="000000"/>
          <w:sz w:val="32"/>
          <w:szCs w:val="32"/>
          <w:highlight w:val="none"/>
          <w:shd w:val="clear" w:color="auto" w:fill="auto"/>
          <w:lang w:eastAsia="zh-CN"/>
        </w:rPr>
        <w:t>严格规范实施</w:t>
      </w:r>
      <w:r>
        <w:rPr>
          <w:rFonts w:hint="eastAsia" w:ascii="仿宋_GB2312" w:hAnsi="仿宋_GB2312" w:eastAsia="仿宋_GB2312" w:cs="仿宋_GB2312"/>
          <w:color w:val="000000"/>
          <w:sz w:val="32"/>
          <w:szCs w:val="32"/>
          <w:highlight w:val="none"/>
          <w:shd w:val="clear" w:color="auto" w:fill="auto"/>
        </w:rPr>
        <w:t>保障学校教育教学工作认真完成。</w:t>
      </w:r>
    </w:p>
    <w:p>
      <w:pPr>
        <w:widowControl/>
        <w:ind w:firstLine="640" w:firstLineChars="200"/>
        <w:jc w:val="left"/>
        <w:outlineLvl w:val="1"/>
        <w:rPr>
          <w:rFonts w:hint="eastAsia" w:ascii="黑体" w:hAnsi="黑体" w:eastAsia="黑体" w:cs="黑体"/>
          <w:color w:val="000000"/>
          <w:kern w:val="0"/>
          <w:sz w:val="32"/>
          <w:szCs w:val="32"/>
          <w:highlight w:val="none"/>
          <w:shd w:val="clear" w:color="auto" w:fill="auto"/>
        </w:rPr>
      </w:pPr>
      <w:r>
        <w:rPr>
          <w:rFonts w:hint="eastAsia" w:ascii="黑体" w:hAnsi="黑体" w:eastAsia="黑体" w:cs="黑体"/>
          <w:color w:val="000000"/>
          <w:kern w:val="0"/>
          <w:sz w:val="32"/>
          <w:szCs w:val="32"/>
          <w:highlight w:val="none"/>
          <w:shd w:val="clear" w:color="auto" w:fill="auto"/>
        </w:rPr>
        <w:t>二、机构设置</w:t>
      </w:r>
    </w:p>
    <w:p>
      <w:pPr>
        <w:widowControl/>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eastAsia="zh-CN"/>
        </w:rPr>
        <w:t>许昌实验中学</w:t>
      </w:r>
      <w:r>
        <w:rPr>
          <w:rFonts w:hint="eastAsia" w:ascii="仿宋_GB2312" w:hAnsi="仿宋_GB2312" w:eastAsia="仿宋_GB2312" w:cs="仿宋_GB2312"/>
          <w:color w:val="000000"/>
          <w:kern w:val="0"/>
          <w:sz w:val="32"/>
          <w:szCs w:val="32"/>
          <w:highlight w:val="none"/>
          <w:shd w:val="clear" w:color="auto" w:fill="auto"/>
        </w:rPr>
        <w:t>内设机构</w:t>
      </w:r>
      <w:r>
        <w:rPr>
          <w:rFonts w:hint="eastAsia" w:ascii="仿宋_GB2312" w:hAnsi="仿宋_GB2312" w:eastAsia="仿宋_GB2312" w:cs="仿宋_GB2312"/>
          <w:color w:val="000000"/>
          <w:sz w:val="32"/>
          <w:szCs w:val="32"/>
          <w:highlight w:val="none"/>
          <w:shd w:val="clear" w:color="auto" w:fill="auto"/>
          <w:lang w:val="en-US" w:eastAsia="zh-CN"/>
        </w:rPr>
        <w:t>9</w:t>
      </w:r>
      <w:r>
        <w:rPr>
          <w:rFonts w:hint="eastAsia" w:ascii="仿宋_GB2312" w:hAnsi="仿宋_GB2312" w:eastAsia="仿宋_GB2312" w:cs="仿宋_GB2312"/>
          <w:color w:val="000000"/>
          <w:sz w:val="32"/>
          <w:szCs w:val="32"/>
          <w:highlight w:val="none"/>
          <w:shd w:val="clear" w:color="auto" w:fill="auto"/>
        </w:rPr>
        <w:t>个</w:t>
      </w:r>
      <w:r>
        <w:rPr>
          <w:rFonts w:hint="eastAsia" w:ascii="仿宋_GB2312" w:hAnsi="仿宋_GB2312" w:eastAsia="仿宋_GB2312" w:cs="仿宋_GB2312"/>
          <w:color w:val="000000"/>
          <w:sz w:val="32"/>
          <w:szCs w:val="32"/>
          <w:highlight w:val="none"/>
          <w:shd w:val="clear" w:color="auto" w:fill="auto"/>
          <w:lang w:eastAsia="zh-CN"/>
        </w:rPr>
        <w:t>，包括：</w:t>
      </w:r>
      <w:r>
        <w:rPr>
          <w:rFonts w:hint="eastAsia" w:ascii="仿宋_GB2312" w:hAnsi="仿宋_GB2312" w:eastAsia="仿宋_GB2312" w:cs="仿宋_GB2312"/>
          <w:color w:val="000000"/>
          <w:sz w:val="32"/>
          <w:szCs w:val="32"/>
          <w:highlight w:val="none"/>
          <w:shd w:val="clear" w:color="auto" w:fill="auto"/>
        </w:rPr>
        <w:t>教务科、政教科、行政办公室、党委办公室、后勤科、团委、工会</w:t>
      </w:r>
      <w:r>
        <w:rPr>
          <w:rFonts w:hint="eastAsia" w:ascii="仿宋_GB2312" w:hAnsi="仿宋_GB2312" w:eastAsia="仿宋_GB2312" w:cs="仿宋_GB2312"/>
          <w:color w:val="000000"/>
          <w:sz w:val="32"/>
          <w:szCs w:val="32"/>
          <w:highlight w:val="none"/>
          <w:shd w:val="clear" w:color="auto" w:fill="auto"/>
          <w:lang w:eastAsia="zh-CN"/>
        </w:rPr>
        <w:t>、电教网络中心、安全</w:t>
      </w:r>
      <w:r>
        <w:rPr>
          <w:rFonts w:hint="eastAsia" w:ascii="仿宋_GB2312" w:hAnsi="仿宋_GB2312" w:eastAsia="仿宋_GB2312" w:cs="仿宋_GB2312"/>
          <w:color w:val="000000"/>
          <w:sz w:val="32"/>
          <w:szCs w:val="32"/>
          <w:highlight w:val="none"/>
          <w:shd w:val="clear" w:color="auto" w:fill="auto"/>
        </w:rPr>
        <w:t>科。</w:t>
      </w:r>
    </w:p>
    <w:p>
      <w:pPr>
        <w:widowControl/>
        <w:ind w:firstLine="640" w:firstLineChars="200"/>
        <w:jc w:val="left"/>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从决算单位构成看，</w:t>
      </w:r>
      <w:r>
        <w:rPr>
          <w:rFonts w:hint="eastAsia" w:ascii="仿宋_GB2312" w:hAnsi="仿宋_GB2312" w:eastAsia="仿宋_GB2312" w:cs="仿宋_GB2312"/>
          <w:color w:val="000000"/>
          <w:kern w:val="0"/>
          <w:sz w:val="32"/>
          <w:szCs w:val="32"/>
          <w:highlight w:val="none"/>
          <w:shd w:val="clear" w:color="auto" w:fill="auto"/>
          <w:lang w:eastAsia="zh-CN"/>
        </w:rPr>
        <w:t>许昌实验中学单位</w:t>
      </w:r>
      <w:r>
        <w:rPr>
          <w:rFonts w:hint="eastAsia" w:ascii="仿宋_GB2312" w:hAnsi="仿宋_GB2312" w:eastAsia="仿宋_GB2312" w:cs="仿宋_GB2312"/>
          <w:color w:val="000000"/>
          <w:kern w:val="0"/>
          <w:sz w:val="32"/>
          <w:szCs w:val="32"/>
          <w:highlight w:val="none"/>
          <w:shd w:val="clear" w:color="auto" w:fill="auto"/>
        </w:rPr>
        <w:t>决算包括：本级决算。</w:t>
      </w:r>
    </w:p>
    <w:p>
      <w:pPr>
        <w:spacing w:line="336" w:lineRule="auto"/>
        <w:ind w:firstLine="640" w:firstLineChars="2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纳入本</w:t>
      </w:r>
      <w:r>
        <w:rPr>
          <w:rFonts w:hint="eastAsia" w:ascii="仿宋_GB2312" w:hAnsi="仿宋_GB2312" w:eastAsia="仿宋_GB2312" w:cs="仿宋_GB2312"/>
          <w:color w:val="000000"/>
          <w:sz w:val="32"/>
          <w:szCs w:val="32"/>
          <w:highlight w:val="none"/>
          <w:shd w:val="clear" w:color="auto" w:fill="auto"/>
          <w:lang w:eastAsia="zh-CN"/>
        </w:rPr>
        <w:t>单位</w:t>
      </w:r>
      <w:r>
        <w:rPr>
          <w:rFonts w:hint="eastAsia" w:ascii="仿宋_GB2312" w:hAnsi="仿宋_GB2312" w:eastAsia="仿宋_GB2312" w:cs="仿宋_GB2312"/>
          <w:color w:val="000000"/>
          <w:sz w:val="32"/>
          <w:szCs w:val="32"/>
          <w:highlight w:val="none"/>
          <w:shd w:val="clear" w:color="auto" w:fill="auto"/>
        </w:rPr>
        <w:t>20</w:t>
      </w:r>
      <w:r>
        <w:rPr>
          <w:rFonts w:hint="eastAsia" w:ascii="仿宋_GB2312" w:hAnsi="仿宋_GB2312" w:eastAsia="仿宋_GB2312" w:cs="仿宋_GB2312"/>
          <w:color w:val="000000"/>
          <w:sz w:val="32"/>
          <w:szCs w:val="32"/>
          <w:highlight w:val="none"/>
          <w:shd w:val="clear" w:color="auto" w:fill="auto"/>
          <w:lang w:val="en-US" w:eastAsia="zh-CN"/>
        </w:rPr>
        <w:t>21</w:t>
      </w:r>
      <w:r>
        <w:rPr>
          <w:rFonts w:hint="eastAsia" w:ascii="仿宋_GB2312" w:hAnsi="仿宋_GB2312" w:eastAsia="仿宋_GB2312" w:cs="仿宋_GB2312"/>
          <w:color w:val="000000"/>
          <w:sz w:val="32"/>
          <w:szCs w:val="32"/>
          <w:highlight w:val="none"/>
          <w:shd w:val="clear" w:color="auto" w:fill="auto"/>
        </w:rPr>
        <w:t>年度</w:t>
      </w:r>
      <w:r>
        <w:rPr>
          <w:rFonts w:hint="eastAsia" w:ascii="仿宋_GB2312" w:hAnsi="仿宋_GB2312" w:eastAsia="仿宋_GB2312" w:cs="仿宋_GB2312"/>
          <w:color w:val="000000"/>
          <w:sz w:val="32"/>
          <w:szCs w:val="32"/>
          <w:highlight w:val="none"/>
          <w:shd w:val="clear" w:color="auto" w:fill="auto"/>
          <w:lang w:eastAsia="zh-CN"/>
        </w:rPr>
        <w:t>单位</w:t>
      </w:r>
      <w:r>
        <w:rPr>
          <w:rFonts w:hint="eastAsia" w:ascii="仿宋_GB2312" w:hAnsi="仿宋_GB2312" w:eastAsia="仿宋_GB2312" w:cs="仿宋_GB2312"/>
          <w:color w:val="000000"/>
          <w:sz w:val="32"/>
          <w:szCs w:val="32"/>
          <w:highlight w:val="none"/>
          <w:shd w:val="clear" w:color="auto" w:fill="auto"/>
        </w:rPr>
        <w:t>决算编报范围的预算单位</w:t>
      </w:r>
      <w:r>
        <w:rPr>
          <w:rFonts w:hint="eastAsia" w:ascii="仿宋_GB2312" w:hAnsi="仿宋_GB2312" w:eastAsia="仿宋_GB2312" w:cs="仿宋_GB2312"/>
          <w:color w:val="000000"/>
          <w:sz w:val="32"/>
          <w:szCs w:val="32"/>
          <w:highlight w:val="none"/>
          <w:shd w:val="clear" w:color="auto" w:fill="auto"/>
          <w:lang w:eastAsia="zh-CN"/>
        </w:rPr>
        <w:t>共</w:t>
      </w:r>
      <w:r>
        <w:rPr>
          <w:rFonts w:hint="eastAsia" w:ascii="仿宋_GB2312" w:hAnsi="仿宋_GB2312" w:eastAsia="仿宋_GB2312" w:cs="仿宋_GB2312"/>
          <w:color w:val="000000"/>
          <w:sz w:val="32"/>
          <w:szCs w:val="32"/>
          <w:highlight w:val="none"/>
          <w:shd w:val="clear" w:color="auto" w:fill="auto"/>
          <w:lang w:val="en-US" w:eastAsia="zh-CN"/>
        </w:rPr>
        <w:t>1个 ，</w:t>
      </w:r>
      <w:r>
        <w:rPr>
          <w:rFonts w:hint="eastAsia" w:ascii="仿宋_GB2312" w:hAnsi="仿宋_GB2312" w:eastAsia="仿宋_GB2312" w:cs="仿宋_GB2312"/>
          <w:color w:val="000000"/>
          <w:sz w:val="32"/>
          <w:szCs w:val="32"/>
          <w:highlight w:val="none"/>
          <w:shd w:val="clear" w:color="auto" w:fill="auto"/>
        </w:rPr>
        <w:t>包括：</w:t>
      </w:r>
    </w:p>
    <w:p>
      <w:pPr>
        <w:spacing w:line="336" w:lineRule="auto"/>
        <w:ind w:firstLine="640" w:firstLineChars="2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1、</w:t>
      </w:r>
      <w:r>
        <w:rPr>
          <w:rFonts w:hint="eastAsia" w:ascii="仿宋_GB2312" w:hAnsi="仿宋_GB2312" w:eastAsia="仿宋_GB2312" w:cs="仿宋_GB2312"/>
          <w:color w:val="000000"/>
          <w:sz w:val="32"/>
          <w:szCs w:val="32"/>
          <w:highlight w:val="none"/>
          <w:shd w:val="clear" w:color="auto" w:fill="auto"/>
        </w:rPr>
        <w:t>许昌实验中学</w:t>
      </w:r>
    </w:p>
    <w:p>
      <w:pPr>
        <w:widowControl/>
        <w:jc w:val="left"/>
        <w:rPr>
          <w:rFonts w:hint="eastAsia" w:ascii="仿宋_GB2312" w:hAnsi="仿宋_GB2312" w:eastAsia="仿宋_GB2312" w:cs="仿宋_GB2312"/>
          <w:color w:val="000000"/>
          <w:kern w:val="0"/>
          <w:sz w:val="32"/>
          <w:szCs w:val="32"/>
          <w:highlight w:val="none"/>
          <w:shd w:val="clear" w:color="auto" w:fill="auto"/>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jc w:val="center"/>
        <w:outlineLvl w:val="0"/>
        <w:rPr>
          <w:rFonts w:hint="eastAsia" w:ascii="黑体" w:hAnsi="黑体" w:eastAsia="黑体" w:cs="黑体"/>
          <w:color w:val="000000"/>
          <w:sz w:val="48"/>
          <w:szCs w:val="48"/>
          <w:highlight w:val="none"/>
          <w:shd w:val="clear" w:color="auto" w:fill="auto"/>
        </w:rPr>
      </w:pPr>
      <w:r>
        <w:rPr>
          <w:rFonts w:hint="eastAsia" w:ascii="黑体" w:hAnsi="黑体" w:eastAsia="黑体" w:cs="黑体"/>
          <w:color w:val="000000"/>
          <w:sz w:val="48"/>
          <w:szCs w:val="48"/>
          <w:highlight w:val="none"/>
          <w:shd w:val="clear" w:color="auto" w:fill="auto"/>
        </w:rPr>
        <w:t>第二部分  2021年度</w:t>
      </w:r>
      <w:r>
        <w:rPr>
          <w:rFonts w:hint="eastAsia" w:ascii="黑体" w:hAnsi="黑体" w:eastAsia="黑体" w:cs="黑体"/>
          <w:color w:val="000000"/>
          <w:sz w:val="48"/>
          <w:szCs w:val="48"/>
          <w:highlight w:val="none"/>
          <w:shd w:val="clear" w:color="auto" w:fill="auto"/>
          <w:lang w:eastAsia="zh-CN"/>
        </w:rPr>
        <w:t>单位</w:t>
      </w:r>
      <w:r>
        <w:rPr>
          <w:rFonts w:hint="eastAsia" w:ascii="黑体" w:hAnsi="黑体" w:eastAsia="黑体" w:cs="黑体"/>
          <w:color w:val="000000"/>
          <w:sz w:val="48"/>
          <w:szCs w:val="48"/>
          <w:highlight w:val="none"/>
          <w:shd w:val="clear" w:color="auto" w:fill="auto"/>
        </w:rPr>
        <w:t>决算表</w:t>
      </w: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000000"/>
          <w:sz w:val="32"/>
          <w:szCs w:val="32"/>
          <w:highlight w:val="none"/>
          <w:shd w:val="clear" w:color="auto" w:fill="auto"/>
        </w:rPr>
      </w:pPr>
    </w:p>
    <w:tbl>
      <w:tblPr>
        <w:tblStyle w:val="6"/>
        <w:tblW w:w="14070" w:type="dxa"/>
        <w:tblInd w:w="0" w:type="dxa"/>
        <w:tblLayout w:type="autofit"/>
        <w:tblCellMar>
          <w:top w:w="0" w:type="dxa"/>
          <w:left w:w="0" w:type="dxa"/>
          <w:bottom w:w="0" w:type="dxa"/>
          <w:right w:w="0" w:type="dxa"/>
        </w:tblCellMar>
      </w:tblPr>
      <w:tblGrid>
        <w:gridCol w:w="5302"/>
        <w:gridCol w:w="702"/>
        <w:gridCol w:w="1195"/>
        <w:gridCol w:w="4974"/>
        <w:gridCol w:w="702"/>
        <w:gridCol w:w="1195"/>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shd w:val="clear" w:color="auto" w:fill="auto"/>
              </w:rPr>
            </w:pPr>
            <w:r>
              <w:rPr>
                <w:rFonts w:hint="eastAsia" w:ascii="宋体" w:hAnsi="宋体" w:eastAsia="宋体" w:cs="宋体"/>
                <w:i w:val="0"/>
                <w:color w:val="000000"/>
                <w:kern w:val="0"/>
                <w:sz w:val="30"/>
                <w:szCs w:val="30"/>
                <w:highlight w:val="none"/>
                <w:u w:val="none"/>
                <w:shd w:val="clear" w:color="auto" w:fill="auto"/>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18"/>
                <w:szCs w:val="18"/>
                <w:highlight w:val="none"/>
                <w:u w:val="none"/>
                <w:shd w:val="clear" w:color="auto" w:fill="auto"/>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shd w:val="clear" w:color="auto" w:fill="auto"/>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shd w:val="clear" w:color="auto" w:fill="auto"/>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shd w:val="clear" w:color="auto" w:fill="auto"/>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公开01表</w:t>
            </w:r>
          </w:p>
        </w:tc>
      </w:tr>
      <w:tr>
        <w:tblPrEx>
          <w:tblCellMar>
            <w:top w:w="0" w:type="dxa"/>
            <w:left w:w="0" w:type="dxa"/>
            <w:bottom w:w="0" w:type="dxa"/>
            <w:right w:w="0" w:type="dxa"/>
          </w:tblCellMar>
        </w:tblPrEx>
        <w:trPr>
          <w:trHeight w:val="255" w:hRule="atLeast"/>
        </w:trPr>
        <w:tc>
          <w:tcPr>
            <w:tcW w:w="0" w:type="auto"/>
            <w:gridSpan w:val="4"/>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部门：许昌实验中学</w:t>
            </w: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金额</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一、一般公共预算财政拨款收入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4,269.42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二、政府性基金预算财政拨款收入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三、国有资本经营预算财政拨款收入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四、上级补助收入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五、事业收入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287.00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4,740.82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六、经营收入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七、附属单位上缴收入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八、其他收入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618.03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12"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shd w:val="clear" w:color="auto" w:fill="auto"/>
              </w:rPr>
            </w:pPr>
            <w:r>
              <w:rPr>
                <w:rFonts w:hint="eastAsia" w:ascii="宋体" w:hAnsi="宋体" w:eastAsia="宋体" w:cs="宋体"/>
                <w:i w:val="0"/>
                <w:color w:val="000000"/>
                <w:kern w:val="0"/>
                <w:sz w:val="20"/>
                <w:szCs w:val="20"/>
                <w:highlight w:val="none"/>
                <w:u w:val="none"/>
                <w:shd w:val="clear" w:color="auto" w:fill="auto"/>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shd w:val="clear" w:color="auto" w:fill="auto"/>
              </w:rPr>
            </w:pPr>
            <w:r>
              <w:rPr>
                <w:rFonts w:hint="eastAsia" w:ascii="宋体" w:hAnsi="宋体" w:eastAsia="宋体" w:cs="宋体"/>
                <w:i w:val="0"/>
                <w:color w:val="000000"/>
                <w:kern w:val="0"/>
                <w:sz w:val="20"/>
                <w:szCs w:val="20"/>
                <w:highlight w:val="none"/>
                <w:u w:val="none"/>
                <w:shd w:val="clear" w:color="auto" w:fill="auto"/>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shd w:val="clear" w:color="auto" w:fill="auto"/>
              </w:rPr>
            </w:pPr>
            <w:r>
              <w:rPr>
                <w:rFonts w:hint="eastAsia" w:ascii="宋体" w:hAnsi="宋体" w:eastAsia="宋体" w:cs="宋体"/>
                <w:i w:val="0"/>
                <w:color w:val="000000"/>
                <w:kern w:val="0"/>
                <w:sz w:val="20"/>
                <w:szCs w:val="20"/>
                <w:highlight w:val="none"/>
                <w:u w:val="none"/>
                <w:shd w:val="clear" w:color="auto" w:fill="auto"/>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4,556.42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5,504.29</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使用非财政拨款结余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结余分配</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年初结转和结余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1,002.17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年末结转和结余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54.30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5,558.59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5,558.59</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000000"/>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000000"/>
          <w:sz w:val="32"/>
          <w:szCs w:val="32"/>
          <w:highlight w:val="none"/>
          <w:shd w:val="clear" w:color="auto" w:fill="auto"/>
        </w:rPr>
      </w:pPr>
    </w:p>
    <w:tbl>
      <w:tblPr>
        <w:tblStyle w:val="6"/>
        <w:tblW w:w="14145" w:type="dxa"/>
        <w:tblInd w:w="0" w:type="dxa"/>
        <w:tblLayout w:type="autofit"/>
        <w:tblCellMar>
          <w:top w:w="0" w:type="dxa"/>
          <w:left w:w="0" w:type="dxa"/>
          <w:bottom w:w="0" w:type="dxa"/>
          <w:right w:w="0" w:type="dxa"/>
        </w:tblCellMar>
      </w:tblPr>
      <w:tblGrid>
        <w:gridCol w:w="990"/>
        <w:gridCol w:w="3770"/>
        <w:gridCol w:w="1800"/>
        <w:gridCol w:w="1800"/>
        <w:gridCol w:w="1127"/>
        <w:gridCol w:w="1100"/>
        <w:gridCol w:w="1084"/>
        <w:gridCol w:w="1193"/>
        <w:gridCol w:w="1290"/>
      </w:tblGrid>
      <w:tr>
        <w:tblPrEx>
          <w:tblCellMar>
            <w:top w:w="0" w:type="dxa"/>
            <w:left w:w="0" w:type="dxa"/>
            <w:bottom w:w="0" w:type="dxa"/>
            <w:right w:w="0" w:type="dxa"/>
          </w:tblCellMar>
        </w:tblPrEx>
        <w:trPr>
          <w:trHeight w:val="390" w:hRule="atLeast"/>
        </w:trPr>
        <w:tc>
          <w:tcPr>
            <w:tcW w:w="14154"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shd w:val="clear" w:color="auto" w:fill="auto"/>
              </w:rPr>
            </w:pPr>
            <w:r>
              <w:rPr>
                <w:rFonts w:hint="eastAsia" w:ascii="宋体" w:hAnsi="宋体" w:eastAsia="宋体" w:cs="宋体"/>
                <w:i w:val="0"/>
                <w:color w:val="000000"/>
                <w:kern w:val="0"/>
                <w:sz w:val="30"/>
                <w:szCs w:val="30"/>
                <w:highlight w:val="none"/>
                <w:u w:val="none"/>
                <w:shd w:val="clear" w:color="auto" w:fill="auto"/>
                <w:lang w:val="en-US" w:eastAsia="zh-CN" w:bidi="ar"/>
              </w:rPr>
              <w:t>收入决算表</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公开02表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部门：许昌实验中学</w:t>
            </w: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财政拨款收入</w:t>
            </w:r>
          </w:p>
        </w:tc>
        <w:tc>
          <w:tcPr>
            <w:tcW w:w="114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上级补助收入</w:t>
            </w:r>
          </w:p>
        </w:tc>
        <w:tc>
          <w:tcPr>
            <w:tcW w:w="11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事业收入</w:t>
            </w:r>
          </w:p>
        </w:tc>
        <w:tc>
          <w:tcPr>
            <w:tcW w:w="1084"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经营收入</w:t>
            </w:r>
          </w:p>
        </w:tc>
        <w:tc>
          <w:tcPr>
            <w:tcW w:w="124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附属单位上缴收入</w:t>
            </w:r>
          </w:p>
        </w:tc>
        <w:tc>
          <w:tcPr>
            <w:tcW w:w="106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其他收入</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8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8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8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栏次</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w:t>
            </w:r>
          </w:p>
        </w:tc>
        <w:tc>
          <w:tcPr>
            <w:tcW w:w="11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w:t>
            </w:r>
          </w:p>
        </w:tc>
        <w:tc>
          <w:tcPr>
            <w:tcW w:w="108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w:t>
            </w:r>
          </w:p>
        </w:tc>
        <w:tc>
          <w:tcPr>
            <w:tcW w:w="12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4,556.42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4,269.42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287.00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3,857.86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3,570.86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287.00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普通教育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3,845.86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3,558.86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287.00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初中教育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3,693.04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3,406.04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287.00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高中教育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高等教育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其他普通教育支出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150.77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150.77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554.91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554.91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554.91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554.91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304.77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304.77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250.14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250.14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000000"/>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170" w:type="dxa"/>
        <w:tblInd w:w="0" w:type="dxa"/>
        <w:tblLayout w:type="autofit"/>
        <w:tblCellMar>
          <w:top w:w="0" w:type="dxa"/>
          <w:left w:w="0" w:type="dxa"/>
          <w:bottom w:w="0" w:type="dxa"/>
          <w:right w:w="0" w:type="dxa"/>
        </w:tblCellMar>
      </w:tblPr>
      <w:tblGrid>
        <w:gridCol w:w="990"/>
        <w:gridCol w:w="3770"/>
        <w:gridCol w:w="1527"/>
        <w:gridCol w:w="1595"/>
        <w:gridCol w:w="1800"/>
        <w:gridCol w:w="1032"/>
        <w:gridCol w:w="1174"/>
        <w:gridCol w:w="1290"/>
      </w:tblGrid>
      <w:tr>
        <w:tblPrEx>
          <w:tblCellMar>
            <w:top w:w="0" w:type="dxa"/>
            <w:left w:w="0" w:type="dxa"/>
            <w:bottom w:w="0" w:type="dxa"/>
            <w:right w:w="0" w:type="dxa"/>
          </w:tblCellMar>
        </w:tblPrEx>
        <w:trPr>
          <w:trHeight w:val="390" w:hRule="atLeast"/>
        </w:trPr>
        <w:tc>
          <w:tcPr>
            <w:tcW w:w="13178" w:type="dxa"/>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shd w:val="clear" w:color="auto" w:fill="auto"/>
              </w:rPr>
            </w:pPr>
            <w:r>
              <w:rPr>
                <w:rFonts w:hint="eastAsia" w:ascii="宋体" w:hAnsi="宋体" w:eastAsia="宋体" w:cs="宋体"/>
                <w:i w:val="0"/>
                <w:color w:val="000000"/>
                <w:kern w:val="0"/>
                <w:sz w:val="30"/>
                <w:szCs w:val="30"/>
                <w:highlight w:val="none"/>
                <w:u w:val="none"/>
                <w:shd w:val="clear" w:color="auto" w:fill="auto"/>
                <w:lang w:val="en-US" w:eastAsia="zh-CN" w:bidi="ar"/>
              </w:rPr>
              <w:t>支出决算表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公开03表</w:t>
            </w:r>
          </w:p>
        </w:tc>
      </w:tr>
      <w:tr>
        <w:tblPrEx>
          <w:tblCellMar>
            <w:top w:w="0" w:type="dxa"/>
            <w:left w:w="0" w:type="dxa"/>
            <w:bottom w:w="0" w:type="dxa"/>
            <w:right w:w="0" w:type="dxa"/>
          </w:tblCellMar>
        </w:tblPrEx>
        <w:trPr>
          <w:trHeight w:val="255" w:hRule="atLeast"/>
        </w:trPr>
        <w:tc>
          <w:tcPr>
            <w:tcW w:w="0" w:type="auto"/>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部门：许昌实验中学</w:t>
            </w:r>
          </w:p>
        </w:tc>
        <w:tc>
          <w:tcPr>
            <w:tcW w:w="0" w:type="auto"/>
            <w:tcBorders>
              <w:top w:val="nil"/>
              <w:left w:val="nil"/>
              <w:bottom w:val="nil"/>
              <w:right w:val="nil"/>
            </w:tcBorders>
            <w:noWrap/>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shd w:val="clear" w:color="auto" w:fill="auto"/>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项目</w:t>
            </w:r>
          </w:p>
        </w:tc>
        <w:tc>
          <w:tcPr>
            <w:tcW w:w="152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本年支出合计</w:t>
            </w:r>
          </w:p>
        </w:tc>
        <w:tc>
          <w:tcPr>
            <w:tcW w:w="159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项目支出</w:t>
            </w:r>
          </w:p>
        </w:tc>
        <w:tc>
          <w:tcPr>
            <w:tcW w:w="1032"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上缴上级支出</w:t>
            </w:r>
          </w:p>
        </w:tc>
        <w:tc>
          <w:tcPr>
            <w:tcW w:w="118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经营支出</w:t>
            </w:r>
          </w:p>
        </w:tc>
        <w:tc>
          <w:tcPr>
            <w:tcW w:w="111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对附属单位补助支出</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科目名称</w:t>
            </w:r>
          </w:p>
        </w:tc>
        <w:tc>
          <w:tcPr>
            <w:tcW w:w="15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5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32"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1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5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5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32"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1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5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5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32"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1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栏次</w:t>
            </w:r>
          </w:p>
        </w:tc>
        <w:tc>
          <w:tcPr>
            <w:tcW w:w="152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w:t>
            </w:r>
          </w:p>
        </w:tc>
        <w:tc>
          <w:tcPr>
            <w:tcW w:w="15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w:t>
            </w:r>
          </w:p>
        </w:tc>
        <w:tc>
          <w:tcPr>
            <w:tcW w:w="103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w:t>
            </w:r>
          </w:p>
        </w:tc>
        <w:tc>
          <w:tcPr>
            <w:tcW w:w="11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w:t>
            </w:r>
          </w:p>
        </w:tc>
        <w:tc>
          <w:tcPr>
            <w:tcW w:w="111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5,504.29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4,791.75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712.54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4,740.82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4,028.28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712.54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普通教育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4,725.82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4,028.28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697.54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小学教育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初中教育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4,087.86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3,949.03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138.83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高中教育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高等教育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其他普通教育支出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630.90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79.24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551.66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特殊教育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2050701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特殊学校教育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337.49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337.49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272.78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272.78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000000"/>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10" w:type="dxa"/>
        <w:tblInd w:w="0" w:type="dxa"/>
        <w:tblLayout w:type="autofit"/>
        <w:tblCellMar>
          <w:top w:w="0" w:type="dxa"/>
          <w:left w:w="0" w:type="dxa"/>
          <w:bottom w:w="0" w:type="dxa"/>
          <w:right w:w="0" w:type="dxa"/>
        </w:tblCellMar>
      </w:tblPr>
      <w:tblGrid>
        <w:gridCol w:w="3375"/>
        <w:gridCol w:w="403"/>
        <w:gridCol w:w="1174"/>
        <w:gridCol w:w="3976"/>
        <w:gridCol w:w="403"/>
        <w:gridCol w:w="880"/>
        <w:gridCol w:w="1379"/>
        <w:gridCol w:w="798"/>
        <w:gridCol w:w="1589"/>
      </w:tblGrid>
      <w:tr>
        <w:tblPrEx>
          <w:tblCellMar>
            <w:top w:w="0" w:type="dxa"/>
            <w:left w:w="0" w:type="dxa"/>
            <w:bottom w:w="0" w:type="dxa"/>
            <w:right w:w="0" w:type="dxa"/>
          </w:tblCellMar>
        </w:tblPrEx>
        <w:trPr>
          <w:trHeight w:val="390" w:hRule="atLeast"/>
        </w:trPr>
        <w:tc>
          <w:tcPr>
            <w:tcW w:w="13910"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shd w:val="clear" w:color="auto" w:fill="auto"/>
              </w:rPr>
            </w:pPr>
            <w:r>
              <w:rPr>
                <w:rFonts w:hint="eastAsia" w:ascii="宋体" w:hAnsi="宋体" w:eastAsia="宋体" w:cs="宋体"/>
                <w:i w:val="0"/>
                <w:color w:val="000000"/>
                <w:kern w:val="0"/>
                <w:sz w:val="30"/>
                <w:szCs w:val="30"/>
                <w:highlight w:val="none"/>
                <w:u w:val="none"/>
                <w:shd w:val="clear" w:color="auto" w:fill="auto"/>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公开04表</w:t>
            </w:r>
          </w:p>
        </w:tc>
      </w:tr>
      <w:tr>
        <w:tblPrEx>
          <w:tblCellMar>
            <w:top w:w="0" w:type="dxa"/>
            <w:left w:w="0" w:type="dxa"/>
            <w:bottom w:w="0" w:type="dxa"/>
            <w:right w:w="0" w:type="dxa"/>
          </w:tblCellMar>
        </w:tblPrEx>
        <w:trPr>
          <w:trHeight w:val="255" w:hRule="atLeast"/>
        </w:trPr>
        <w:tc>
          <w:tcPr>
            <w:tcW w:w="11590" w:type="dxa"/>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部门：许昌实验中学</w:t>
            </w:r>
          </w:p>
        </w:tc>
        <w:tc>
          <w:tcPr>
            <w:tcW w:w="725"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000000"/>
                <w:sz w:val="18"/>
                <w:szCs w:val="18"/>
                <w:highlight w:val="none"/>
                <w:u w:val="none"/>
                <w:shd w:val="clear" w:color="auto" w:fill="auto"/>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金额单位：万元</w:t>
            </w:r>
          </w:p>
        </w:tc>
      </w:tr>
      <w:tr>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支     出</w:t>
            </w:r>
          </w:p>
        </w:tc>
      </w:tr>
      <w:tr>
        <w:tblPrEx>
          <w:tblCellMar>
            <w:top w:w="0" w:type="dxa"/>
            <w:left w:w="0" w:type="dxa"/>
            <w:bottom w:w="0" w:type="dxa"/>
            <w:right w:w="0" w:type="dxa"/>
          </w:tblCellMar>
        </w:tblPrEx>
        <w:trPr>
          <w:trHeight w:val="292" w:hRule="atLeast"/>
        </w:trPr>
        <w:tc>
          <w:tcPr>
            <w:tcW w:w="324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项目</w:t>
            </w:r>
          </w:p>
        </w:tc>
        <w:tc>
          <w:tcPr>
            <w:tcW w:w="45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行次</w:t>
            </w:r>
          </w:p>
        </w:tc>
        <w:tc>
          <w:tcPr>
            <w:tcW w:w="126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金额</w:t>
            </w:r>
          </w:p>
        </w:tc>
        <w:tc>
          <w:tcPr>
            <w:tcW w:w="389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项目</w:t>
            </w:r>
          </w:p>
        </w:tc>
        <w:tc>
          <w:tcPr>
            <w:tcW w:w="45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行次</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合计</w:t>
            </w:r>
          </w:p>
        </w:tc>
        <w:tc>
          <w:tcPr>
            <w:tcW w:w="125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一般公共预算财政拨款</w:t>
            </w:r>
          </w:p>
        </w:tc>
        <w:tc>
          <w:tcPr>
            <w:tcW w:w="7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政府性基金预算财政拨款</w:t>
            </w:r>
          </w:p>
        </w:tc>
        <w:tc>
          <w:tcPr>
            <w:tcW w:w="15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324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45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26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389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45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25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7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5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一、一般公共预算财政拨款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4,269.42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二、政府性基金预算财政拨款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三、国有资本经营财政拨款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4,422.69</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4,422.69</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618.03</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618.03</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4,269.42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5,186.16</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5,186.16</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年初财政拨款结转和结余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916.74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年末财政拨款结转和结余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916.74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5,186.17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5,186.17</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5,186.17</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585" w:hRule="atLeast"/>
        </w:trPr>
        <w:tc>
          <w:tcPr>
            <w:tcW w:w="13910"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000000"/>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1670" w:type="dxa"/>
        <w:tblInd w:w="0" w:type="dxa"/>
        <w:tblLayout w:type="autofit"/>
        <w:tblCellMar>
          <w:top w:w="0" w:type="dxa"/>
          <w:left w:w="0" w:type="dxa"/>
          <w:bottom w:w="0" w:type="dxa"/>
          <w:right w:w="0" w:type="dxa"/>
        </w:tblCellMar>
      </w:tblPr>
      <w:tblGrid>
        <w:gridCol w:w="1100"/>
        <w:gridCol w:w="4635"/>
        <w:gridCol w:w="1880"/>
        <w:gridCol w:w="1880"/>
        <w:gridCol w:w="2175"/>
      </w:tblGrid>
      <w:tr>
        <w:tblPrEx>
          <w:tblCellMar>
            <w:top w:w="0" w:type="dxa"/>
            <w:left w:w="0" w:type="dxa"/>
            <w:bottom w:w="0" w:type="dxa"/>
            <w:right w:w="0" w:type="dxa"/>
          </w:tblCellMar>
        </w:tblPrEx>
        <w:trPr>
          <w:trHeight w:val="390" w:hRule="atLeast"/>
        </w:trPr>
        <w:tc>
          <w:tcPr>
            <w:tcW w:w="11670" w:type="dxa"/>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shd w:val="clear" w:color="auto" w:fill="auto"/>
              </w:rPr>
            </w:pPr>
            <w:r>
              <w:rPr>
                <w:rFonts w:hint="eastAsia" w:ascii="宋体" w:hAnsi="宋体" w:eastAsia="宋体" w:cs="宋体"/>
                <w:i w:val="0"/>
                <w:color w:val="000000"/>
                <w:kern w:val="0"/>
                <w:sz w:val="30"/>
                <w:szCs w:val="30"/>
                <w:highlight w:val="none"/>
                <w:u w:val="none"/>
                <w:shd w:val="clear" w:color="auto" w:fill="auto"/>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公开05表</w:t>
            </w:r>
          </w:p>
        </w:tc>
      </w:tr>
      <w:tr>
        <w:tblPrEx>
          <w:tblCellMar>
            <w:top w:w="0" w:type="dxa"/>
            <w:left w:w="0" w:type="dxa"/>
            <w:bottom w:w="0" w:type="dxa"/>
            <w:right w:w="0" w:type="dxa"/>
          </w:tblCellMar>
        </w:tblPrEx>
        <w:trPr>
          <w:trHeight w:val="255" w:hRule="atLeast"/>
        </w:trPr>
        <w:tc>
          <w:tcPr>
            <w:tcW w:w="0" w:type="auto"/>
            <w:gridSpan w:val="4"/>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部门：许昌实验中学</w:t>
            </w: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本年支出</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科目名称</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小计</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基本支出</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项目支出</w:t>
            </w:r>
          </w:p>
        </w:tc>
      </w:tr>
      <w:tr>
        <w:tblPrEx>
          <w:tblCellMar>
            <w:top w:w="0" w:type="dxa"/>
            <w:left w:w="0" w:type="dxa"/>
            <w:bottom w:w="0" w:type="dxa"/>
            <w:right w:w="0"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5,186.16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4,504.25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shd w:val="clear" w:color="auto" w:fill="auto"/>
              </w:rPr>
            </w:pPr>
            <w:r>
              <w:rPr>
                <w:rFonts w:hint="eastAsia" w:ascii="宋体" w:hAnsi="宋体" w:eastAsia="宋体" w:cs="宋体"/>
                <w:b/>
                <w:i w:val="0"/>
                <w:color w:val="000000"/>
                <w:kern w:val="0"/>
                <w:sz w:val="22"/>
                <w:szCs w:val="22"/>
                <w:highlight w:val="none"/>
                <w:u w:val="none"/>
                <w:shd w:val="clear" w:color="auto" w:fill="auto"/>
                <w:lang w:val="en-US" w:eastAsia="zh-CN" w:bidi="ar"/>
              </w:rPr>
              <w:t>681.92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4,422.69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3,740.78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681.92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普通教育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4,407.69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3,740.78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666.92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小学教育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初中教育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3,769.74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3,661.53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108.21</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高中教育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1.87</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高等教育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0.18</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其他普通教育支出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630.90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79.24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551.66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特殊教育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2050701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特殊学校教育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2059999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337.49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337.49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272.78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272.78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000000"/>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5000" w:type="dxa"/>
        <w:tblInd w:w="0" w:type="dxa"/>
        <w:tblLayout w:type="autofit"/>
        <w:tblCellMar>
          <w:top w:w="0" w:type="dxa"/>
          <w:left w:w="0" w:type="dxa"/>
          <w:bottom w:w="0" w:type="dxa"/>
          <w:right w:w="0" w:type="dxa"/>
        </w:tblCellMar>
      </w:tblPr>
      <w:tblGrid>
        <w:gridCol w:w="706"/>
        <w:gridCol w:w="3330"/>
        <w:gridCol w:w="984"/>
        <w:gridCol w:w="706"/>
        <w:gridCol w:w="2263"/>
        <w:gridCol w:w="817"/>
        <w:gridCol w:w="706"/>
        <w:gridCol w:w="4210"/>
        <w:gridCol w:w="1290"/>
      </w:tblGrid>
      <w:tr>
        <w:tblPrEx>
          <w:tblCellMar>
            <w:top w:w="0" w:type="dxa"/>
            <w:left w:w="0" w:type="dxa"/>
            <w:bottom w:w="0" w:type="dxa"/>
            <w:right w:w="0" w:type="dxa"/>
          </w:tblCellMar>
        </w:tblPrEx>
        <w:trPr>
          <w:trHeight w:val="390" w:hRule="atLeast"/>
        </w:trPr>
        <w:tc>
          <w:tcPr>
            <w:tcW w:w="15008"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shd w:val="clear" w:color="auto" w:fill="auto"/>
              </w:rPr>
            </w:pPr>
            <w:r>
              <w:rPr>
                <w:rFonts w:hint="eastAsia" w:ascii="宋体" w:hAnsi="宋体" w:eastAsia="宋体" w:cs="宋体"/>
                <w:i w:val="0"/>
                <w:color w:val="000000"/>
                <w:kern w:val="0"/>
                <w:sz w:val="30"/>
                <w:szCs w:val="30"/>
                <w:highlight w:val="none"/>
                <w:u w:val="none"/>
                <w:shd w:val="clear" w:color="auto" w:fill="auto"/>
                <w:lang w:val="en-US" w:eastAsia="zh-CN" w:bidi="ar"/>
              </w:rPr>
              <w:t>一般公共预算财政拨款基本支出决算表</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公开06表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部门：许昌实验中学</w:t>
            </w: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公用经费</w:t>
            </w:r>
          </w:p>
        </w:tc>
      </w:tr>
      <w:tr>
        <w:tblPrEx>
          <w:tblCellMar>
            <w:top w:w="0" w:type="dxa"/>
            <w:left w:w="0" w:type="dxa"/>
            <w:bottom w:w="0" w:type="dxa"/>
            <w:right w:w="0"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科目编码</w:t>
            </w:r>
          </w:p>
        </w:tc>
        <w:tc>
          <w:tcPr>
            <w:tcW w:w="296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科目名称</w:t>
            </w:r>
          </w:p>
        </w:tc>
        <w:tc>
          <w:tcPr>
            <w:tcW w:w="111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决算数</w:t>
            </w:r>
          </w:p>
        </w:tc>
        <w:tc>
          <w:tcPr>
            <w:tcW w:w="7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科目编码</w:t>
            </w:r>
          </w:p>
        </w:tc>
        <w:tc>
          <w:tcPr>
            <w:tcW w:w="226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科目名称</w:t>
            </w:r>
          </w:p>
        </w:tc>
        <w:tc>
          <w:tcPr>
            <w:tcW w:w="127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决算数</w:t>
            </w:r>
          </w:p>
        </w:tc>
        <w:tc>
          <w:tcPr>
            <w:tcW w:w="7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科目编码</w:t>
            </w:r>
          </w:p>
        </w:tc>
        <w:tc>
          <w:tcPr>
            <w:tcW w:w="415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科目名称</w:t>
            </w:r>
          </w:p>
        </w:tc>
        <w:tc>
          <w:tcPr>
            <w:tcW w:w="103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决算数</w:t>
            </w:r>
          </w:p>
        </w:tc>
      </w:tr>
      <w:tr>
        <w:tblPrEx>
          <w:tblCellMar>
            <w:top w:w="0" w:type="dxa"/>
            <w:left w:w="0" w:type="dxa"/>
            <w:bottom w:w="0" w:type="dxa"/>
            <w:right w:w="0"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296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1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7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226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27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7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415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3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3,730.01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420.05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债务利息及费用支出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基本工资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1,194.90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办公费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42.76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30701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国内债务付息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津贴补贴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794.76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印刷费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30702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国外债务付息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奖金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399.19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咨询费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3.99</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伙食补助费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手续费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房屋建筑物购建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绩效工资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575.24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14.95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办公设备购置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3.99</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283.38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29.19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专用设备购置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职业年金缴费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邮电费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基础设施建设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140.42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取暖费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大型修缮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公务员医疗补助缴费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物业管理费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其他社会保障缴费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17.39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差旅费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物资储备</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住房公积金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233.50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因公出国（境）费用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土地补偿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医疗费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维修（护）费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45.76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安置补助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91.23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租赁费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350.20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会议费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拆迁补偿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离休费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培训费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17.30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公务用车购置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退休费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344.57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公务接待费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其他交通工具购置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退职（役）费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专用材料费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文物和陈列品购置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抚恤金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被装购置费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无形资产购置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生活补助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专用燃料费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31099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救济费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劳务费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170.15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医疗费补助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委托业务费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39906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赠与</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助学金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工会经费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39907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国家赔偿费用支出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奖励金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福利费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47.02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39908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个人农业生产补贴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公务用车运行维护费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0.98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代缴社会保险费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其他交通费用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税金及附加费用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 xml:space="preserve">  其他商品和服务支出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18.26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人员经费合计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4,080.20</w:t>
            </w:r>
          </w:p>
        </w:tc>
        <w:tc>
          <w:tcPr>
            <w:tcW w:w="0" w:type="auto"/>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公用经费合计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424.04</w:t>
            </w:r>
          </w:p>
        </w:tc>
      </w:tr>
      <w:tr>
        <w:tblPrEx>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000000"/>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475" w:type="dxa"/>
        <w:tblInd w:w="0" w:type="dxa"/>
        <w:tblLayout w:type="autofit"/>
        <w:tblCellMar>
          <w:top w:w="0" w:type="dxa"/>
          <w:left w:w="0" w:type="dxa"/>
          <w:bottom w:w="0" w:type="dxa"/>
          <w:right w:w="0" w:type="dxa"/>
        </w:tblCellMar>
      </w:tblPr>
      <w:tblGrid>
        <w:gridCol w:w="1410"/>
        <w:gridCol w:w="1103"/>
        <w:gridCol w:w="1086"/>
        <w:gridCol w:w="1070"/>
        <w:gridCol w:w="1410"/>
        <w:gridCol w:w="1410"/>
        <w:gridCol w:w="1018"/>
        <w:gridCol w:w="1052"/>
        <w:gridCol w:w="1410"/>
        <w:gridCol w:w="1051"/>
        <w:gridCol w:w="1171"/>
        <w:gridCol w:w="1290"/>
      </w:tblGrid>
      <w:tr>
        <w:tblPrEx>
          <w:tblCellMar>
            <w:top w:w="0" w:type="dxa"/>
            <w:left w:w="0" w:type="dxa"/>
            <w:bottom w:w="0" w:type="dxa"/>
            <w:right w:w="0" w:type="dxa"/>
          </w:tblCellMar>
        </w:tblPrEx>
        <w:trPr>
          <w:trHeight w:val="540" w:hRule="atLeast"/>
        </w:trPr>
        <w:tc>
          <w:tcPr>
            <w:tcW w:w="14481"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highlight w:val="none"/>
                <w:u w:val="none"/>
                <w:shd w:val="clear" w:color="auto" w:fill="auto"/>
              </w:rPr>
            </w:pPr>
            <w:r>
              <w:rPr>
                <w:rFonts w:hint="eastAsia" w:ascii="宋体" w:hAnsi="宋体" w:eastAsia="宋体" w:cs="宋体"/>
                <w:i w:val="0"/>
                <w:color w:val="000000"/>
                <w:kern w:val="0"/>
                <w:sz w:val="44"/>
                <w:szCs w:val="44"/>
                <w:highlight w:val="none"/>
                <w:u w:val="none"/>
                <w:shd w:val="clear" w:color="auto" w:fill="auto"/>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0" w:type="auto"/>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公开07表</w:t>
            </w:r>
          </w:p>
        </w:tc>
      </w:tr>
      <w:tr>
        <w:tblPrEx>
          <w:tblCellMar>
            <w:top w:w="0" w:type="dxa"/>
            <w:left w:w="0" w:type="dxa"/>
            <w:bottom w:w="0" w:type="dxa"/>
            <w:right w:w="0" w:type="dxa"/>
          </w:tblCellMar>
        </w:tblPrEx>
        <w:trPr>
          <w:trHeight w:val="255" w:hRule="atLeast"/>
        </w:trPr>
        <w:tc>
          <w:tcPr>
            <w:tcW w:w="0" w:type="auto"/>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部门：许昌实验中学</w:t>
            </w: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753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预算数</w:t>
            </w:r>
          </w:p>
        </w:tc>
        <w:tc>
          <w:tcPr>
            <w:tcW w:w="6942"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决算数</w:t>
            </w:r>
          </w:p>
        </w:tc>
      </w:tr>
      <w:tr>
        <w:tblPrEx>
          <w:tblCellMar>
            <w:top w:w="0" w:type="dxa"/>
            <w:left w:w="0" w:type="dxa"/>
            <w:bottom w:w="0" w:type="dxa"/>
            <w:right w:w="0"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合计</w:t>
            </w:r>
          </w:p>
        </w:tc>
        <w:tc>
          <w:tcPr>
            <w:tcW w:w="110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因公出国（境）费</w:t>
            </w:r>
          </w:p>
        </w:tc>
        <w:tc>
          <w:tcPr>
            <w:tcW w:w="361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公务用车购置及运行费</w:t>
            </w:r>
          </w:p>
        </w:tc>
        <w:tc>
          <w:tcPr>
            <w:tcW w:w="141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公务接待费</w:t>
            </w:r>
          </w:p>
        </w:tc>
        <w:tc>
          <w:tcPr>
            <w:tcW w:w="101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合计</w:t>
            </w:r>
          </w:p>
        </w:tc>
        <w:tc>
          <w:tcPr>
            <w:tcW w:w="105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因公出国（境）费</w:t>
            </w:r>
          </w:p>
        </w:tc>
        <w:tc>
          <w:tcPr>
            <w:tcW w:w="3701"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公务用车购置及运行费</w:t>
            </w:r>
          </w:p>
        </w:tc>
        <w:tc>
          <w:tcPr>
            <w:tcW w:w="117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公务接待费</w:t>
            </w:r>
          </w:p>
        </w:tc>
      </w:tr>
      <w:tr>
        <w:tblPrEx>
          <w:tblCellMar>
            <w:top w:w="0" w:type="dxa"/>
            <w:left w:w="0" w:type="dxa"/>
            <w:bottom w:w="0" w:type="dxa"/>
            <w:right w:w="0"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10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小计</w:t>
            </w:r>
          </w:p>
        </w:tc>
        <w:tc>
          <w:tcPr>
            <w:tcW w:w="112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公务用车购置费</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公务用车运行费</w:t>
            </w:r>
          </w:p>
        </w:tc>
        <w:tc>
          <w:tcPr>
            <w:tcW w:w="141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1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05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小计</w:t>
            </w:r>
          </w:p>
        </w:tc>
        <w:tc>
          <w:tcPr>
            <w:tcW w:w="112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公务用车购置费</w:t>
            </w:r>
          </w:p>
        </w:tc>
        <w:tc>
          <w:tcPr>
            <w:tcW w:w="117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公务用车运行费</w:t>
            </w:r>
          </w:p>
        </w:tc>
        <w:tc>
          <w:tcPr>
            <w:tcW w:w="117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14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w:t>
            </w:r>
          </w:p>
        </w:tc>
        <w:tc>
          <w:tcPr>
            <w:tcW w:w="110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w:t>
            </w:r>
          </w:p>
        </w:tc>
        <w:tc>
          <w:tcPr>
            <w:tcW w:w="10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w:t>
            </w:r>
          </w:p>
        </w:tc>
        <w:tc>
          <w:tcPr>
            <w:tcW w:w="112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w:t>
            </w:r>
          </w:p>
        </w:tc>
        <w:tc>
          <w:tcPr>
            <w:tcW w:w="101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7</w:t>
            </w:r>
          </w:p>
        </w:tc>
        <w:tc>
          <w:tcPr>
            <w:tcW w:w="10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8</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9</w:t>
            </w:r>
          </w:p>
        </w:tc>
        <w:tc>
          <w:tcPr>
            <w:tcW w:w="112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10</w:t>
            </w:r>
          </w:p>
        </w:tc>
        <w:tc>
          <w:tcPr>
            <w:tcW w:w="117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11</w:t>
            </w:r>
          </w:p>
        </w:tc>
        <w:tc>
          <w:tcPr>
            <w:tcW w:w="117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11.04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0.98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0.98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0.98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615" w:hRule="atLeast"/>
        </w:trPr>
        <w:tc>
          <w:tcPr>
            <w:tcW w:w="14481"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000000"/>
          <w:sz w:val="32"/>
          <w:szCs w:val="32"/>
          <w:highlight w:val="none"/>
          <w:shd w:val="clear" w:color="auto" w:fill="auto"/>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5000" w:type="dxa"/>
        <w:tblInd w:w="0" w:type="dxa"/>
        <w:tblLayout w:type="autofit"/>
        <w:tblCellMar>
          <w:top w:w="0" w:type="dxa"/>
          <w:left w:w="0" w:type="dxa"/>
          <w:bottom w:w="0" w:type="dxa"/>
          <w:right w:w="0" w:type="dxa"/>
        </w:tblCellMar>
      </w:tblPr>
      <w:tblGrid>
        <w:gridCol w:w="1186"/>
        <w:gridCol w:w="1741"/>
        <w:gridCol w:w="1846"/>
        <w:gridCol w:w="1846"/>
        <w:gridCol w:w="1846"/>
        <w:gridCol w:w="1846"/>
        <w:gridCol w:w="1846"/>
        <w:gridCol w:w="2843"/>
      </w:tblGrid>
      <w:tr>
        <w:tblPrEx>
          <w:tblCellMar>
            <w:top w:w="0" w:type="dxa"/>
            <w:left w:w="0" w:type="dxa"/>
            <w:bottom w:w="0" w:type="dxa"/>
            <w:right w:w="0" w:type="dxa"/>
          </w:tblCellMar>
        </w:tblPrEx>
        <w:trPr>
          <w:trHeight w:val="390" w:hRule="atLeast"/>
        </w:trPr>
        <w:tc>
          <w:tcPr>
            <w:tcW w:w="15000" w:type="dxa"/>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highlight w:val="none"/>
                <w:u w:val="none"/>
                <w:shd w:val="clear" w:color="auto" w:fill="auto"/>
              </w:rPr>
            </w:pPr>
            <w:r>
              <w:rPr>
                <w:rFonts w:hint="eastAsia" w:ascii="宋体" w:hAnsi="宋体" w:eastAsia="宋体" w:cs="宋体"/>
                <w:i w:val="0"/>
                <w:color w:val="000000"/>
                <w:kern w:val="0"/>
                <w:sz w:val="30"/>
                <w:szCs w:val="30"/>
                <w:highlight w:val="none"/>
                <w:u w:val="none"/>
                <w:shd w:val="clear" w:color="auto" w:fill="auto"/>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公开08表</w:t>
            </w:r>
          </w:p>
        </w:tc>
      </w:tr>
      <w:tr>
        <w:tblPrEx>
          <w:tblCellMar>
            <w:top w:w="0" w:type="dxa"/>
            <w:left w:w="0" w:type="dxa"/>
            <w:bottom w:w="0" w:type="dxa"/>
            <w:right w:w="0" w:type="dxa"/>
          </w:tblCellMar>
        </w:tblPrEx>
        <w:trPr>
          <w:trHeight w:val="255" w:hRule="atLeast"/>
        </w:trPr>
        <w:tc>
          <w:tcPr>
            <w:tcW w:w="0" w:type="auto"/>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部门：许昌实验中学</w:t>
            </w: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shd w:val="clear" w:color="auto" w:fill="auto"/>
              </w:rPr>
            </w:pPr>
            <w:r>
              <w:rPr>
                <w:rFonts w:hint="eastAsia" w:ascii="宋体" w:hAnsi="宋体" w:eastAsia="宋体" w:cs="宋体"/>
                <w:i w:val="0"/>
                <w:color w:val="000000"/>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年末结转和结余</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小计</w:t>
            </w: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基本支出</w:t>
            </w: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6</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shd w:val="clear" w:color="auto" w:fill="auto"/>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000000"/>
          <w:sz w:val="32"/>
          <w:szCs w:val="32"/>
          <w:highlight w:val="none"/>
          <w:shd w:val="clear" w:color="auto" w:fill="auto"/>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000000"/>
          <w:sz w:val="32"/>
          <w:szCs w:val="32"/>
          <w:highlight w:val="none"/>
          <w:shd w:val="clear" w:color="auto" w:fill="auto"/>
          <w:lang w:eastAsia="zh-CN"/>
        </w:rPr>
        <w:t>说明：我单位没有政府性基金收入，也没有使用政府性基金安排的支出，故本表无数据。</w:t>
      </w: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jc w:val="center"/>
        <w:outlineLvl w:val="0"/>
        <w:rPr>
          <w:rFonts w:hint="eastAsia" w:ascii="黑体" w:hAnsi="黑体" w:eastAsia="黑体" w:cs="黑体"/>
          <w:color w:val="000000"/>
          <w:sz w:val="48"/>
          <w:szCs w:val="48"/>
          <w:highlight w:val="none"/>
          <w:shd w:val="clear" w:color="auto" w:fill="auto"/>
        </w:rPr>
      </w:pPr>
      <w:r>
        <w:rPr>
          <w:rFonts w:hint="eastAsia" w:ascii="黑体" w:hAnsi="黑体" w:eastAsia="黑体" w:cs="黑体"/>
          <w:color w:val="000000"/>
          <w:sz w:val="48"/>
          <w:szCs w:val="48"/>
          <w:highlight w:val="none"/>
          <w:shd w:val="clear" w:color="auto" w:fill="auto"/>
        </w:rPr>
        <w:t>第三部分 2021年度</w:t>
      </w:r>
      <w:r>
        <w:rPr>
          <w:rFonts w:hint="eastAsia" w:ascii="黑体" w:hAnsi="黑体" w:eastAsia="黑体" w:cs="黑体"/>
          <w:color w:val="000000"/>
          <w:sz w:val="48"/>
          <w:szCs w:val="48"/>
          <w:highlight w:val="none"/>
          <w:shd w:val="clear" w:color="auto" w:fill="auto"/>
          <w:lang w:eastAsia="zh-CN"/>
        </w:rPr>
        <w:t>单位</w:t>
      </w:r>
      <w:r>
        <w:rPr>
          <w:rFonts w:hint="eastAsia" w:ascii="黑体" w:hAnsi="黑体" w:eastAsia="黑体" w:cs="黑体"/>
          <w:color w:val="000000"/>
          <w:sz w:val="48"/>
          <w:szCs w:val="48"/>
          <w:highlight w:val="none"/>
          <w:shd w:val="clear" w:color="auto" w:fill="auto"/>
        </w:rPr>
        <w:t>决算情况说明</w:t>
      </w:r>
    </w:p>
    <w:p>
      <w:pPr>
        <w:widowControl/>
        <w:jc w:val="left"/>
        <w:rPr>
          <w:rFonts w:hint="eastAsia" w:ascii="黑体" w:hAnsi="黑体" w:eastAsia="黑体" w:cs="黑体"/>
          <w:color w:val="000000"/>
          <w:sz w:val="48"/>
          <w:szCs w:val="48"/>
          <w:highlight w:val="none"/>
          <w:shd w:val="clear" w:color="auto" w:fill="auto"/>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一、收入支出决算总体情况说明</w:t>
      </w:r>
    </w:p>
    <w:p>
      <w:pPr>
        <w:widowControl/>
        <w:spacing w:line="590" w:lineRule="exact"/>
        <w:ind w:firstLine="640" w:firstLineChars="200"/>
        <w:rPr>
          <w:rFonts w:hint="eastAsia" w:ascii="黑体" w:hAnsi="黑体" w:eastAsia="黑体" w:cs="黑体"/>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年度收、支总计均为</w:t>
      </w:r>
      <w:r>
        <w:rPr>
          <w:rFonts w:hint="eastAsia" w:ascii="仿宋_GB2312" w:hAnsi="仿宋_GB2312" w:eastAsia="仿宋_GB2312" w:cs="仿宋_GB2312"/>
          <w:color w:val="000000"/>
          <w:sz w:val="32"/>
          <w:szCs w:val="32"/>
          <w:highlight w:val="none"/>
          <w:shd w:val="clear" w:color="auto" w:fill="auto"/>
          <w:lang w:val="en-US" w:eastAsia="zh-CN"/>
        </w:rPr>
        <w:t>5558.59</w:t>
      </w:r>
      <w:r>
        <w:rPr>
          <w:rFonts w:hint="eastAsia" w:ascii="仿宋_GB2312" w:hAnsi="仿宋_GB2312" w:eastAsia="仿宋_GB2312" w:cs="仿宋_GB2312"/>
          <w:color w:val="000000"/>
          <w:sz w:val="32"/>
          <w:szCs w:val="32"/>
          <w:highlight w:val="none"/>
          <w:shd w:val="clear" w:color="auto" w:fill="auto"/>
        </w:rPr>
        <w:t>万元。与上年度相比，收、支总计各减少</w:t>
      </w:r>
      <w:r>
        <w:rPr>
          <w:rFonts w:hint="eastAsia" w:ascii="仿宋_GB2312" w:hAnsi="仿宋_GB2312" w:eastAsia="仿宋_GB2312" w:cs="仿宋_GB2312"/>
          <w:color w:val="000000"/>
          <w:sz w:val="32"/>
          <w:szCs w:val="32"/>
          <w:highlight w:val="none"/>
          <w:shd w:val="clear" w:color="auto" w:fill="auto"/>
          <w:lang w:val="en-US" w:eastAsia="zh-CN"/>
        </w:rPr>
        <w:t>597.16</w:t>
      </w:r>
      <w:r>
        <w:rPr>
          <w:rFonts w:hint="eastAsia" w:ascii="仿宋_GB2312" w:hAnsi="仿宋_GB2312" w:eastAsia="仿宋_GB2312" w:cs="仿宋_GB2312"/>
          <w:color w:val="000000"/>
          <w:sz w:val="32"/>
          <w:szCs w:val="32"/>
          <w:highlight w:val="none"/>
          <w:shd w:val="clear" w:color="auto" w:fill="auto"/>
        </w:rPr>
        <w:t>万元，下降</w:t>
      </w:r>
      <w:r>
        <w:rPr>
          <w:rFonts w:hint="eastAsia" w:ascii="仿宋_GB2312" w:hAnsi="仿宋_GB2312" w:eastAsia="仿宋_GB2312" w:cs="仿宋_GB2312"/>
          <w:color w:val="000000"/>
          <w:sz w:val="32"/>
          <w:szCs w:val="32"/>
          <w:highlight w:val="none"/>
          <w:shd w:val="clear" w:color="auto" w:fill="auto"/>
          <w:lang w:val="en-US" w:eastAsia="zh-CN"/>
        </w:rPr>
        <w:t>9.70</w:t>
      </w:r>
      <w:r>
        <w:rPr>
          <w:rFonts w:hint="eastAsia" w:ascii="仿宋_GB2312" w:hAnsi="仿宋_GB2312" w:eastAsia="仿宋_GB2312" w:cs="仿宋_GB2312"/>
          <w:color w:val="000000"/>
          <w:sz w:val="32"/>
          <w:szCs w:val="32"/>
          <w:highlight w:val="none"/>
          <w:shd w:val="clear" w:color="auto" w:fill="auto"/>
        </w:rPr>
        <w:t>%。主要原因是</w:t>
      </w:r>
      <w:r>
        <w:rPr>
          <w:rFonts w:hint="eastAsia" w:ascii="仿宋_GB2312" w:hAnsi="仿宋_GB2312" w:eastAsia="仿宋_GB2312" w:cs="仿宋_GB2312"/>
          <w:color w:val="000000"/>
          <w:sz w:val="32"/>
          <w:szCs w:val="32"/>
          <w:highlight w:val="none"/>
          <w:shd w:val="clear" w:color="auto" w:fill="auto"/>
          <w:lang w:eastAsia="zh-CN"/>
        </w:rPr>
        <w:t>压缩经费支出，厉行节俭原则，严格按照预算进度执行</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二、收入决算情况说明</w:t>
      </w:r>
    </w:p>
    <w:p>
      <w:pPr>
        <w:widowControl/>
        <w:spacing w:line="590" w:lineRule="exact"/>
        <w:ind w:firstLine="640" w:firstLineChars="200"/>
        <w:rPr>
          <w:rFonts w:hint="eastAsia" w:ascii="黑体" w:hAnsi="黑体" w:eastAsia="黑体" w:cs="黑体"/>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年度收入合计</w:t>
      </w:r>
      <w:r>
        <w:rPr>
          <w:rFonts w:hint="eastAsia" w:ascii="仿宋_GB2312" w:hAnsi="仿宋_GB2312" w:eastAsia="仿宋_GB2312" w:cs="仿宋_GB2312"/>
          <w:color w:val="000000"/>
          <w:sz w:val="32"/>
          <w:szCs w:val="32"/>
          <w:highlight w:val="none"/>
          <w:shd w:val="clear" w:color="auto" w:fill="auto"/>
          <w:lang w:val="en-US" w:eastAsia="zh-CN"/>
        </w:rPr>
        <w:t>4556.42</w:t>
      </w:r>
      <w:r>
        <w:rPr>
          <w:rFonts w:hint="eastAsia" w:ascii="仿宋_GB2312" w:hAnsi="仿宋_GB2312" w:eastAsia="仿宋_GB2312" w:cs="仿宋_GB2312"/>
          <w:color w:val="000000"/>
          <w:sz w:val="32"/>
          <w:szCs w:val="32"/>
          <w:highlight w:val="none"/>
          <w:shd w:val="clear" w:color="auto" w:fill="auto"/>
        </w:rPr>
        <w:t>万元，其中：财政拨款收入</w:t>
      </w:r>
      <w:r>
        <w:rPr>
          <w:rFonts w:hint="eastAsia" w:ascii="仿宋_GB2312" w:hAnsi="仿宋_GB2312" w:eastAsia="仿宋_GB2312" w:cs="仿宋_GB2312"/>
          <w:color w:val="000000"/>
          <w:sz w:val="32"/>
          <w:szCs w:val="32"/>
          <w:highlight w:val="none"/>
          <w:shd w:val="clear" w:color="auto" w:fill="auto"/>
          <w:lang w:val="en-US" w:eastAsia="zh-CN"/>
        </w:rPr>
        <w:t>4269.42</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93.70</w:t>
      </w:r>
      <w:r>
        <w:rPr>
          <w:rFonts w:hint="eastAsia" w:ascii="仿宋_GB2312" w:hAnsi="仿宋_GB2312" w:eastAsia="仿宋_GB2312" w:cs="仿宋_GB2312"/>
          <w:color w:val="000000"/>
          <w:sz w:val="32"/>
          <w:szCs w:val="32"/>
          <w:highlight w:val="none"/>
          <w:shd w:val="clear" w:color="auto" w:fill="auto"/>
        </w:rPr>
        <w:t>%；上级补助收入</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%；事业收入</w:t>
      </w:r>
      <w:r>
        <w:rPr>
          <w:rFonts w:hint="eastAsia" w:ascii="仿宋_GB2312" w:hAnsi="仿宋_GB2312" w:eastAsia="仿宋_GB2312" w:cs="仿宋_GB2312"/>
          <w:color w:val="000000"/>
          <w:sz w:val="32"/>
          <w:szCs w:val="32"/>
          <w:highlight w:val="none"/>
          <w:shd w:val="clear" w:color="auto" w:fill="auto"/>
          <w:lang w:val="en-US" w:eastAsia="zh-CN"/>
        </w:rPr>
        <w:t>287</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6.30</w:t>
      </w:r>
      <w:r>
        <w:rPr>
          <w:rFonts w:hint="eastAsia" w:ascii="仿宋_GB2312" w:hAnsi="仿宋_GB2312" w:eastAsia="仿宋_GB2312" w:cs="仿宋_GB2312"/>
          <w:color w:val="000000"/>
          <w:sz w:val="32"/>
          <w:szCs w:val="32"/>
          <w:highlight w:val="none"/>
          <w:shd w:val="clear" w:color="auto" w:fill="auto"/>
        </w:rPr>
        <w:t>%；经营收入</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%；附属单位上缴收入</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%；其他收入</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三、支出决算情况说明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年度支出合计</w:t>
      </w:r>
      <w:r>
        <w:rPr>
          <w:rFonts w:hint="eastAsia" w:ascii="仿宋_GB2312" w:hAnsi="仿宋_GB2312" w:eastAsia="仿宋_GB2312" w:cs="仿宋_GB2312"/>
          <w:color w:val="000000"/>
          <w:sz w:val="32"/>
          <w:szCs w:val="32"/>
          <w:highlight w:val="none"/>
          <w:shd w:val="clear" w:color="auto" w:fill="auto"/>
          <w:lang w:val="en-US" w:eastAsia="zh-CN"/>
        </w:rPr>
        <w:t>5504.29</w:t>
      </w:r>
      <w:r>
        <w:rPr>
          <w:rFonts w:hint="eastAsia" w:ascii="仿宋_GB2312" w:hAnsi="仿宋_GB2312" w:eastAsia="仿宋_GB2312" w:cs="仿宋_GB2312"/>
          <w:color w:val="000000"/>
          <w:sz w:val="32"/>
          <w:szCs w:val="32"/>
          <w:highlight w:val="none"/>
          <w:shd w:val="clear" w:color="auto" w:fill="auto"/>
        </w:rPr>
        <w:t>万元，其中：基本支出</w:t>
      </w:r>
      <w:r>
        <w:rPr>
          <w:rFonts w:hint="eastAsia" w:ascii="仿宋_GB2312" w:hAnsi="仿宋_GB2312" w:eastAsia="仿宋_GB2312" w:cs="仿宋_GB2312"/>
          <w:color w:val="000000"/>
          <w:sz w:val="32"/>
          <w:szCs w:val="32"/>
          <w:highlight w:val="none"/>
          <w:shd w:val="clear" w:color="auto" w:fill="auto"/>
          <w:lang w:val="en-US" w:eastAsia="zh-CN"/>
        </w:rPr>
        <w:t>4791.75</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87.05</w:t>
      </w:r>
      <w:r>
        <w:rPr>
          <w:rFonts w:hint="eastAsia" w:ascii="仿宋_GB2312" w:hAnsi="仿宋_GB2312" w:eastAsia="仿宋_GB2312" w:cs="仿宋_GB2312"/>
          <w:color w:val="000000"/>
          <w:sz w:val="32"/>
          <w:szCs w:val="32"/>
          <w:highlight w:val="none"/>
          <w:shd w:val="clear" w:color="auto" w:fill="auto"/>
        </w:rPr>
        <w:t>%；项目支出</w:t>
      </w:r>
      <w:r>
        <w:rPr>
          <w:rFonts w:hint="eastAsia" w:ascii="仿宋_GB2312" w:hAnsi="仿宋_GB2312" w:eastAsia="仿宋_GB2312" w:cs="仿宋_GB2312"/>
          <w:color w:val="000000"/>
          <w:sz w:val="32"/>
          <w:szCs w:val="32"/>
          <w:highlight w:val="none"/>
          <w:shd w:val="clear" w:color="auto" w:fill="auto"/>
          <w:lang w:val="en-US" w:eastAsia="zh-CN"/>
        </w:rPr>
        <w:t>712.54</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12.95</w:t>
      </w:r>
      <w:r>
        <w:rPr>
          <w:rFonts w:hint="eastAsia" w:ascii="仿宋_GB2312" w:hAnsi="仿宋_GB2312" w:eastAsia="仿宋_GB2312" w:cs="仿宋_GB2312"/>
          <w:color w:val="000000"/>
          <w:sz w:val="32"/>
          <w:szCs w:val="32"/>
          <w:highlight w:val="none"/>
          <w:shd w:val="clear" w:color="auto" w:fill="auto"/>
        </w:rPr>
        <w:t>%；上缴上级支出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%；经营支出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%；对附属单位补助支出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四、财政拨款收入支出决算总体情况说明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年度财政拨款收、支总计均为</w:t>
      </w:r>
      <w:r>
        <w:rPr>
          <w:rFonts w:hint="eastAsia" w:ascii="仿宋_GB2312" w:hAnsi="仿宋_GB2312" w:eastAsia="仿宋_GB2312" w:cs="仿宋_GB2312"/>
          <w:color w:val="000000"/>
          <w:sz w:val="32"/>
          <w:szCs w:val="32"/>
          <w:highlight w:val="none"/>
          <w:shd w:val="clear" w:color="auto" w:fill="auto"/>
          <w:lang w:val="en-US" w:eastAsia="zh-CN"/>
        </w:rPr>
        <w:t>5186.17</w:t>
      </w:r>
      <w:r>
        <w:rPr>
          <w:rFonts w:hint="eastAsia" w:ascii="仿宋_GB2312" w:hAnsi="仿宋_GB2312" w:eastAsia="仿宋_GB2312" w:cs="仿宋_GB2312"/>
          <w:color w:val="000000"/>
          <w:sz w:val="32"/>
          <w:szCs w:val="32"/>
          <w:highlight w:val="none"/>
          <w:shd w:val="clear" w:color="auto" w:fill="auto"/>
        </w:rPr>
        <w:t>万元。与上年度相比，财政拨款收、支总计各减少</w:t>
      </w:r>
      <w:r>
        <w:rPr>
          <w:rFonts w:hint="eastAsia" w:ascii="仿宋_GB2312" w:hAnsi="仿宋_GB2312" w:eastAsia="仿宋_GB2312" w:cs="仿宋_GB2312"/>
          <w:color w:val="000000"/>
          <w:sz w:val="32"/>
          <w:szCs w:val="32"/>
          <w:highlight w:val="none"/>
          <w:shd w:val="clear" w:color="auto" w:fill="auto"/>
          <w:lang w:val="en-US" w:eastAsia="zh-CN"/>
        </w:rPr>
        <w:t>762.39</w:t>
      </w:r>
      <w:r>
        <w:rPr>
          <w:rFonts w:hint="eastAsia" w:ascii="仿宋_GB2312" w:hAnsi="仿宋_GB2312" w:eastAsia="仿宋_GB2312" w:cs="仿宋_GB2312"/>
          <w:color w:val="000000"/>
          <w:sz w:val="32"/>
          <w:szCs w:val="32"/>
          <w:highlight w:val="none"/>
          <w:shd w:val="clear" w:color="auto" w:fill="auto"/>
        </w:rPr>
        <w:t>万元，下降</w:t>
      </w:r>
      <w:r>
        <w:rPr>
          <w:rFonts w:hint="eastAsia" w:ascii="仿宋_GB2312" w:hAnsi="仿宋_GB2312" w:eastAsia="仿宋_GB2312" w:cs="仿宋_GB2312"/>
          <w:color w:val="000000"/>
          <w:sz w:val="32"/>
          <w:szCs w:val="32"/>
          <w:highlight w:val="none"/>
          <w:shd w:val="clear" w:color="auto" w:fill="auto"/>
          <w:lang w:val="en-US" w:eastAsia="zh-CN"/>
        </w:rPr>
        <w:t>12.81</w:t>
      </w:r>
      <w:r>
        <w:rPr>
          <w:rFonts w:hint="eastAsia" w:ascii="仿宋_GB2312" w:hAnsi="仿宋_GB2312" w:eastAsia="仿宋_GB2312" w:cs="仿宋_GB2312"/>
          <w:color w:val="000000"/>
          <w:sz w:val="32"/>
          <w:szCs w:val="32"/>
          <w:highlight w:val="none"/>
          <w:shd w:val="clear" w:color="auto" w:fill="auto"/>
        </w:rPr>
        <w:t>%。主要原因是</w:t>
      </w:r>
      <w:r>
        <w:rPr>
          <w:rFonts w:hint="eastAsia" w:ascii="仿宋_GB2312" w:hAnsi="仿宋_GB2312" w:eastAsia="仿宋_GB2312" w:cs="仿宋_GB2312"/>
          <w:color w:val="000000"/>
          <w:sz w:val="32"/>
          <w:szCs w:val="32"/>
          <w:highlight w:val="none"/>
          <w:shd w:val="clear" w:color="auto" w:fill="auto"/>
          <w:lang w:eastAsia="zh-CN"/>
        </w:rPr>
        <w:t>压缩经费支出</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color w:val="000000"/>
          <w:sz w:val="32"/>
          <w:szCs w:val="32"/>
          <w:highlight w:val="none"/>
          <w:shd w:val="clear" w:color="auto" w:fill="auto"/>
        </w:rPr>
      </w:pPr>
      <w:r>
        <w:rPr>
          <w:rFonts w:hint="eastAsia" w:ascii="楷体_GB2312" w:hAnsi="楷体_GB2312" w:eastAsia="楷体_GB2312" w:cs="楷体_GB2312"/>
          <w:b/>
          <w:bCs/>
          <w:color w:val="000000"/>
          <w:sz w:val="32"/>
          <w:szCs w:val="32"/>
          <w:highlight w:val="none"/>
          <w:shd w:val="clear" w:color="auto" w:fill="auto"/>
        </w:rPr>
        <w:t>（一）总体情况。</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年度一般公共预算财政拨款支出</w:t>
      </w:r>
      <w:r>
        <w:rPr>
          <w:rFonts w:hint="eastAsia" w:ascii="仿宋_GB2312" w:hAnsi="仿宋_GB2312" w:eastAsia="仿宋_GB2312" w:cs="仿宋_GB2312"/>
          <w:color w:val="000000"/>
          <w:sz w:val="32"/>
          <w:szCs w:val="32"/>
          <w:highlight w:val="none"/>
          <w:shd w:val="clear" w:color="auto" w:fill="auto"/>
          <w:lang w:val="en-US" w:eastAsia="zh-CN"/>
        </w:rPr>
        <w:t>5186.16</w:t>
      </w:r>
      <w:r>
        <w:rPr>
          <w:rFonts w:hint="eastAsia" w:ascii="仿宋_GB2312" w:hAnsi="仿宋_GB2312" w:eastAsia="仿宋_GB2312" w:cs="仿宋_GB2312"/>
          <w:color w:val="000000"/>
          <w:sz w:val="32"/>
          <w:szCs w:val="32"/>
          <w:highlight w:val="none"/>
          <w:shd w:val="clear" w:color="auto" w:fill="auto"/>
        </w:rPr>
        <w:t>万元，占支出合计的</w:t>
      </w:r>
      <w:r>
        <w:rPr>
          <w:rFonts w:hint="eastAsia" w:ascii="仿宋_GB2312" w:hAnsi="仿宋_GB2312" w:eastAsia="仿宋_GB2312" w:cs="仿宋_GB2312"/>
          <w:color w:val="000000"/>
          <w:sz w:val="32"/>
          <w:szCs w:val="32"/>
          <w:highlight w:val="none"/>
          <w:shd w:val="clear" w:color="auto" w:fill="auto"/>
          <w:lang w:val="en-US" w:eastAsia="zh-CN"/>
        </w:rPr>
        <w:t>94.22</w:t>
      </w:r>
      <w:r>
        <w:rPr>
          <w:rFonts w:hint="eastAsia" w:ascii="仿宋_GB2312" w:hAnsi="仿宋_GB2312" w:eastAsia="仿宋_GB2312" w:cs="仿宋_GB2312"/>
          <w:color w:val="000000"/>
          <w:sz w:val="32"/>
          <w:szCs w:val="32"/>
          <w:highlight w:val="none"/>
          <w:shd w:val="clear" w:color="auto" w:fill="auto"/>
        </w:rPr>
        <w:t>%。与上年度相比，一般公共预算财政拨款支出增加</w:t>
      </w:r>
      <w:r>
        <w:rPr>
          <w:rFonts w:hint="eastAsia" w:ascii="仿宋_GB2312" w:hAnsi="仿宋_GB2312" w:eastAsia="仿宋_GB2312" w:cs="仿宋_GB2312"/>
          <w:color w:val="000000"/>
          <w:sz w:val="32"/>
          <w:szCs w:val="32"/>
          <w:highlight w:val="none"/>
          <w:shd w:val="clear" w:color="auto" w:fill="auto"/>
          <w:lang w:val="en-US" w:eastAsia="zh-CN"/>
        </w:rPr>
        <w:t>134.95</w:t>
      </w:r>
      <w:r>
        <w:rPr>
          <w:rFonts w:hint="eastAsia" w:ascii="仿宋_GB2312" w:hAnsi="仿宋_GB2312" w:eastAsia="仿宋_GB2312" w:cs="仿宋_GB2312"/>
          <w:color w:val="000000"/>
          <w:sz w:val="32"/>
          <w:szCs w:val="32"/>
          <w:highlight w:val="none"/>
          <w:shd w:val="clear" w:color="auto" w:fill="auto"/>
        </w:rPr>
        <w:t>万元，增长</w:t>
      </w:r>
      <w:r>
        <w:rPr>
          <w:rFonts w:hint="eastAsia" w:ascii="仿宋_GB2312" w:hAnsi="仿宋_GB2312" w:eastAsia="仿宋_GB2312" w:cs="仿宋_GB2312"/>
          <w:color w:val="000000"/>
          <w:sz w:val="32"/>
          <w:szCs w:val="32"/>
          <w:highlight w:val="none"/>
          <w:shd w:val="clear" w:color="auto" w:fill="auto"/>
          <w:lang w:val="en-US" w:eastAsia="zh-CN"/>
        </w:rPr>
        <w:t>2.67</w:t>
      </w:r>
      <w:r>
        <w:rPr>
          <w:rFonts w:hint="eastAsia" w:ascii="仿宋_GB2312" w:hAnsi="仿宋_GB2312" w:eastAsia="仿宋_GB2312" w:cs="仿宋_GB2312"/>
          <w:color w:val="000000"/>
          <w:sz w:val="32"/>
          <w:szCs w:val="32"/>
          <w:highlight w:val="none"/>
          <w:shd w:val="clear" w:color="auto" w:fill="auto"/>
        </w:rPr>
        <w:t>%。主要原因是</w:t>
      </w:r>
      <w:r>
        <w:rPr>
          <w:rFonts w:hint="eastAsia" w:ascii="仿宋_GB2312" w:hAnsi="仿宋_GB2312" w:eastAsia="仿宋_GB2312" w:cs="仿宋_GB2312"/>
          <w:color w:val="000000"/>
          <w:sz w:val="32"/>
          <w:szCs w:val="32"/>
          <w:highlight w:val="none"/>
          <w:shd w:val="clear" w:color="auto" w:fill="auto"/>
          <w:lang w:eastAsia="zh-CN"/>
        </w:rPr>
        <w:t>人员增加，社会保障缴费增多，教育教学的投入加大</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2" w:firstLineChars="200"/>
        <w:rPr>
          <w:rFonts w:hint="eastAsia" w:ascii="楷体_GB2312" w:hAnsi="楷体_GB2312" w:eastAsia="楷体_GB2312" w:cs="楷体_GB2312"/>
          <w:b/>
          <w:bCs/>
          <w:color w:val="000000"/>
          <w:sz w:val="32"/>
          <w:szCs w:val="32"/>
          <w:highlight w:val="none"/>
          <w:shd w:val="clear" w:color="auto" w:fill="auto"/>
        </w:rPr>
      </w:pPr>
      <w:r>
        <w:rPr>
          <w:rFonts w:hint="eastAsia" w:ascii="楷体_GB2312" w:hAnsi="楷体_GB2312" w:eastAsia="楷体_GB2312" w:cs="楷体_GB2312"/>
          <w:b/>
          <w:bCs/>
          <w:color w:val="000000"/>
          <w:sz w:val="32"/>
          <w:szCs w:val="32"/>
          <w:highlight w:val="none"/>
          <w:shd w:val="clear" w:color="auto" w:fill="auto"/>
        </w:rPr>
        <w:t>（二）结构情况。</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年度一般公共预算财政拨款支出</w:t>
      </w:r>
      <w:r>
        <w:rPr>
          <w:rFonts w:hint="eastAsia" w:ascii="仿宋_GB2312" w:hAnsi="仿宋_GB2312" w:eastAsia="仿宋_GB2312" w:cs="仿宋_GB2312"/>
          <w:color w:val="000000"/>
          <w:sz w:val="32"/>
          <w:szCs w:val="32"/>
          <w:highlight w:val="none"/>
          <w:shd w:val="clear" w:color="auto" w:fill="auto"/>
          <w:lang w:val="en-US" w:eastAsia="zh-CN"/>
        </w:rPr>
        <w:t>5186.16</w:t>
      </w:r>
      <w:r>
        <w:rPr>
          <w:rFonts w:hint="eastAsia" w:ascii="仿宋_GB2312" w:hAnsi="仿宋_GB2312" w:eastAsia="仿宋_GB2312" w:cs="仿宋_GB2312"/>
          <w:color w:val="000000"/>
          <w:sz w:val="32"/>
          <w:szCs w:val="32"/>
          <w:highlight w:val="none"/>
          <w:shd w:val="clear" w:color="auto" w:fill="auto"/>
        </w:rPr>
        <w:t>万元，主要用于以下方面：一般公共服务（类）支出</w:t>
      </w:r>
      <w:r>
        <w:rPr>
          <w:rFonts w:hint="eastAsia" w:ascii="仿宋_GB2312" w:hAnsi="仿宋_GB2312" w:eastAsia="仿宋_GB2312" w:cs="仿宋_GB2312"/>
          <w:color w:val="000000"/>
          <w:sz w:val="32"/>
          <w:szCs w:val="32"/>
          <w:highlight w:val="none"/>
          <w:shd w:val="clear" w:color="auto" w:fill="auto"/>
          <w:lang w:val="en-US" w:eastAsia="zh-CN"/>
        </w:rPr>
        <w:t>22.63</w:t>
      </w:r>
      <w:r>
        <w:rPr>
          <w:rFonts w:hint="eastAsia" w:ascii="仿宋_GB2312" w:hAnsi="仿宋_GB2312" w:eastAsia="仿宋_GB2312" w:cs="仿宋_GB2312"/>
          <w:color w:val="000000"/>
          <w:sz w:val="32"/>
          <w:szCs w:val="32"/>
          <w:highlight w:val="none"/>
          <w:shd w:val="clear" w:color="auto" w:fill="auto"/>
        </w:rPr>
        <w:t>万元，占</w:t>
      </w:r>
      <w:r>
        <w:rPr>
          <w:rFonts w:hint="eastAsia" w:ascii="仿宋_GB2312" w:hAnsi="仿宋_GB2312" w:eastAsia="仿宋_GB2312" w:cs="仿宋_GB2312"/>
          <w:color w:val="000000"/>
          <w:sz w:val="32"/>
          <w:szCs w:val="32"/>
          <w:highlight w:val="none"/>
          <w:shd w:val="clear" w:color="auto" w:fill="auto"/>
          <w:lang w:val="en-US" w:eastAsia="zh-CN"/>
        </w:rPr>
        <w:t>0.44</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val="zh-CN"/>
        </w:rPr>
        <w:t>教育（类）支出</w:t>
      </w:r>
      <w:r>
        <w:rPr>
          <w:rFonts w:hint="eastAsia" w:ascii="仿宋_GB2312" w:hAnsi="仿宋_GB2312" w:eastAsia="仿宋_GB2312" w:cs="仿宋_GB2312"/>
          <w:color w:val="000000"/>
          <w:sz w:val="32"/>
          <w:szCs w:val="32"/>
          <w:highlight w:val="none"/>
          <w:shd w:val="clear" w:color="auto" w:fill="auto"/>
          <w:lang w:val="en-US" w:eastAsia="zh-CN"/>
        </w:rPr>
        <w:t>4422.69</w:t>
      </w:r>
      <w:r>
        <w:rPr>
          <w:rFonts w:hint="eastAsia" w:ascii="仿宋_GB2312" w:hAnsi="仿宋_GB2312" w:eastAsia="仿宋_GB2312" w:cs="仿宋_GB2312"/>
          <w:color w:val="000000"/>
          <w:sz w:val="32"/>
          <w:szCs w:val="32"/>
          <w:highlight w:val="none"/>
          <w:shd w:val="clear" w:color="auto" w:fill="auto"/>
          <w:lang w:val="zh-CN"/>
        </w:rPr>
        <w:t>万元，占</w:t>
      </w:r>
      <w:r>
        <w:rPr>
          <w:rFonts w:hint="eastAsia" w:ascii="仿宋_GB2312" w:hAnsi="仿宋_GB2312" w:eastAsia="仿宋_GB2312" w:cs="仿宋_GB2312"/>
          <w:color w:val="000000"/>
          <w:sz w:val="32"/>
          <w:szCs w:val="32"/>
          <w:highlight w:val="none"/>
          <w:shd w:val="clear" w:color="auto" w:fill="auto"/>
          <w:lang w:val="en-US" w:eastAsia="zh-CN"/>
        </w:rPr>
        <w:t>85.28</w:t>
      </w:r>
      <w:r>
        <w:rPr>
          <w:rFonts w:hint="eastAsia" w:ascii="仿宋_GB2312" w:hAnsi="仿宋_GB2312" w:eastAsia="仿宋_GB2312" w:cs="仿宋_GB2312"/>
          <w:color w:val="000000"/>
          <w:sz w:val="32"/>
          <w:szCs w:val="32"/>
          <w:highlight w:val="none"/>
          <w:shd w:val="clear" w:color="auto" w:fill="auto"/>
          <w:lang w:val="zh-CN"/>
        </w:rPr>
        <w:t>%；社会保障和就业支出（类）支出</w:t>
      </w:r>
      <w:r>
        <w:rPr>
          <w:rFonts w:hint="eastAsia" w:ascii="仿宋_GB2312" w:hAnsi="仿宋_GB2312" w:eastAsia="仿宋_GB2312" w:cs="仿宋_GB2312"/>
          <w:color w:val="000000"/>
          <w:sz w:val="32"/>
          <w:szCs w:val="32"/>
          <w:highlight w:val="none"/>
          <w:shd w:val="clear" w:color="auto" w:fill="auto"/>
          <w:lang w:val="en-US" w:eastAsia="zh-CN"/>
        </w:rPr>
        <w:t>618.03</w:t>
      </w:r>
      <w:r>
        <w:rPr>
          <w:rFonts w:hint="eastAsia" w:ascii="仿宋_GB2312" w:hAnsi="仿宋_GB2312" w:eastAsia="仿宋_GB2312" w:cs="仿宋_GB2312"/>
          <w:color w:val="000000"/>
          <w:sz w:val="32"/>
          <w:szCs w:val="32"/>
          <w:highlight w:val="none"/>
          <w:shd w:val="clear" w:color="auto" w:fill="auto"/>
          <w:lang w:val="zh-CN"/>
        </w:rPr>
        <w:t>万元，占</w:t>
      </w:r>
      <w:r>
        <w:rPr>
          <w:rFonts w:hint="eastAsia" w:ascii="仿宋_GB2312" w:hAnsi="仿宋_GB2312" w:eastAsia="仿宋_GB2312" w:cs="仿宋_GB2312"/>
          <w:color w:val="000000"/>
          <w:sz w:val="32"/>
          <w:szCs w:val="32"/>
          <w:highlight w:val="none"/>
          <w:shd w:val="clear" w:color="auto" w:fill="auto"/>
          <w:lang w:val="en-US" w:eastAsia="zh-CN"/>
        </w:rPr>
        <w:t>11.92</w:t>
      </w:r>
      <w:r>
        <w:rPr>
          <w:rFonts w:hint="eastAsia" w:ascii="仿宋_GB2312" w:hAnsi="仿宋_GB2312" w:eastAsia="仿宋_GB2312" w:cs="仿宋_GB2312"/>
          <w:color w:val="000000"/>
          <w:sz w:val="32"/>
          <w:szCs w:val="32"/>
          <w:highlight w:val="none"/>
          <w:shd w:val="clear" w:color="auto" w:fill="auto"/>
          <w:lang w:val="zh-CN"/>
        </w:rPr>
        <w:t>%；卫生健康（类）支出</w:t>
      </w:r>
      <w:r>
        <w:rPr>
          <w:rFonts w:hint="eastAsia" w:ascii="仿宋_GB2312" w:hAnsi="仿宋_GB2312" w:eastAsia="仿宋_GB2312" w:cs="仿宋_GB2312"/>
          <w:color w:val="000000"/>
          <w:sz w:val="32"/>
          <w:szCs w:val="32"/>
          <w:highlight w:val="none"/>
          <w:shd w:val="clear" w:color="auto" w:fill="auto"/>
          <w:lang w:val="en-US" w:eastAsia="zh-CN"/>
        </w:rPr>
        <w:t>122.81</w:t>
      </w:r>
      <w:r>
        <w:rPr>
          <w:rFonts w:hint="eastAsia" w:ascii="仿宋_GB2312" w:hAnsi="仿宋_GB2312" w:eastAsia="仿宋_GB2312" w:cs="仿宋_GB2312"/>
          <w:color w:val="000000"/>
          <w:sz w:val="32"/>
          <w:szCs w:val="32"/>
          <w:highlight w:val="none"/>
          <w:shd w:val="clear" w:color="auto" w:fill="auto"/>
          <w:lang w:val="zh-CN"/>
        </w:rPr>
        <w:t>万元，占</w:t>
      </w:r>
      <w:r>
        <w:rPr>
          <w:rFonts w:hint="eastAsia" w:ascii="仿宋_GB2312" w:hAnsi="仿宋_GB2312" w:eastAsia="仿宋_GB2312" w:cs="仿宋_GB2312"/>
          <w:color w:val="000000"/>
          <w:sz w:val="32"/>
          <w:szCs w:val="32"/>
          <w:highlight w:val="none"/>
          <w:shd w:val="clear" w:color="auto" w:fill="auto"/>
          <w:lang w:val="en-US" w:eastAsia="zh-CN"/>
        </w:rPr>
        <w:t>2.36</w:t>
      </w:r>
      <w:r>
        <w:rPr>
          <w:rFonts w:hint="eastAsia" w:ascii="仿宋_GB2312" w:hAnsi="仿宋_GB2312" w:eastAsia="仿宋_GB2312" w:cs="仿宋_GB2312"/>
          <w:color w:val="000000"/>
          <w:sz w:val="32"/>
          <w:szCs w:val="32"/>
          <w:highlight w:val="none"/>
          <w:shd w:val="clear" w:color="auto" w:fill="auto"/>
          <w:lang w:val="zh-CN"/>
        </w:rPr>
        <w:t>%</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2" w:firstLineChars="200"/>
        <w:rPr>
          <w:rFonts w:hint="eastAsia" w:ascii="楷体_GB2312" w:hAnsi="楷体_GB2312" w:eastAsia="楷体_GB2312" w:cs="楷体_GB2312"/>
          <w:b/>
          <w:bCs/>
          <w:color w:val="000000"/>
          <w:sz w:val="32"/>
          <w:szCs w:val="32"/>
          <w:highlight w:val="none"/>
          <w:shd w:val="clear" w:color="auto" w:fill="auto"/>
        </w:rPr>
      </w:pPr>
      <w:r>
        <w:rPr>
          <w:rFonts w:hint="eastAsia" w:ascii="楷体_GB2312" w:hAnsi="楷体_GB2312" w:eastAsia="楷体_GB2312" w:cs="楷体_GB2312"/>
          <w:b/>
          <w:bCs/>
          <w:color w:val="000000"/>
          <w:sz w:val="32"/>
          <w:szCs w:val="32"/>
          <w:highlight w:val="none"/>
          <w:shd w:val="clear" w:color="auto" w:fill="auto"/>
        </w:rPr>
        <w:t>（三）具体情况。</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年度一般公共预算财政拨款支出</w:t>
      </w:r>
      <w:r>
        <w:rPr>
          <w:rFonts w:hint="eastAsia" w:ascii="仿宋_GB2312" w:hAnsi="仿宋_GB2312" w:eastAsia="仿宋_GB2312" w:cs="仿宋_GB2312"/>
          <w:color w:val="000000"/>
          <w:sz w:val="32"/>
          <w:szCs w:val="32"/>
          <w:highlight w:val="none"/>
          <w:shd w:val="clear" w:color="auto" w:fill="auto"/>
          <w:lang w:eastAsia="zh-CN"/>
        </w:rPr>
        <w:t>年初</w:t>
      </w:r>
      <w:r>
        <w:rPr>
          <w:rFonts w:hint="eastAsia" w:ascii="仿宋_GB2312" w:hAnsi="仿宋_GB2312" w:eastAsia="仿宋_GB2312" w:cs="仿宋_GB2312"/>
          <w:color w:val="000000"/>
          <w:sz w:val="32"/>
          <w:szCs w:val="32"/>
          <w:highlight w:val="none"/>
          <w:shd w:val="clear" w:color="auto" w:fill="auto"/>
        </w:rPr>
        <w:t>预算为</w:t>
      </w:r>
      <w:r>
        <w:rPr>
          <w:rFonts w:hint="eastAsia" w:ascii="仿宋_GB2312" w:hAnsi="仿宋_GB2312" w:eastAsia="仿宋_GB2312" w:cs="仿宋_GB2312"/>
          <w:color w:val="000000"/>
          <w:sz w:val="32"/>
          <w:szCs w:val="32"/>
          <w:highlight w:val="none"/>
          <w:shd w:val="clear" w:color="auto" w:fill="auto"/>
          <w:lang w:val="en-US" w:eastAsia="zh-CN"/>
        </w:rPr>
        <w:t>4229.4</w:t>
      </w:r>
      <w:r>
        <w:rPr>
          <w:rFonts w:hint="eastAsia" w:ascii="仿宋_GB2312" w:hAnsi="仿宋_GB2312" w:eastAsia="仿宋_GB2312" w:cs="仿宋_GB2312"/>
          <w:color w:val="000000"/>
          <w:sz w:val="32"/>
          <w:szCs w:val="32"/>
          <w:highlight w:val="none"/>
          <w:shd w:val="clear" w:color="auto" w:fill="auto"/>
        </w:rPr>
        <w:t>万元，支出决算为</w:t>
      </w:r>
      <w:r>
        <w:rPr>
          <w:rFonts w:hint="eastAsia" w:ascii="仿宋_GB2312" w:hAnsi="仿宋_GB2312" w:eastAsia="仿宋_GB2312" w:cs="仿宋_GB2312"/>
          <w:color w:val="000000"/>
          <w:sz w:val="32"/>
          <w:szCs w:val="32"/>
          <w:highlight w:val="none"/>
          <w:shd w:val="clear" w:color="auto" w:fill="auto"/>
          <w:lang w:val="en-US" w:eastAsia="zh-CN"/>
        </w:rPr>
        <w:t>5186.16</w:t>
      </w:r>
      <w:r>
        <w:rPr>
          <w:rFonts w:hint="eastAsia" w:ascii="仿宋_GB2312" w:hAnsi="仿宋_GB2312" w:eastAsia="仿宋_GB2312" w:cs="仿宋_GB2312"/>
          <w:color w:val="000000"/>
          <w:sz w:val="32"/>
          <w:szCs w:val="32"/>
          <w:highlight w:val="none"/>
          <w:shd w:val="clear" w:color="auto" w:fill="auto"/>
        </w:rPr>
        <w:t>万元，完成</w:t>
      </w:r>
      <w:r>
        <w:rPr>
          <w:rFonts w:hint="eastAsia" w:ascii="仿宋_GB2312" w:hAnsi="仿宋_GB2312" w:eastAsia="仿宋_GB2312" w:cs="仿宋_GB2312"/>
          <w:color w:val="000000"/>
          <w:sz w:val="32"/>
          <w:szCs w:val="32"/>
          <w:highlight w:val="none"/>
          <w:shd w:val="clear" w:color="auto" w:fill="auto"/>
          <w:lang w:eastAsia="zh-CN"/>
        </w:rPr>
        <w:t>年初</w:t>
      </w:r>
      <w:r>
        <w:rPr>
          <w:rFonts w:hint="eastAsia" w:ascii="仿宋_GB2312" w:hAnsi="仿宋_GB2312" w:eastAsia="仿宋_GB2312" w:cs="仿宋_GB2312"/>
          <w:color w:val="000000"/>
          <w:sz w:val="32"/>
          <w:szCs w:val="32"/>
          <w:highlight w:val="none"/>
          <w:shd w:val="clear" w:color="auto" w:fill="auto"/>
        </w:rPr>
        <w:t>预算的</w:t>
      </w:r>
      <w:r>
        <w:rPr>
          <w:rFonts w:hint="eastAsia" w:ascii="仿宋_GB2312" w:hAnsi="仿宋_GB2312" w:eastAsia="仿宋_GB2312" w:cs="仿宋_GB2312"/>
          <w:color w:val="000000"/>
          <w:sz w:val="32"/>
          <w:szCs w:val="32"/>
          <w:highlight w:val="none"/>
          <w:shd w:val="clear" w:color="auto" w:fill="auto"/>
          <w:lang w:val="en-US" w:eastAsia="zh-CN"/>
        </w:rPr>
        <w:t>122.62</w:t>
      </w:r>
      <w:r>
        <w:rPr>
          <w:rFonts w:hint="eastAsia" w:ascii="仿宋_GB2312" w:hAnsi="仿宋_GB2312" w:eastAsia="仿宋_GB2312" w:cs="仿宋_GB2312"/>
          <w:color w:val="000000"/>
          <w:sz w:val="32"/>
          <w:szCs w:val="32"/>
          <w:highlight w:val="none"/>
          <w:shd w:val="clear" w:color="auto" w:fill="auto"/>
        </w:rPr>
        <w:t>%。其中：</w:t>
      </w:r>
    </w:p>
    <w:p>
      <w:pPr>
        <w:pStyle w:val="2"/>
        <w:ind w:firstLine="642" w:firstLineChars="200"/>
        <w:rPr>
          <w:rFonts w:hint="eastAsia"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b/>
          <w:bCs/>
          <w:color w:val="000000"/>
          <w:sz w:val="32"/>
          <w:szCs w:val="32"/>
          <w:highlight w:val="none"/>
          <w:shd w:val="clear" w:color="auto" w:fill="auto"/>
          <w:lang w:val="en-US" w:eastAsia="zh-CN"/>
        </w:rPr>
        <w:t>1．</w:t>
      </w:r>
      <w:r>
        <w:rPr>
          <w:rFonts w:hint="eastAsia" w:ascii="仿宋_GB2312" w:hAnsi="仿宋_GB2312" w:eastAsia="仿宋_GB2312" w:cs="仿宋_GB2312"/>
          <w:b/>
          <w:bCs/>
          <w:color w:val="000000"/>
          <w:sz w:val="32"/>
          <w:szCs w:val="32"/>
          <w:highlight w:val="none"/>
          <w:shd w:val="clear" w:color="auto" w:fill="auto"/>
          <w:lang w:val="zh-CN"/>
        </w:rPr>
        <w:t>一般公共服务（类）群众团体事务（款）工会事务（项）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年初预算为22.63万元，支出决算为22.63万元，完成年初预算的100.00%。决算数与年初预算数无差异。</w:t>
      </w:r>
    </w:p>
    <w:p>
      <w:pPr>
        <w:spacing w:beforeLines="0" w:afterLines="0"/>
        <w:ind w:firstLine="642" w:firstLineChars="200"/>
        <w:jc w:val="left"/>
        <w:rPr>
          <w:rFonts w:hint="eastAsia" w:ascii="仿宋_GB2312" w:hAnsi="仿宋_GB2312" w:eastAsia="仿宋_GB2312" w:cs="仿宋_GB2312"/>
          <w:color w:val="000000"/>
          <w:sz w:val="32"/>
          <w:szCs w:val="32"/>
          <w:highlight w:val="none"/>
          <w:shd w:val="clear" w:color="auto" w:fill="auto"/>
          <w:lang w:val="zh-CN"/>
        </w:rPr>
      </w:pPr>
      <w:r>
        <w:rPr>
          <w:rFonts w:hint="eastAsia" w:ascii="仿宋_GB2312" w:hAnsi="仿宋_GB2312" w:eastAsia="仿宋_GB2312" w:cs="仿宋_GB2312"/>
          <w:b/>
          <w:bCs/>
          <w:color w:val="000000"/>
          <w:sz w:val="32"/>
          <w:szCs w:val="32"/>
          <w:highlight w:val="none"/>
          <w:shd w:val="clear" w:color="auto" w:fill="auto"/>
          <w:lang w:val="en-US" w:eastAsia="zh-CN"/>
        </w:rPr>
        <w:t>2．</w:t>
      </w:r>
      <w:r>
        <w:rPr>
          <w:rFonts w:hint="eastAsia" w:ascii="仿宋_GB2312" w:hAnsi="仿宋_GB2312" w:eastAsia="仿宋_GB2312" w:cs="仿宋_GB2312"/>
          <w:b/>
          <w:bCs/>
          <w:color w:val="000000"/>
          <w:sz w:val="32"/>
          <w:szCs w:val="32"/>
          <w:highlight w:val="none"/>
          <w:shd w:val="clear" w:color="auto" w:fill="auto"/>
          <w:lang w:val="zh-CN"/>
        </w:rPr>
        <w:t>教育支出（类）普通教育（款）小学教育（项）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年初预算为0.00万元，支出决算为5万元。决算数与年初预算数存在差异的</w:t>
      </w:r>
      <w:r>
        <w:rPr>
          <w:rFonts w:hint="eastAsia" w:ascii="仿宋_GB2312" w:hAnsi="仿宋_GB2312" w:eastAsia="仿宋_GB2312" w:cs="仿宋_GB2312"/>
          <w:color w:val="000000"/>
          <w:sz w:val="32"/>
          <w:szCs w:val="32"/>
          <w:highlight w:val="none"/>
          <w:shd w:val="clear" w:color="auto" w:fill="auto"/>
          <w:lang w:val="zh-CN"/>
        </w:rPr>
        <w:t>主要原因是年初预算未安排。</w:t>
      </w:r>
    </w:p>
    <w:p>
      <w:pPr>
        <w:spacing w:beforeLines="0" w:afterLines="0"/>
        <w:ind w:firstLine="642" w:firstLineChars="200"/>
        <w:jc w:val="left"/>
        <w:rPr>
          <w:rFonts w:hint="eastAsia" w:ascii="仿宋_GB2312" w:hAnsi="仿宋_GB2312" w:eastAsia="仿宋_GB2312" w:cs="仿宋_GB2312"/>
          <w:color w:val="000000"/>
          <w:sz w:val="32"/>
          <w:szCs w:val="32"/>
          <w:highlight w:val="none"/>
          <w:shd w:val="clear" w:color="auto" w:fill="auto"/>
          <w:lang w:val="zh-CN"/>
        </w:rPr>
      </w:pPr>
      <w:r>
        <w:rPr>
          <w:rFonts w:hint="eastAsia" w:ascii="仿宋_GB2312" w:hAnsi="仿宋_GB2312" w:eastAsia="仿宋_GB2312" w:cs="仿宋_GB2312"/>
          <w:b/>
          <w:bCs/>
          <w:color w:val="000000"/>
          <w:sz w:val="32"/>
          <w:szCs w:val="32"/>
          <w:highlight w:val="none"/>
          <w:shd w:val="clear" w:color="auto" w:fill="auto"/>
          <w:lang w:val="en-US" w:eastAsia="zh-CN"/>
        </w:rPr>
        <w:t>3．</w:t>
      </w:r>
      <w:r>
        <w:rPr>
          <w:rFonts w:hint="eastAsia" w:ascii="仿宋_GB2312" w:hAnsi="仿宋_GB2312" w:eastAsia="仿宋_GB2312" w:cs="仿宋_GB2312"/>
          <w:b/>
          <w:bCs/>
          <w:color w:val="000000"/>
          <w:sz w:val="32"/>
          <w:szCs w:val="32"/>
          <w:highlight w:val="none"/>
          <w:shd w:val="clear" w:color="auto" w:fill="auto"/>
          <w:lang w:val="zh-CN"/>
        </w:rPr>
        <w:t>教育支出（类）普通教育（款）初中教育（项）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年初预算为3490.03万元，支出决算为3769.74万元，完成年初预算的108.01%。决算数与年初预算数存在差异的</w:t>
      </w:r>
      <w:r>
        <w:rPr>
          <w:rFonts w:hint="eastAsia" w:ascii="仿宋_GB2312" w:hAnsi="仿宋_GB2312" w:eastAsia="仿宋_GB2312" w:cs="仿宋_GB2312"/>
          <w:color w:val="000000"/>
          <w:sz w:val="32"/>
          <w:szCs w:val="32"/>
          <w:highlight w:val="none"/>
          <w:shd w:val="clear" w:color="auto" w:fill="auto"/>
          <w:lang w:val="zh-CN"/>
        </w:rPr>
        <w:t>主要原因是</w:t>
      </w:r>
      <w:r>
        <w:rPr>
          <w:rFonts w:hint="eastAsia" w:ascii="仿宋_GB2312" w:hAnsi="仿宋_GB2312" w:eastAsia="仿宋_GB2312" w:cs="仿宋_GB2312"/>
          <w:b w:val="0"/>
          <w:bCs w:val="0"/>
          <w:color w:val="000000"/>
          <w:sz w:val="32"/>
          <w:szCs w:val="32"/>
          <w:highlight w:val="none"/>
          <w:shd w:val="clear" w:color="auto" w:fill="auto"/>
          <w:lang w:val="zh-CN"/>
        </w:rPr>
        <w:t>教师人数增加，日常维护维护较往年增多</w:t>
      </w:r>
      <w:r>
        <w:rPr>
          <w:rFonts w:hint="eastAsia" w:ascii="仿宋_GB2312" w:hAnsi="仿宋_GB2312" w:eastAsia="仿宋_GB2312" w:cs="仿宋_GB2312"/>
          <w:color w:val="000000"/>
          <w:sz w:val="32"/>
          <w:szCs w:val="32"/>
          <w:highlight w:val="none"/>
          <w:shd w:val="clear" w:color="auto" w:fill="auto"/>
          <w:lang w:val="zh-CN"/>
        </w:rPr>
        <w:t>。</w:t>
      </w:r>
    </w:p>
    <w:p>
      <w:pPr>
        <w:spacing w:beforeLines="0" w:afterLines="0"/>
        <w:ind w:firstLine="642" w:firstLineChars="200"/>
        <w:jc w:val="left"/>
        <w:rPr>
          <w:rFonts w:hint="eastAsia" w:ascii="仿宋_GB2312" w:hAnsi="仿宋_GB2312" w:eastAsia="仿宋_GB2312" w:cs="仿宋_GB2312"/>
          <w:b w:val="0"/>
          <w:bCs w:val="0"/>
          <w:color w:val="000000"/>
          <w:sz w:val="32"/>
          <w:szCs w:val="32"/>
          <w:highlight w:val="none"/>
          <w:shd w:val="clear" w:color="auto" w:fill="auto"/>
          <w:lang w:val="zh-CN"/>
        </w:rPr>
      </w:pPr>
      <w:r>
        <w:rPr>
          <w:rFonts w:hint="eastAsia" w:ascii="仿宋_GB2312" w:hAnsi="仿宋_GB2312" w:eastAsia="仿宋_GB2312" w:cs="仿宋_GB2312"/>
          <w:b/>
          <w:bCs/>
          <w:color w:val="000000"/>
          <w:sz w:val="32"/>
          <w:szCs w:val="32"/>
          <w:highlight w:val="none"/>
          <w:shd w:val="clear" w:color="auto" w:fill="auto"/>
          <w:lang w:val="en-US" w:eastAsia="zh-CN"/>
        </w:rPr>
        <w:t>4．</w:t>
      </w:r>
      <w:r>
        <w:rPr>
          <w:rFonts w:hint="eastAsia" w:ascii="仿宋_GB2312" w:hAnsi="仿宋_GB2312" w:eastAsia="仿宋_GB2312" w:cs="仿宋_GB2312"/>
          <w:b/>
          <w:bCs/>
          <w:color w:val="000000"/>
          <w:sz w:val="32"/>
          <w:szCs w:val="32"/>
          <w:highlight w:val="none"/>
          <w:shd w:val="clear" w:color="auto" w:fill="auto"/>
          <w:lang w:val="zh-CN"/>
        </w:rPr>
        <w:t>教育支出（类）普通教育（款）高中教育（项）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年初预算为0万元，支出决算为1.87万元。决算数与年初预算数存在差异的</w:t>
      </w:r>
      <w:r>
        <w:rPr>
          <w:rFonts w:hint="eastAsia" w:ascii="仿宋_GB2312" w:hAnsi="仿宋_GB2312" w:eastAsia="仿宋_GB2312" w:cs="仿宋_GB2312"/>
          <w:color w:val="000000"/>
          <w:sz w:val="32"/>
          <w:szCs w:val="32"/>
          <w:highlight w:val="none"/>
          <w:shd w:val="clear" w:color="auto" w:fill="auto"/>
          <w:lang w:val="zh-CN"/>
        </w:rPr>
        <w:t>主要原因是</w:t>
      </w:r>
      <w:r>
        <w:rPr>
          <w:rFonts w:hint="eastAsia" w:ascii="仿宋_GB2312" w:hAnsi="仿宋_GB2312" w:eastAsia="仿宋_GB2312" w:cs="仿宋_GB2312"/>
          <w:b w:val="0"/>
          <w:bCs w:val="0"/>
          <w:color w:val="000000"/>
          <w:sz w:val="32"/>
          <w:szCs w:val="32"/>
          <w:highlight w:val="none"/>
          <w:shd w:val="clear" w:color="auto" w:fill="auto"/>
          <w:lang w:val="zh-CN"/>
        </w:rPr>
        <w:t>年初预算未安排。</w:t>
      </w:r>
    </w:p>
    <w:p>
      <w:pPr>
        <w:spacing w:beforeLines="0" w:afterLines="0"/>
        <w:ind w:firstLine="640" w:firstLineChars="200"/>
        <w:jc w:val="left"/>
        <w:rPr>
          <w:rFonts w:hint="eastAsia" w:ascii="仿宋_GB2312" w:hAnsi="仿宋_GB2312" w:eastAsia="仿宋_GB2312" w:cs="仿宋_GB2312"/>
          <w:b w:val="0"/>
          <w:bCs w:val="0"/>
          <w:color w:val="000000"/>
          <w:sz w:val="32"/>
          <w:szCs w:val="32"/>
          <w:highlight w:val="none"/>
          <w:shd w:val="clear" w:color="auto" w:fill="auto"/>
          <w:lang w:val="en-US" w:eastAsia="zh-CN"/>
        </w:rPr>
      </w:pPr>
      <w:r>
        <w:rPr>
          <w:rFonts w:hint="eastAsia" w:ascii="黑体" w:hAnsi="黑体" w:eastAsia="黑体" w:cs="黑体"/>
          <w:color w:val="000000"/>
          <w:sz w:val="32"/>
          <w:szCs w:val="32"/>
          <w:highlight w:val="none"/>
          <w:shd w:val="clear" w:color="auto" w:fill="auto"/>
          <w:lang w:val="en-US" w:eastAsia="zh-CN"/>
        </w:rPr>
        <w:t>5.</w:t>
      </w:r>
      <w:r>
        <w:rPr>
          <w:rFonts w:hint="eastAsia" w:ascii="仿宋_GB2312" w:hAnsi="仿宋_GB2312" w:eastAsia="仿宋_GB2312" w:cs="仿宋_GB2312"/>
          <w:b/>
          <w:bCs/>
          <w:color w:val="000000"/>
          <w:sz w:val="32"/>
          <w:szCs w:val="32"/>
          <w:highlight w:val="none"/>
          <w:shd w:val="clear" w:color="auto" w:fill="auto"/>
          <w:lang w:val="zh-CN"/>
        </w:rPr>
        <w:t>教育支出（类）普通教育（款）高等教育支出（项）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年初预算为0.00万元，支出决算为0.18万元。决算数与年初预算数存在差异的</w:t>
      </w:r>
      <w:r>
        <w:rPr>
          <w:rFonts w:hint="eastAsia" w:ascii="仿宋_GB2312" w:hAnsi="仿宋_GB2312" w:eastAsia="仿宋_GB2312" w:cs="仿宋_GB2312"/>
          <w:color w:val="000000"/>
          <w:sz w:val="32"/>
          <w:szCs w:val="32"/>
          <w:highlight w:val="none"/>
          <w:shd w:val="clear" w:color="auto" w:fill="auto"/>
          <w:lang w:val="zh-CN"/>
        </w:rPr>
        <w:t>主要原因是</w:t>
      </w:r>
      <w:r>
        <w:rPr>
          <w:rFonts w:hint="eastAsia" w:ascii="仿宋_GB2312" w:hAnsi="仿宋_GB2312" w:eastAsia="仿宋_GB2312" w:cs="仿宋_GB2312"/>
          <w:b w:val="0"/>
          <w:bCs w:val="0"/>
          <w:color w:val="000000"/>
          <w:sz w:val="32"/>
          <w:szCs w:val="32"/>
          <w:highlight w:val="none"/>
          <w:shd w:val="clear" w:color="auto" w:fill="auto"/>
          <w:lang w:val="zh-CN"/>
        </w:rPr>
        <w:t>年初预算未安排</w:t>
      </w:r>
      <w:r>
        <w:rPr>
          <w:rFonts w:hint="eastAsia" w:ascii="仿宋_GB2312" w:hAnsi="仿宋_GB2312" w:eastAsia="仿宋_GB2312" w:cs="仿宋_GB2312"/>
          <w:color w:val="000000"/>
          <w:sz w:val="32"/>
          <w:szCs w:val="32"/>
          <w:highlight w:val="none"/>
          <w:shd w:val="clear" w:color="auto" w:fill="auto"/>
          <w:lang w:val="en-US" w:eastAsia="zh-CN"/>
        </w:rPr>
        <w:t>。</w:t>
      </w:r>
    </w:p>
    <w:p>
      <w:pPr>
        <w:spacing w:beforeLines="0" w:afterLines="0"/>
        <w:ind w:firstLine="640" w:firstLineChars="200"/>
        <w:jc w:val="left"/>
        <w:rPr>
          <w:rFonts w:hint="eastAsia" w:ascii="仿宋_GB2312" w:hAnsi="仿宋_GB2312" w:eastAsia="仿宋_GB2312" w:cs="仿宋_GB2312"/>
          <w:color w:val="000000"/>
          <w:sz w:val="32"/>
          <w:szCs w:val="32"/>
          <w:highlight w:val="none"/>
          <w:shd w:val="clear" w:color="auto" w:fill="auto"/>
          <w:lang w:val="en-US" w:eastAsia="zh-CN"/>
        </w:rPr>
      </w:pPr>
      <w:r>
        <w:rPr>
          <w:rFonts w:hint="eastAsia" w:ascii="黑体" w:hAnsi="黑体" w:eastAsia="黑体" w:cs="黑体"/>
          <w:color w:val="000000"/>
          <w:sz w:val="32"/>
          <w:szCs w:val="32"/>
          <w:highlight w:val="none"/>
          <w:shd w:val="clear" w:color="auto" w:fill="auto"/>
          <w:lang w:val="en-US" w:eastAsia="zh-CN"/>
        </w:rPr>
        <w:t>6.</w:t>
      </w:r>
      <w:r>
        <w:rPr>
          <w:rFonts w:hint="eastAsia" w:ascii="仿宋_GB2312" w:hAnsi="仿宋_GB2312" w:eastAsia="仿宋_GB2312" w:cs="仿宋_GB2312"/>
          <w:b/>
          <w:bCs/>
          <w:color w:val="000000"/>
          <w:sz w:val="32"/>
          <w:szCs w:val="32"/>
          <w:highlight w:val="none"/>
          <w:shd w:val="clear" w:color="auto" w:fill="auto"/>
          <w:lang w:val="zh-CN"/>
        </w:rPr>
        <w:t>教育支出（类）普通教育（款）其他普通教育教育支出（项）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年初预算为0.00万元，支出决算为630.90万元。决算数与年初预算数存在差异的</w:t>
      </w:r>
      <w:r>
        <w:rPr>
          <w:rFonts w:hint="eastAsia" w:ascii="仿宋_GB2312" w:hAnsi="仿宋_GB2312" w:eastAsia="仿宋_GB2312" w:cs="仿宋_GB2312"/>
          <w:color w:val="000000"/>
          <w:sz w:val="32"/>
          <w:szCs w:val="32"/>
          <w:highlight w:val="none"/>
          <w:shd w:val="clear" w:color="auto" w:fill="auto"/>
          <w:lang w:val="zh-CN"/>
        </w:rPr>
        <w:t>主要原因是</w:t>
      </w:r>
      <w:r>
        <w:rPr>
          <w:rFonts w:hint="eastAsia" w:ascii="仿宋_GB2312" w:hAnsi="仿宋_GB2312" w:eastAsia="仿宋_GB2312" w:cs="仿宋_GB2312"/>
          <w:b w:val="0"/>
          <w:bCs w:val="0"/>
          <w:color w:val="000000"/>
          <w:sz w:val="32"/>
          <w:szCs w:val="32"/>
          <w:highlight w:val="none"/>
          <w:shd w:val="clear" w:color="auto" w:fill="auto"/>
          <w:lang w:val="zh-CN"/>
        </w:rPr>
        <w:t>年初预算未安排</w:t>
      </w:r>
      <w:r>
        <w:rPr>
          <w:rFonts w:hint="eastAsia" w:ascii="仿宋_GB2312" w:hAnsi="仿宋_GB2312" w:eastAsia="仿宋_GB2312" w:cs="仿宋_GB2312"/>
          <w:color w:val="000000"/>
          <w:sz w:val="32"/>
          <w:szCs w:val="32"/>
          <w:highlight w:val="none"/>
          <w:shd w:val="clear" w:color="auto" w:fill="auto"/>
          <w:lang w:val="en-US" w:eastAsia="zh-CN"/>
        </w:rPr>
        <w:t>。</w:t>
      </w:r>
    </w:p>
    <w:p>
      <w:pPr>
        <w:spacing w:beforeLines="0" w:afterLines="0"/>
        <w:ind w:firstLine="640" w:firstLineChars="200"/>
        <w:jc w:val="left"/>
        <w:rPr>
          <w:rFonts w:hint="eastAsia" w:ascii="仿宋_GB2312" w:hAnsi="仿宋_GB2312" w:eastAsia="仿宋_GB2312" w:cs="仿宋_GB2312"/>
          <w:b w:val="0"/>
          <w:bCs w:val="0"/>
          <w:color w:val="000000"/>
          <w:sz w:val="32"/>
          <w:szCs w:val="32"/>
          <w:highlight w:val="none"/>
          <w:shd w:val="clear" w:color="auto" w:fill="auto"/>
          <w:lang w:val="zh-CN"/>
        </w:rPr>
      </w:pPr>
      <w:r>
        <w:rPr>
          <w:rFonts w:hint="eastAsia" w:ascii="黑体" w:hAnsi="黑体" w:eastAsia="黑体" w:cs="黑体"/>
          <w:color w:val="000000"/>
          <w:sz w:val="32"/>
          <w:szCs w:val="32"/>
          <w:highlight w:val="none"/>
          <w:shd w:val="clear" w:color="auto" w:fill="auto"/>
          <w:lang w:val="en-US" w:eastAsia="zh-CN"/>
        </w:rPr>
        <w:t>7.</w:t>
      </w:r>
      <w:r>
        <w:rPr>
          <w:rFonts w:hint="eastAsia" w:ascii="仿宋_GB2312" w:hAnsi="仿宋_GB2312" w:eastAsia="仿宋_GB2312" w:cs="仿宋_GB2312"/>
          <w:b/>
          <w:bCs/>
          <w:color w:val="000000"/>
          <w:sz w:val="32"/>
          <w:szCs w:val="32"/>
          <w:highlight w:val="none"/>
          <w:shd w:val="clear" w:color="auto" w:fill="auto"/>
          <w:lang w:val="zh-CN"/>
        </w:rPr>
        <w:t>教育支出（类）特殊教育（款）特殊学校教育支出（项）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年初预算为0.00万元，支出决算为3万元。决算数与年初预算数存在差异的</w:t>
      </w:r>
      <w:r>
        <w:rPr>
          <w:rFonts w:hint="eastAsia" w:ascii="仿宋_GB2312" w:hAnsi="仿宋_GB2312" w:eastAsia="仿宋_GB2312" w:cs="仿宋_GB2312"/>
          <w:color w:val="000000"/>
          <w:sz w:val="32"/>
          <w:szCs w:val="32"/>
          <w:highlight w:val="none"/>
          <w:shd w:val="clear" w:color="auto" w:fill="auto"/>
          <w:lang w:val="zh-CN"/>
        </w:rPr>
        <w:t>主要原因是</w:t>
      </w:r>
      <w:r>
        <w:rPr>
          <w:rFonts w:hint="eastAsia" w:ascii="仿宋_GB2312" w:hAnsi="仿宋_GB2312" w:eastAsia="仿宋_GB2312" w:cs="仿宋_GB2312"/>
          <w:b w:val="0"/>
          <w:bCs w:val="0"/>
          <w:color w:val="000000"/>
          <w:sz w:val="32"/>
          <w:szCs w:val="32"/>
          <w:highlight w:val="none"/>
          <w:shd w:val="clear" w:color="auto" w:fill="auto"/>
          <w:lang w:val="zh-CN"/>
        </w:rPr>
        <w:t>年初预算未安排。</w:t>
      </w:r>
    </w:p>
    <w:p>
      <w:pPr>
        <w:spacing w:beforeLines="0" w:afterLines="0"/>
        <w:ind w:firstLine="640" w:firstLineChars="200"/>
        <w:jc w:val="left"/>
        <w:rPr>
          <w:rFonts w:hint="eastAsia" w:ascii="仿宋_GB2312" w:hAnsi="仿宋_GB2312" w:eastAsia="仿宋_GB2312" w:cs="仿宋_GB2312"/>
          <w:b w:val="0"/>
          <w:bCs w:val="0"/>
          <w:color w:val="000000"/>
          <w:sz w:val="32"/>
          <w:szCs w:val="32"/>
          <w:highlight w:val="none"/>
          <w:shd w:val="clear" w:color="auto" w:fill="auto"/>
          <w:lang w:val="zh-CN"/>
        </w:rPr>
      </w:pPr>
      <w:r>
        <w:rPr>
          <w:rFonts w:hint="eastAsia" w:ascii="黑体" w:hAnsi="黑体" w:eastAsia="黑体" w:cs="黑体"/>
          <w:color w:val="000000"/>
          <w:sz w:val="32"/>
          <w:szCs w:val="32"/>
          <w:highlight w:val="none"/>
          <w:shd w:val="clear" w:color="auto" w:fill="auto"/>
          <w:lang w:val="en-US" w:eastAsia="zh-CN"/>
        </w:rPr>
        <w:t>8.</w:t>
      </w:r>
      <w:r>
        <w:rPr>
          <w:rFonts w:hint="eastAsia" w:ascii="仿宋_GB2312" w:hAnsi="仿宋_GB2312" w:eastAsia="仿宋_GB2312" w:cs="仿宋_GB2312"/>
          <w:b/>
          <w:bCs/>
          <w:color w:val="000000"/>
          <w:sz w:val="32"/>
          <w:szCs w:val="32"/>
          <w:highlight w:val="none"/>
          <w:shd w:val="clear" w:color="auto" w:fill="auto"/>
          <w:lang w:val="zh-CN"/>
        </w:rPr>
        <w:t>教育支出（类）其他教育支出（款）其他教育支出（项）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年初预算为0.00万元，支出决算为12万元。决算数与年初预算数存在差异的</w:t>
      </w:r>
      <w:r>
        <w:rPr>
          <w:rFonts w:hint="eastAsia" w:ascii="仿宋_GB2312" w:hAnsi="仿宋_GB2312" w:eastAsia="仿宋_GB2312" w:cs="仿宋_GB2312"/>
          <w:color w:val="000000"/>
          <w:sz w:val="32"/>
          <w:szCs w:val="32"/>
          <w:highlight w:val="none"/>
          <w:shd w:val="clear" w:color="auto" w:fill="auto"/>
          <w:lang w:val="zh-CN"/>
        </w:rPr>
        <w:t>主要原因是</w:t>
      </w:r>
      <w:r>
        <w:rPr>
          <w:rFonts w:hint="eastAsia" w:ascii="仿宋_GB2312" w:hAnsi="仿宋_GB2312" w:eastAsia="仿宋_GB2312" w:cs="仿宋_GB2312"/>
          <w:b w:val="0"/>
          <w:bCs w:val="0"/>
          <w:color w:val="000000"/>
          <w:sz w:val="32"/>
          <w:szCs w:val="32"/>
          <w:highlight w:val="none"/>
          <w:shd w:val="clear" w:color="auto" w:fill="auto"/>
          <w:lang w:val="zh-CN"/>
        </w:rPr>
        <w:t>年初预算未安排。</w:t>
      </w:r>
    </w:p>
    <w:p>
      <w:pPr>
        <w:spacing w:beforeLines="0" w:afterLines="0"/>
        <w:ind w:firstLine="640" w:firstLineChars="200"/>
        <w:jc w:val="left"/>
        <w:rPr>
          <w:rFonts w:hint="eastAsia" w:ascii="仿宋_GB2312" w:hAnsi="仿宋_GB2312" w:eastAsia="仿宋_GB2312" w:cs="仿宋_GB2312"/>
          <w:color w:val="000000"/>
          <w:sz w:val="32"/>
          <w:szCs w:val="32"/>
          <w:highlight w:val="none"/>
          <w:shd w:val="clear" w:color="auto" w:fill="auto"/>
          <w:lang w:val="zh-CN"/>
        </w:rPr>
      </w:pPr>
      <w:r>
        <w:rPr>
          <w:rFonts w:hint="eastAsia" w:ascii="黑体" w:hAnsi="黑体" w:eastAsia="黑体" w:cs="黑体"/>
          <w:color w:val="000000"/>
          <w:sz w:val="32"/>
          <w:szCs w:val="32"/>
          <w:highlight w:val="none"/>
          <w:shd w:val="clear" w:color="auto" w:fill="auto"/>
          <w:lang w:val="en-US" w:eastAsia="zh-CN"/>
        </w:rPr>
        <w:t>9.</w:t>
      </w:r>
      <w:r>
        <w:rPr>
          <w:rFonts w:hint="eastAsia" w:ascii="仿宋_GB2312" w:hAnsi="仿宋_GB2312" w:eastAsia="仿宋_GB2312" w:cs="仿宋_GB2312"/>
          <w:b/>
          <w:bCs/>
          <w:color w:val="000000"/>
          <w:sz w:val="32"/>
          <w:szCs w:val="32"/>
          <w:highlight w:val="none"/>
          <w:shd w:val="clear" w:color="auto" w:fill="auto"/>
          <w:lang w:val="zh-CN"/>
        </w:rPr>
        <w:t>社会保障和就业支出（类）行政事业单位养老支出（款）行政单位离退休（项）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年初预算为0.00万元，支出决算为7.76万元。决算数与年初预算数存在差异的</w:t>
      </w:r>
      <w:r>
        <w:rPr>
          <w:rFonts w:hint="eastAsia" w:ascii="仿宋_GB2312" w:hAnsi="仿宋_GB2312" w:eastAsia="仿宋_GB2312" w:cs="仿宋_GB2312"/>
          <w:color w:val="000000"/>
          <w:sz w:val="32"/>
          <w:szCs w:val="32"/>
          <w:highlight w:val="none"/>
          <w:shd w:val="clear" w:color="auto" w:fill="auto"/>
          <w:lang w:val="zh-CN"/>
        </w:rPr>
        <w:t>主要原因是</w:t>
      </w:r>
      <w:r>
        <w:rPr>
          <w:rFonts w:hint="eastAsia" w:ascii="仿宋_GB2312" w:hAnsi="仿宋_GB2312" w:eastAsia="仿宋_GB2312" w:cs="仿宋_GB2312"/>
          <w:b w:val="0"/>
          <w:bCs w:val="0"/>
          <w:color w:val="000000"/>
          <w:sz w:val="32"/>
          <w:szCs w:val="32"/>
          <w:highlight w:val="none"/>
          <w:shd w:val="clear" w:color="auto" w:fill="auto"/>
          <w:lang w:val="zh-CN"/>
        </w:rPr>
        <w:t>年初预算未安排。</w:t>
      </w:r>
    </w:p>
    <w:p>
      <w:pPr>
        <w:spacing w:beforeLines="0" w:afterLines="0"/>
        <w:ind w:firstLine="640" w:firstLineChars="200"/>
        <w:jc w:val="left"/>
        <w:rPr>
          <w:rFonts w:hint="eastAsia" w:ascii="仿宋_GB2312" w:hAnsi="仿宋_GB2312" w:eastAsia="仿宋_GB2312" w:cs="仿宋_GB2312"/>
          <w:color w:val="000000"/>
          <w:sz w:val="32"/>
          <w:szCs w:val="32"/>
          <w:highlight w:val="none"/>
          <w:shd w:val="clear" w:color="auto" w:fill="auto"/>
          <w:lang w:val="zh-CN"/>
        </w:rPr>
      </w:pPr>
      <w:r>
        <w:rPr>
          <w:rFonts w:hint="eastAsia" w:ascii="黑体" w:hAnsi="黑体" w:eastAsia="黑体" w:cs="黑体"/>
          <w:color w:val="000000"/>
          <w:sz w:val="32"/>
          <w:szCs w:val="32"/>
          <w:highlight w:val="none"/>
          <w:shd w:val="clear" w:color="auto" w:fill="auto"/>
          <w:lang w:val="en-US" w:eastAsia="zh-CN"/>
        </w:rPr>
        <w:t>10.</w:t>
      </w:r>
      <w:r>
        <w:rPr>
          <w:rFonts w:hint="eastAsia" w:ascii="仿宋_GB2312" w:hAnsi="仿宋_GB2312" w:eastAsia="仿宋_GB2312" w:cs="仿宋_GB2312"/>
          <w:b/>
          <w:bCs/>
          <w:color w:val="000000"/>
          <w:sz w:val="32"/>
          <w:szCs w:val="32"/>
          <w:highlight w:val="none"/>
          <w:shd w:val="clear" w:color="auto" w:fill="auto"/>
          <w:lang w:val="zh-CN"/>
        </w:rPr>
        <w:t>社会保障和就业支出（类）行政事业单位养老支出（款）事业单位离退休（项）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年初预算为338.23万元，支出决算为337.49万元，完成年初预算的99.78%。决算数与年初预算数存在差异的</w:t>
      </w:r>
      <w:r>
        <w:rPr>
          <w:rFonts w:hint="eastAsia" w:ascii="仿宋_GB2312" w:hAnsi="仿宋_GB2312" w:eastAsia="仿宋_GB2312" w:cs="仿宋_GB2312"/>
          <w:color w:val="000000"/>
          <w:sz w:val="32"/>
          <w:szCs w:val="32"/>
          <w:highlight w:val="none"/>
          <w:shd w:val="clear" w:color="auto" w:fill="auto"/>
          <w:lang w:val="zh-CN"/>
        </w:rPr>
        <w:t>主要原因是</w:t>
      </w:r>
      <w:r>
        <w:rPr>
          <w:rFonts w:hint="eastAsia" w:ascii="仿宋_GB2312" w:hAnsi="仿宋_GB2312" w:eastAsia="仿宋_GB2312" w:cs="仿宋_GB2312"/>
          <w:b w:val="0"/>
          <w:bCs w:val="0"/>
          <w:color w:val="000000"/>
          <w:sz w:val="32"/>
          <w:szCs w:val="32"/>
          <w:highlight w:val="none"/>
          <w:shd w:val="clear" w:color="auto" w:fill="auto"/>
          <w:lang w:val="zh-CN"/>
        </w:rPr>
        <w:t>年中有去世的退休教师。</w:t>
      </w:r>
    </w:p>
    <w:p>
      <w:pPr>
        <w:spacing w:beforeLines="0" w:afterLines="0"/>
        <w:ind w:firstLine="640" w:firstLineChars="200"/>
        <w:jc w:val="left"/>
        <w:rPr>
          <w:rFonts w:hint="eastAsia" w:ascii="仿宋_GB2312" w:hAnsi="仿宋_GB2312" w:eastAsia="仿宋_GB2312" w:cs="仿宋_GB2312"/>
          <w:b w:val="0"/>
          <w:bCs w:val="0"/>
          <w:color w:val="000000"/>
          <w:sz w:val="32"/>
          <w:szCs w:val="32"/>
          <w:highlight w:val="none"/>
          <w:shd w:val="clear" w:color="auto" w:fill="auto"/>
          <w:lang w:val="zh-CN"/>
        </w:rPr>
      </w:pPr>
      <w:r>
        <w:rPr>
          <w:rFonts w:hint="eastAsia" w:ascii="黑体" w:hAnsi="黑体" w:eastAsia="黑体" w:cs="黑体"/>
          <w:color w:val="000000"/>
          <w:sz w:val="32"/>
          <w:szCs w:val="32"/>
          <w:highlight w:val="none"/>
          <w:shd w:val="clear" w:color="auto" w:fill="auto"/>
          <w:lang w:val="en-US" w:eastAsia="zh-CN"/>
        </w:rPr>
        <w:t>11.</w:t>
      </w:r>
      <w:r>
        <w:rPr>
          <w:rFonts w:hint="eastAsia" w:ascii="仿宋_GB2312" w:hAnsi="仿宋_GB2312" w:eastAsia="仿宋_GB2312" w:cs="仿宋_GB2312"/>
          <w:b/>
          <w:bCs/>
          <w:color w:val="000000"/>
          <w:sz w:val="32"/>
          <w:szCs w:val="32"/>
          <w:highlight w:val="none"/>
          <w:shd w:val="clear" w:color="auto" w:fill="auto"/>
          <w:lang w:val="zh-CN"/>
        </w:rPr>
        <w:t>社会保障和就业支出（类）行政事业单位养老支出（款）机关事业单位基本养老保险缴费支出（项）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年初预算为255.21万元，支出决算为272.78万元，完成年初预算的106.88%。决算数与年初预算数存在差异的</w:t>
      </w:r>
      <w:r>
        <w:rPr>
          <w:rFonts w:hint="eastAsia" w:ascii="仿宋_GB2312" w:hAnsi="仿宋_GB2312" w:eastAsia="仿宋_GB2312" w:cs="仿宋_GB2312"/>
          <w:color w:val="000000"/>
          <w:sz w:val="32"/>
          <w:szCs w:val="32"/>
          <w:highlight w:val="none"/>
          <w:shd w:val="clear" w:color="auto" w:fill="auto"/>
          <w:lang w:val="zh-CN"/>
        </w:rPr>
        <w:t>主要原因是</w:t>
      </w:r>
      <w:r>
        <w:rPr>
          <w:rFonts w:hint="eastAsia" w:ascii="仿宋_GB2312" w:hAnsi="仿宋_GB2312" w:eastAsia="仿宋_GB2312" w:cs="仿宋_GB2312"/>
          <w:b w:val="0"/>
          <w:bCs w:val="0"/>
          <w:color w:val="000000"/>
          <w:sz w:val="32"/>
          <w:szCs w:val="32"/>
          <w:highlight w:val="none"/>
          <w:shd w:val="clear" w:color="auto" w:fill="auto"/>
          <w:lang w:val="zh-CN"/>
        </w:rPr>
        <w:t>年中有去世的退休教师。</w:t>
      </w:r>
    </w:p>
    <w:p>
      <w:pPr>
        <w:spacing w:beforeLines="0" w:afterLines="0"/>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lang w:val="en-US" w:eastAsia="zh-CN"/>
        </w:rPr>
        <w:t>12.</w:t>
      </w:r>
      <w:r>
        <w:rPr>
          <w:rFonts w:hint="eastAsia" w:ascii="仿宋_GB2312" w:hAnsi="仿宋_GB2312" w:eastAsia="仿宋_GB2312" w:cs="仿宋_GB2312"/>
          <w:b/>
          <w:bCs/>
          <w:color w:val="000000"/>
          <w:sz w:val="32"/>
          <w:szCs w:val="32"/>
          <w:highlight w:val="none"/>
          <w:shd w:val="clear" w:color="auto" w:fill="auto"/>
          <w:lang w:val="zh-CN"/>
        </w:rPr>
        <w:t>卫生健康支出（类）行政事业单位医疗（款）事业单位医疗（项）</w:t>
      </w:r>
      <w:r>
        <w:rPr>
          <w:rFonts w:hint="eastAsia" w:ascii="仿宋_GB2312" w:hAnsi="仿宋_GB2312" w:eastAsia="仿宋_GB2312" w:cs="仿宋_GB2312"/>
          <w:b/>
          <w:bCs/>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val="en-US" w:eastAsia="zh-CN"/>
        </w:rPr>
        <w:t>年初预算为123.3万元，支出决算为122.81万元，完成年初预算的99.60%。决算数与年初预算数存在差异的</w:t>
      </w:r>
      <w:r>
        <w:rPr>
          <w:rFonts w:hint="eastAsia" w:ascii="仿宋_GB2312" w:hAnsi="仿宋_GB2312" w:eastAsia="仿宋_GB2312" w:cs="仿宋_GB2312"/>
          <w:color w:val="000000"/>
          <w:sz w:val="32"/>
          <w:szCs w:val="32"/>
          <w:highlight w:val="none"/>
          <w:shd w:val="clear" w:color="auto" w:fill="auto"/>
          <w:lang w:val="zh-CN"/>
        </w:rPr>
        <w:t>主要原因是</w:t>
      </w:r>
      <w:r>
        <w:rPr>
          <w:rFonts w:hint="eastAsia" w:ascii="仿宋_GB2312" w:hAnsi="仿宋_GB2312" w:eastAsia="仿宋_GB2312" w:cs="仿宋_GB2312"/>
          <w:b w:val="0"/>
          <w:bCs w:val="0"/>
          <w:color w:val="000000"/>
          <w:sz w:val="32"/>
          <w:szCs w:val="32"/>
          <w:highlight w:val="none"/>
          <w:shd w:val="clear" w:color="auto" w:fill="auto"/>
          <w:lang w:val="zh-CN"/>
        </w:rPr>
        <w:t>年中有去世的退休教师。</w:t>
      </w: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年度一般公共预算财政拨款基本支出</w:t>
      </w:r>
      <w:r>
        <w:rPr>
          <w:rFonts w:hint="eastAsia" w:ascii="仿宋_GB2312" w:hAnsi="仿宋_GB2312" w:eastAsia="仿宋_GB2312" w:cs="仿宋_GB2312"/>
          <w:color w:val="000000"/>
          <w:sz w:val="32"/>
          <w:szCs w:val="32"/>
          <w:highlight w:val="none"/>
          <w:shd w:val="clear" w:color="auto" w:fill="auto"/>
          <w:lang w:val="en-US" w:eastAsia="zh-CN"/>
        </w:rPr>
        <w:t>4504.25</w:t>
      </w:r>
      <w:r>
        <w:rPr>
          <w:rFonts w:hint="eastAsia" w:ascii="仿宋_GB2312" w:hAnsi="仿宋_GB2312" w:eastAsia="仿宋_GB2312" w:cs="仿宋_GB2312"/>
          <w:color w:val="000000"/>
          <w:sz w:val="32"/>
          <w:szCs w:val="32"/>
          <w:highlight w:val="none"/>
          <w:shd w:val="clear" w:color="auto" w:fill="auto"/>
        </w:rPr>
        <w:t>万元。其中：人员经费</w:t>
      </w:r>
      <w:r>
        <w:rPr>
          <w:rFonts w:hint="eastAsia" w:ascii="仿宋_GB2312" w:hAnsi="仿宋_GB2312" w:eastAsia="仿宋_GB2312" w:cs="仿宋_GB2312"/>
          <w:color w:val="000000"/>
          <w:sz w:val="32"/>
          <w:szCs w:val="32"/>
          <w:highlight w:val="none"/>
          <w:shd w:val="clear" w:color="auto" w:fill="auto"/>
          <w:lang w:val="en-US" w:eastAsia="zh-CN"/>
        </w:rPr>
        <w:t>4080.20</w:t>
      </w:r>
      <w:r>
        <w:rPr>
          <w:rFonts w:hint="eastAsia" w:ascii="仿宋_GB2312" w:hAnsi="仿宋_GB2312" w:eastAsia="仿宋_GB2312" w:cs="仿宋_GB2312"/>
          <w:color w:val="000000"/>
          <w:sz w:val="32"/>
          <w:szCs w:val="32"/>
          <w:highlight w:val="none"/>
          <w:shd w:val="clear" w:color="auto" w:fill="auto"/>
        </w:rPr>
        <w:t>万元，主要包括：基本工资、津贴补贴、绩效工资、机关事业单位基本养老保险缴费、其他社会保障缴费、其他工资福利支出、退休费、生活补助、住房公积金、其他对个人和家庭的补助</w:t>
      </w:r>
      <w:r>
        <w:rPr>
          <w:rFonts w:hint="eastAsia" w:ascii="仿宋_GB2312" w:hAnsi="仿宋_GB2312" w:eastAsia="仿宋_GB2312" w:cs="仿宋_GB2312"/>
          <w:color w:val="000000"/>
          <w:sz w:val="32"/>
          <w:szCs w:val="32"/>
          <w:highlight w:val="none"/>
          <w:shd w:val="clear" w:color="auto" w:fill="auto"/>
          <w:lang w:eastAsia="zh-CN"/>
        </w:rPr>
        <w:t>、奖金、职工基本医疗保险缴费</w:t>
      </w:r>
      <w:r>
        <w:rPr>
          <w:rFonts w:hint="eastAsia" w:ascii="仿宋_GB2312" w:hAnsi="仿宋_GB2312" w:eastAsia="仿宋_GB2312" w:cs="仿宋_GB2312"/>
          <w:color w:val="000000"/>
          <w:sz w:val="32"/>
          <w:szCs w:val="32"/>
          <w:highlight w:val="none"/>
          <w:shd w:val="clear" w:color="auto" w:fill="auto"/>
        </w:rPr>
        <w:t>；公用经费</w:t>
      </w:r>
      <w:r>
        <w:rPr>
          <w:rFonts w:hint="eastAsia" w:ascii="仿宋_GB2312" w:hAnsi="仿宋_GB2312" w:eastAsia="仿宋_GB2312" w:cs="仿宋_GB2312"/>
          <w:color w:val="000000"/>
          <w:sz w:val="32"/>
          <w:szCs w:val="32"/>
          <w:highlight w:val="none"/>
          <w:shd w:val="clear" w:color="auto" w:fill="auto"/>
          <w:lang w:val="en-US" w:eastAsia="zh-CN"/>
        </w:rPr>
        <w:t>424.04</w:t>
      </w:r>
      <w:r>
        <w:rPr>
          <w:rFonts w:hint="eastAsia" w:ascii="仿宋_GB2312" w:hAnsi="仿宋_GB2312" w:eastAsia="仿宋_GB2312" w:cs="仿宋_GB2312"/>
          <w:color w:val="000000"/>
          <w:sz w:val="32"/>
          <w:szCs w:val="32"/>
          <w:highlight w:val="none"/>
          <w:shd w:val="clear" w:color="auto" w:fill="auto"/>
        </w:rPr>
        <w:t>万元，主要包括：办公费、印刷费、咨询费、水费、电费、邮电费、差旅费、维修（护）费、培训费、专用材料费、劳务费、委托业务费、工会经费、福利费、公务用车运行维护费、其他交通费用、税金及附加费用、其他商品和服务支出、办公设备购置。</w:t>
      </w: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color w:val="000000"/>
          <w:sz w:val="32"/>
          <w:szCs w:val="32"/>
          <w:highlight w:val="none"/>
          <w:shd w:val="clear" w:color="auto" w:fill="auto"/>
        </w:rPr>
      </w:pPr>
      <w:r>
        <w:rPr>
          <w:rFonts w:hint="eastAsia" w:ascii="楷体_GB2312" w:hAnsi="楷体_GB2312" w:eastAsia="楷体_GB2312" w:cs="楷体_GB2312"/>
          <w:b/>
          <w:bCs/>
          <w:color w:val="000000"/>
          <w:sz w:val="32"/>
          <w:szCs w:val="32"/>
          <w:highlight w:val="none"/>
          <w:shd w:val="clear" w:color="auto" w:fill="auto"/>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年度“三公”经费财政拨款支出预算为</w:t>
      </w:r>
      <w:r>
        <w:rPr>
          <w:rFonts w:hint="eastAsia" w:ascii="仿宋_GB2312" w:hAnsi="仿宋_GB2312" w:eastAsia="仿宋_GB2312" w:cs="仿宋_GB2312"/>
          <w:color w:val="000000"/>
          <w:sz w:val="32"/>
          <w:szCs w:val="32"/>
          <w:highlight w:val="none"/>
          <w:shd w:val="clear" w:color="auto" w:fill="auto"/>
          <w:lang w:val="en-US" w:eastAsia="zh-CN"/>
        </w:rPr>
        <w:t>12.04</w:t>
      </w:r>
      <w:r>
        <w:rPr>
          <w:rFonts w:hint="eastAsia" w:ascii="仿宋_GB2312" w:hAnsi="仿宋_GB2312" w:eastAsia="仿宋_GB2312" w:cs="仿宋_GB2312"/>
          <w:color w:val="000000"/>
          <w:sz w:val="32"/>
          <w:szCs w:val="32"/>
          <w:highlight w:val="none"/>
          <w:shd w:val="clear" w:color="auto" w:fill="auto"/>
        </w:rPr>
        <w:t>万元，支出决算为</w:t>
      </w:r>
      <w:r>
        <w:rPr>
          <w:rFonts w:hint="eastAsia" w:ascii="仿宋_GB2312" w:hAnsi="仿宋_GB2312" w:eastAsia="仿宋_GB2312" w:cs="仿宋_GB2312"/>
          <w:color w:val="000000"/>
          <w:sz w:val="32"/>
          <w:szCs w:val="32"/>
          <w:highlight w:val="none"/>
          <w:shd w:val="clear" w:color="auto" w:fill="auto"/>
          <w:lang w:val="en-US" w:eastAsia="zh-CN"/>
        </w:rPr>
        <w:t>0.98</w:t>
      </w:r>
      <w:r>
        <w:rPr>
          <w:rFonts w:hint="eastAsia" w:ascii="仿宋_GB2312" w:hAnsi="仿宋_GB2312" w:eastAsia="仿宋_GB2312" w:cs="仿宋_GB2312"/>
          <w:color w:val="000000"/>
          <w:sz w:val="32"/>
          <w:szCs w:val="32"/>
          <w:highlight w:val="none"/>
          <w:shd w:val="clear" w:color="auto" w:fill="auto"/>
        </w:rPr>
        <w:t>万元，完成预算的</w:t>
      </w:r>
      <w:r>
        <w:rPr>
          <w:rFonts w:hint="eastAsia" w:ascii="仿宋_GB2312" w:hAnsi="仿宋_GB2312" w:eastAsia="仿宋_GB2312" w:cs="仿宋_GB2312"/>
          <w:color w:val="000000"/>
          <w:sz w:val="32"/>
          <w:szCs w:val="32"/>
          <w:highlight w:val="none"/>
          <w:shd w:val="clear" w:color="auto" w:fill="auto"/>
          <w:lang w:val="en-US" w:eastAsia="zh-CN"/>
        </w:rPr>
        <w:t>8.14</w:t>
      </w:r>
      <w:r>
        <w:rPr>
          <w:rFonts w:hint="eastAsia" w:ascii="仿宋_GB2312" w:hAnsi="仿宋_GB2312" w:eastAsia="仿宋_GB2312" w:cs="仿宋_GB2312"/>
          <w:color w:val="000000"/>
          <w:sz w:val="32"/>
          <w:szCs w:val="32"/>
          <w:highlight w:val="none"/>
          <w:shd w:val="clear" w:color="auto" w:fill="auto"/>
        </w:rPr>
        <w:t>%。</w:t>
      </w: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年度“三公”经费支出决算数与预算数存在差异的主要原因是</w:t>
      </w:r>
      <w:r>
        <w:rPr>
          <w:rFonts w:hint="eastAsia" w:ascii="仿宋_GB2312" w:hAnsi="仿宋_GB2312" w:eastAsia="仿宋_GB2312" w:cs="仿宋_GB2312"/>
          <w:color w:val="000000"/>
          <w:sz w:val="32"/>
          <w:szCs w:val="32"/>
          <w:highlight w:val="none"/>
          <w:shd w:val="clear" w:color="auto" w:fill="auto"/>
          <w:lang w:eastAsia="zh-CN"/>
        </w:rPr>
        <w:t>严格按照政策，厉行节俭政策，压缩公用经费支出</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2" w:firstLineChars="200"/>
        <w:outlineLvl w:val="2"/>
        <w:rPr>
          <w:rFonts w:hint="eastAsia" w:ascii="楷体_GB2312" w:hAnsi="楷体_GB2312" w:eastAsia="楷体_GB2312" w:cs="楷体_GB2312"/>
          <w:b/>
          <w:bCs/>
          <w:color w:val="000000"/>
          <w:sz w:val="32"/>
          <w:szCs w:val="32"/>
          <w:highlight w:val="none"/>
          <w:shd w:val="clear" w:color="auto" w:fill="auto"/>
        </w:rPr>
      </w:pPr>
      <w:r>
        <w:rPr>
          <w:rFonts w:hint="eastAsia" w:ascii="楷体_GB2312" w:hAnsi="楷体_GB2312" w:eastAsia="楷体_GB2312" w:cs="楷体_GB2312"/>
          <w:b/>
          <w:bCs/>
          <w:color w:val="000000"/>
          <w:sz w:val="32"/>
          <w:szCs w:val="32"/>
          <w:highlight w:val="none"/>
          <w:shd w:val="clear" w:color="auto" w:fill="auto"/>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年度“三公”经费财政拨款支出决算中，因公出国（境）费支出决算</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万元；公务用车购置及运行费支出决算</w:t>
      </w:r>
      <w:r>
        <w:rPr>
          <w:rFonts w:hint="eastAsia" w:ascii="仿宋_GB2312" w:hAnsi="仿宋_GB2312" w:eastAsia="仿宋_GB2312" w:cs="仿宋_GB2312"/>
          <w:color w:val="000000"/>
          <w:sz w:val="32"/>
          <w:szCs w:val="32"/>
          <w:highlight w:val="none"/>
          <w:shd w:val="clear" w:color="auto" w:fill="auto"/>
          <w:lang w:val="en-US" w:eastAsia="zh-CN"/>
        </w:rPr>
        <w:t>0.98</w:t>
      </w:r>
      <w:r>
        <w:rPr>
          <w:rFonts w:hint="eastAsia" w:ascii="仿宋_GB2312" w:hAnsi="仿宋_GB2312" w:eastAsia="仿宋_GB2312" w:cs="仿宋_GB2312"/>
          <w:color w:val="000000"/>
          <w:sz w:val="32"/>
          <w:szCs w:val="32"/>
          <w:highlight w:val="none"/>
          <w:shd w:val="clear" w:color="auto" w:fill="auto"/>
        </w:rPr>
        <w:t>万元，完成预算的</w:t>
      </w:r>
      <w:r>
        <w:rPr>
          <w:rFonts w:hint="eastAsia" w:ascii="仿宋_GB2312" w:hAnsi="仿宋_GB2312" w:eastAsia="仿宋_GB2312" w:cs="仿宋_GB2312"/>
          <w:color w:val="000000"/>
          <w:sz w:val="32"/>
          <w:szCs w:val="32"/>
          <w:highlight w:val="none"/>
          <w:shd w:val="clear" w:color="auto" w:fill="auto"/>
          <w:lang w:val="en-US" w:eastAsia="zh-CN"/>
        </w:rPr>
        <w:t>98</w:t>
      </w:r>
      <w:r>
        <w:rPr>
          <w:rFonts w:hint="eastAsia" w:ascii="仿宋_GB2312" w:hAnsi="仿宋_GB2312" w:eastAsia="仿宋_GB2312" w:cs="仿宋_GB2312"/>
          <w:color w:val="000000"/>
          <w:sz w:val="32"/>
          <w:szCs w:val="32"/>
          <w:highlight w:val="none"/>
          <w:shd w:val="clear" w:color="auto" w:fill="auto"/>
        </w:rPr>
        <w:t>%，占</w:t>
      </w:r>
      <w:r>
        <w:rPr>
          <w:rFonts w:hint="eastAsia" w:ascii="仿宋_GB2312" w:hAnsi="仿宋_GB2312" w:eastAsia="仿宋_GB2312" w:cs="仿宋_GB2312"/>
          <w:color w:val="000000"/>
          <w:sz w:val="32"/>
          <w:szCs w:val="32"/>
          <w:highlight w:val="none"/>
          <w:shd w:val="clear" w:color="auto" w:fill="auto"/>
          <w:lang w:val="en-US" w:eastAsia="zh-CN"/>
        </w:rPr>
        <w:t>100</w:t>
      </w:r>
      <w:r>
        <w:rPr>
          <w:rFonts w:hint="eastAsia" w:ascii="仿宋_GB2312" w:hAnsi="仿宋_GB2312" w:eastAsia="仿宋_GB2312" w:cs="仿宋_GB2312"/>
          <w:color w:val="000000"/>
          <w:sz w:val="32"/>
          <w:szCs w:val="32"/>
          <w:highlight w:val="none"/>
          <w:shd w:val="clear" w:color="auto" w:fill="auto"/>
        </w:rPr>
        <w:t>%；公务接待费支出决算</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万元。具体情况如下：</w:t>
      </w:r>
    </w:p>
    <w:p>
      <w:pPr>
        <w:widowControl/>
        <w:spacing w:line="590" w:lineRule="exact"/>
        <w:ind w:firstLine="642" w:firstLineChars="2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color w:val="000000"/>
          <w:sz w:val="32"/>
          <w:szCs w:val="32"/>
          <w:highlight w:val="none"/>
          <w:shd w:val="clear" w:color="auto" w:fill="auto"/>
        </w:rPr>
        <w:t>1．因公出国（境）费</w:t>
      </w:r>
      <w:r>
        <w:rPr>
          <w:rFonts w:hint="eastAsia" w:ascii="仿宋_GB2312" w:hAnsi="仿宋_GB2312" w:eastAsia="仿宋_GB2312" w:cs="仿宋_GB2312"/>
          <w:color w:val="000000"/>
          <w:sz w:val="32"/>
          <w:szCs w:val="32"/>
          <w:highlight w:val="none"/>
          <w:shd w:val="clear" w:color="auto" w:fill="auto"/>
        </w:rPr>
        <w:t>预算为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万元，支出决算为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万元。决算数与预算数</w:t>
      </w:r>
      <w:r>
        <w:rPr>
          <w:rFonts w:hint="eastAsia" w:ascii="仿宋_GB2312" w:hAnsi="仿宋_GB2312" w:eastAsia="仿宋_GB2312" w:cs="仿宋_GB2312"/>
          <w:color w:val="000000"/>
          <w:sz w:val="32"/>
          <w:szCs w:val="32"/>
          <w:highlight w:val="none"/>
          <w:shd w:val="clear" w:color="auto" w:fill="auto"/>
          <w:lang w:eastAsia="zh-CN"/>
        </w:rPr>
        <w:t>不</w:t>
      </w:r>
      <w:r>
        <w:rPr>
          <w:rFonts w:hint="eastAsia" w:ascii="仿宋_GB2312" w:hAnsi="仿宋_GB2312" w:eastAsia="仿宋_GB2312" w:cs="仿宋_GB2312"/>
          <w:color w:val="000000"/>
          <w:sz w:val="32"/>
          <w:szCs w:val="32"/>
          <w:highlight w:val="none"/>
          <w:shd w:val="clear" w:color="auto" w:fill="auto"/>
        </w:rPr>
        <w:t>存在</w:t>
      </w:r>
      <w:r>
        <w:rPr>
          <w:rFonts w:hint="eastAsia" w:ascii="仿宋_GB2312" w:hAnsi="仿宋_GB2312" w:eastAsia="仿宋_GB2312" w:cs="仿宋_GB2312"/>
          <w:color w:val="000000"/>
          <w:sz w:val="32"/>
          <w:szCs w:val="32"/>
          <w:highlight w:val="none"/>
          <w:shd w:val="clear" w:color="auto" w:fill="auto"/>
          <w:lang w:eastAsia="zh-CN"/>
        </w:rPr>
        <w:t>差异</w:t>
      </w:r>
      <w:r>
        <w:rPr>
          <w:rFonts w:hint="eastAsia" w:ascii="仿宋_GB2312" w:hAnsi="仿宋_GB2312" w:eastAsia="仿宋_GB2312" w:cs="仿宋_GB2312"/>
          <w:color w:val="000000"/>
          <w:sz w:val="32"/>
          <w:szCs w:val="32"/>
          <w:highlight w:val="none"/>
          <w:shd w:val="clear" w:color="auto" w:fill="auto"/>
        </w:rPr>
        <w:t>。因公出国（境）团组数0个，因公出国（境）人次数0人。</w:t>
      </w:r>
    </w:p>
    <w:p>
      <w:pPr>
        <w:widowControl/>
        <w:spacing w:line="590" w:lineRule="exact"/>
        <w:ind w:firstLine="642" w:firstLineChars="2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color w:val="000000"/>
          <w:sz w:val="32"/>
          <w:szCs w:val="32"/>
          <w:highlight w:val="none"/>
          <w:shd w:val="clear" w:color="auto" w:fill="auto"/>
        </w:rPr>
        <w:t>2．公务用车购置及运行费</w:t>
      </w:r>
      <w:r>
        <w:rPr>
          <w:rFonts w:hint="eastAsia" w:ascii="仿宋_GB2312" w:hAnsi="仿宋_GB2312" w:eastAsia="仿宋_GB2312" w:cs="仿宋_GB2312"/>
          <w:color w:val="000000"/>
          <w:sz w:val="32"/>
          <w:szCs w:val="32"/>
          <w:highlight w:val="none"/>
          <w:shd w:val="clear" w:color="auto" w:fill="auto"/>
        </w:rPr>
        <w:t>预算为</w:t>
      </w:r>
      <w:r>
        <w:rPr>
          <w:rFonts w:hint="eastAsia" w:ascii="仿宋_GB2312" w:hAnsi="仿宋_GB2312" w:eastAsia="仿宋_GB2312" w:cs="仿宋_GB2312"/>
          <w:color w:val="000000"/>
          <w:sz w:val="32"/>
          <w:szCs w:val="32"/>
          <w:highlight w:val="none"/>
          <w:shd w:val="clear" w:color="auto" w:fill="auto"/>
          <w:lang w:val="en-US" w:eastAsia="zh-CN"/>
        </w:rPr>
        <w:t>1.00</w:t>
      </w:r>
      <w:r>
        <w:rPr>
          <w:rFonts w:hint="eastAsia" w:ascii="仿宋_GB2312" w:hAnsi="仿宋_GB2312" w:eastAsia="仿宋_GB2312" w:cs="仿宋_GB2312"/>
          <w:color w:val="000000"/>
          <w:sz w:val="32"/>
          <w:szCs w:val="32"/>
          <w:highlight w:val="none"/>
          <w:shd w:val="clear" w:color="auto" w:fill="auto"/>
        </w:rPr>
        <w:t>万元，支出决算为</w:t>
      </w:r>
      <w:r>
        <w:rPr>
          <w:rFonts w:hint="eastAsia" w:ascii="仿宋_GB2312" w:hAnsi="仿宋_GB2312" w:eastAsia="仿宋_GB2312" w:cs="仿宋_GB2312"/>
          <w:color w:val="000000"/>
          <w:sz w:val="32"/>
          <w:szCs w:val="32"/>
          <w:highlight w:val="none"/>
          <w:shd w:val="clear" w:color="auto" w:fill="auto"/>
          <w:lang w:val="en-US" w:eastAsia="zh-CN"/>
        </w:rPr>
        <w:t>0.98</w:t>
      </w:r>
      <w:r>
        <w:rPr>
          <w:rFonts w:hint="eastAsia" w:ascii="仿宋_GB2312" w:hAnsi="仿宋_GB2312" w:eastAsia="仿宋_GB2312" w:cs="仿宋_GB2312"/>
          <w:color w:val="000000"/>
          <w:sz w:val="32"/>
          <w:szCs w:val="32"/>
          <w:highlight w:val="none"/>
          <w:shd w:val="clear" w:color="auto" w:fill="auto"/>
        </w:rPr>
        <w:t>万元，完成预算的</w:t>
      </w:r>
      <w:r>
        <w:rPr>
          <w:rFonts w:hint="eastAsia" w:ascii="仿宋_GB2312" w:hAnsi="仿宋_GB2312" w:eastAsia="仿宋_GB2312" w:cs="仿宋_GB2312"/>
          <w:color w:val="000000"/>
          <w:sz w:val="32"/>
          <w:szCs w:val="32"/>
          <w:highlight w:val="none"/>
          <w:shd w:val="clear" w:color="auto" w:fill="auto"/>
          <w:lang w:val="en-US" w:eastAsia="zh-CN"/>
        </w:rPr>
        <w:t>98.00</w:t>
      </w:r>
      <w:r>
        <w:rPr>
          <w:rFonts w:hint="eastAsia" w:ascii="仿宋_GB2312" w:hAnsi="仿宋_GB2312" w:eastAsia="仿宋_GB2312" w:cs="仿宋_GB2312"/>
          <w:color w:val="000000"/>
          <w:sz w:val="32"/>
          <w:szCs w:val="32"/>
          <w:highlight w:val="none"/>
          <w:shd w:val="clear" w:color="auto" w:fill="auto"/>
        </w:rPr>
        <w:t>%。决算数与预算数存在差异的主要原因是</w:t>
      </w:r>
      <w:r>
        <w:rPr>
          <w:rFonts w:hint="eastAsia" w:ascii="仿宋_GB2312" w:hAnsi="仿宋_GB2312" w:eastAsia="仿宋_GB2312" w:cs="仿宋_GB2312"/>
          <w:color w:val="000000"/>
          <w:sz w:val="32"/>
          <w:szCs w:val="32"/>
          <w:highlight w:val="none"/>
          <w:shd w:val="clear" w:color="auto" w:fill="auto"/>
          <w:lang w:eastAsia="zh-CN"/>
        </w:rPr>
        <w:t>严格按照政策，厉行节俭政策，压缩三公经费支出</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其中：</w:t>
      </w:r>
    </w:p>
    <w:p>
      <w:pPr>
        <w:widowControl/>
        <w:spacing w:line="590" w:lineRule="exact"/>
        <w:ind w:firstLine="642" w:firstLineChars="200"/>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b/>
          <w:bCs/>
          <w:color w:val="000000"/>
          <w:sz w:val="32"/>
          <w:szCs w:val="32"/>
          <w:highlight w:val="none"/>
          <w:shd w:val="clear" w:color="auto" w:fill="auto"/>
        </w:rPr>
        <w:t>公务用车购置支出</w:t>
      </w:r>
      <w:r>
        <w:rPr>
          <w:rFonts w:hint="eastAsia" w:ascii="仿宋_GB2312" w:hAnsi="仿宋_GB2312" w:eastAsia="仿宋_GB2312" w:cs="仿宋_GB2312"/>
          <w:color w:val="000000"/>
          <w:sz w:val="32"/>
          <w:szCs w:val="32"/>
          <w:highlight w:val="none"/>
          <w:shd w:val="clear" w:color="auto" w:fill="auto"/>
        </w:rPr>
        <w:t>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万元，购置车辆</w:t>
      </w:r>
      <w:r>
        <w:rPr>
          <w:rFonts w:hint="eastAsia" w:ascii="仿宋_GB2312" w:hAnsi="仿宋_GB2312" w:eastAsia="仿宋_GB2312" w:cs="仿宋_GB2312"/>
          <w:color w:val="000000"/>
          <w:sz w:val="32"/>
          <w:szCs w:val="32"/>
          <w:highlight w:val="none"/>
          <w:shd w:val="clear" w:color="auto" w:fill="auto"/>
          <w:lang w:val="en-US" w:eastAsia="zh-CN"/>
        </w:rPr>
        <w:t>0</w:t>
      </w:r>
      <w:r>
        <w:rPr>
          <w:rFonts w:hint="eastAsia" w:ascii="仿宋_GB2312" w:hAnsi="仿宋_GB2312" w:eastAsia="仿宋_GB2312" w:cs="仿宋_GB2312"/>
          <w:color w:val="000000"/>
          <w:sz w:val="32"/>
          <w:szCs w:val="32"/>
          <w:highlight w:val="none"/>
          <w:shd w:val="clear" w:color="auto" w:fill="auto"/>
        </w:rPr>
        <w:t>台</w:t>
      </w:r>
      <w:r>
        <w:rPr>
          <w:rFonts w:hint="eastAsia" w:ascii="仿宋_GB2312" w:hAnsi="仿宋_GB2312" w:eastAsia="仿宋_GB2312" w:cs="仿宋_GB2312"/>
          <w:color w:val="000000"/>
          <w:sz w:val="32"/>
          <w:szCs w:val="32"/>
          <w:highlight w:val="none"/>
          <w:shd w:val="clear" w:color="auto" w:fill="auto"/>
          <w:lang w:eastAsia="zh-CN"/>
        </w:rPr>
        <w:t>。</w:t>
      </w:r>
    </w:p>
    <w:p>
      <w:pPr>
        <w:widowControl/>
        <w:spacing w:line="590" w:lineRule="exact"/>
        <w:ind w:firstLine="642" w:firstLineChars="2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color w:val="000000"/>
          <w:sz w:val="32"/>
          <w:szCs w:val="32"/>
          <w:highlight w:val="none"/>
          <w:shd w:val="clear" w:color="auto" w:fill="auto"/>
        </w:rPr>
        <w:t>公务用车运行支出</w:t>
      </w:r>
      <w:r>
        <w:rPr>
          <w:rFonts w:hint="eastAsia" w:ascii="仿宋_GB2312" w:hAnsi="仿宋_GB2312" w:eastAsia="仿宋_GB2312" w:cs="仿宋_GB2312"/>
          <w:color w:val="000000"/>
          <w:sz w:val="32"/>
          <w:szCs w:val="32"/>
          <w:highlight w:val="none"/>
          <w:shd w:val="clear" w:color="auto" w:fill="auto"/>
          <w:lang w:val="en-US" w:eastAsia="zh-CN"/>
        </w:rPr>
        <w:t>0.98</w:t>
      </w:r>
      <w:r>
        <w:rPr>
          <w:rFonts w:hint="eastAsia" w:ascii="仿宋_GB2312" w:hAnsi="仿宋_GB2312" w:eastAsia="仿宋_GB2312" w:cs="仿宋_GB2312"/>
          <w:color w:val="000000"/>
          <w:sz w:val="32"/>
          <w:szCs w:val="32"/>
          <w:highlight w:val="none"/>
          <w:shd w:val="clear" w:color="auto" w:fill="auto"/>
        </w:rPr>
        <w:t>万元。主要用于</w:t>
      </w:r>
      <w:r>
        <w:rPr>
          <w:rFonts w:hint="eastAsia" w:ascii="仿宋_GB2312" w:hAnsi="仿宋_GB2312" w:eastAsia="仿宋_GB2312" w:cs="仿宋_GB2312"/>
          <w:color w:val="000000"/>
          <w:sz w:val="32"/>
          <w:szCs w:val="32"/>
          <w:highlight w:val="none"/>
          <w:shd w:val="clear" w:color="auto" w:fill="auto"/>
          <w:lang w:eastAsia="zh-CN"/>
        </w:rPr>
        <w:t>日常加油及维修支出</w:t>
      </w:r>
      <w:r>
        <w:rPr>
          <w:rFonts w:hint="eastAsia" w:ascii="仿宋_GB2312" w:hAnsi="仿宋_GB2312" w:eastAsia="仿宋_GB2312" w:cs="仿宋_GB2312"/>
          <w:color w:val="000000"/>
          <w:sz w:val="32"/>
          <w:szCs w:val="32"/>
          <w:highlight w:val="none"/>
          <w:shd w:val="clear" w:color="auto" w:fill="auto"/>
        </w:rPr>
        <w:t>。</w:t>
      </w: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年期末，单位开支财政拨款的公务用车保有量为</w:t>
      </w:r>
      <w:r>
        <w:rPr>
          <w:rFonts w:hint="eastAsia" w:ascii="仿宋_GB2312" w:hAnsi="仿宋_GB2312" w:eastAsia="仿宋_GB2312" w:cs="仿宋_GB2312"/>
          <w:color w:val="000000"/>
          <w:sz w:val="32"/>
          <w:szCs w:val="32"/>
          <w:highlight w:val="none"/>
          <w:shd w:val="clear" w:color="auto" w:fill="auto"/>
          <w:lang w:val="en-US" w:eastAsia="zh-CN"/>
        </w:rPr>
        <w:t>1</w:t>
      </w:r>
      <w:r>
        <w:rPr>
          <w:rFonts w:hint="eastAsia" w:ascii="仿宋_GB2312" w:hAnsi="仿宋_GB2312" w:eastAsia="仿宋_GB2312" w:cs="仿宋_GB2312"/>
          <w:color w:val="000000"/>
          <w:sz w:val="32"/>
          <w:szCs w:val="32"/>
          <w:highlight w:val="none"/>
          <w:shd w:val="clear" w:color="auto" w:fill="auto"/>
          <w:lang w:eastAsia="zh-CN"/>
        </w:rPr>
        <w:t>辆</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2" w:firstLineChars="200"/>
        <w:rPr>
          <w:rFonts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color w:val="000000"/>
          <w:sz w:val="32"/>
          <w:szCs w:val="32"/>
          <w:highlight w:val="none"/>
          <w:shd w:val="clear" w:color="auto" w:fill="auto"/>
        </w:rPr>
        <w:t>3.公务接待费</w:t>
      </w:r>
      <w:r>
        <w:rPr>
          <w:rFonts w:hint="eastAsia" w:ascii="仿宋_GB2312" w:hAnsi="仿宋_GB2312" w:eastAsia="仿宋_GB2312" w:cs="仿宋_GB2312"/>
          <w:color w:val="000000"/>
          <w:sz w:val="32"/>
          <w:szCs w:val="32"/>
          <w:highlight w:val="none"/>
          <w:shd w:val="clear" w:color="auto" w:fill="auto"/>
        </w:rPr>
        <w:t>预算为</w:t>
      </w:r>
      <w:r>
        <w:rPr>
          <w:rFonts w:hint="eastAsia" w:ascii="仿宋_GB2312" w:hAnsi="仿宋_GB2312" w:eastAsia="仿宋_GB2312" w:cs="仿宋_GB2312"/>
          <w:color w:val="000000"/>
          <w:sz w:val="32"/>
          <w:szCs w:val="32"/>
          <w:highlight w:val="none"/>
          <w:shd w:val="clear" w:color="auto" w:fill="auto"/>
          <w:lang w:val="en-US" w:eastAsia="zh-CN"/>
        </w:rPr>
        <w:t>11.04</w:t>
      </w:r>
      <w:r>
        <w:rPr>
          <w:rFonts w:hint="eastAsia" w:ascii="仿宋_GB2312" w:hAnsi="仿宋_GB2312" w:eastAsia="仿宋_GB2312" w:cs="仿宋_GB2312"/>
          <w:color w:val="000000"/>
          <w:sz w:val="32"/>
          <w:szCs w:val="32"/>
          <w:highlight w:val="none"/>
          <w:shd w:val="clear" w:color="auto" w:fill="auto"/>
        </w:rPr>
        <w:t>万元，支出决算为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万元，完成预算的</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%。决算数与预算数存在差异</w:t>
      </w:r>
      <w:r>
        <w:rPr>
          <w:rFonts w:hint="eastAsia" w:ascii="仿宋_GB2312" w:hAnsi="仿宋_GB2312" w:eastAsia="仿宋_GB2312" w:cs="仿宋_GB2312"/>
          <w:color w:val="000000"/>
          <w:sz w:val="32"/>
          <w:szCs w:val="32"/>
          <w:highlight w:val="none"/>
          <w:shd w:val="clear" w:color="auto" w:fill="auto"/>
          <w:lang w:eastAsia="zh-CN"/>
        </w:rPr>
        <w:t>的原因是：未进行公务接待活动。其中：</w:t>
      </w:r>
      <w:r>
        <w:rPr>
          <w:rFonts w:hint="eastAsia" w:ascii="仿宋_GB2312" w:hAnsi="仿宋_GB2312" w:eastAsia="仿宋_GB2312" w:cs="仿宋_GB2312"/>
          <w:b/>
          <w:bCs/>
          <w:color w:val="000000"/>
          <w:sz w:val="32"/>
          <w:szCs w:val="32"/>
          <w:highlight w:val="none"/>
          <w:shd w:val="clear" w:color="auto" w:fill="auto"/>
        </w:rPr>
        <w:t>外宾接待支出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w:t>
      </w:r>
      <w:r>
        <w:rPr>
          <w:rFonts w:hint="eastAsia" w:ascii="仿宋_GB2312" w:hAnsi="Times New Roman" w:eastAsia="仿宋_GB2312" w:cs="仿宋_GB2312"/>
          <w:kern w:val="2"/>
          <w:sz w:val="32"/>
          <w:szCs w:val="32"/>
          <w:lang w:val="en-US" w:eastAsia="zh-CN" w:bidi="ar"/>
        </w:rPr>
        <w:t>2021年共接待国（境）外来访团组</w:t>
      </w:r>
      <w:r>
        <w:rPr>
          <w:rFonts w:hint="eastAsia" w:ascii="仿宋_GB2312" w:eastAsia="仿宋_GB2312" w:cs="仿宋_GB2312"/>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个、来访外宾</w:t>
      </w:r>
      <w:r>
        <w:rPr>
          <w:rFonts w:hint="eastAsia" w:ascii="仿宋_GB2312" w:eastAsia="仿宋_GB2312" w:cs="仿宋_GB2312"/>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人次（不包括陪同人员）。</w:t>
      </w:r>
    </w:p>
    <w:p>
      <w:pPr>
        <w:keepNext w:val="0"/>
        <w:keepLines w:val="0"/>
        <w:widowControl/>
        <w:suppressLineNumbers w:val="0"/>
        <w:spacing w:before="0" w:beforeAutospacing="0" w:after="0" w:afterAutospacing="0" w:line="590" w:lineRule="exact"/>
        <w:ind w:right="0"/>
        <w:jc w:val="both"/>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color w:val="000000"/>
          <w:sz w:val="32"/>
          <w:szCs w:val="32"/>
          <w:highlight w:val="none"/>
          <w:shd w:val="clear" w:color="auto" w:fill="auto"/>
        </w:rPr>
        <w:t>其他国内公务接待支出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w:t>
      </w:r>
      <w:r>
        <w:rPr>
          <w:rFonts w:hint="eastAsia" w:ascii="仿宋_GB2312" w:hAnsi="Times New Roman" w:eastAsia="仿宋_GB2312" w:cs="仿宋_GB2312"/>
          <w:kern w:val="2"/>
          <w:sz w:val="32"/>
          <w:szCs w:val="32"/>
          <w:lang w:val="en-US" w:eastAsia="zh-CN" w:bidi="ar"/>
        </w:rPr>
        <w:t>2021年共接待国内来访团组</w:t>
      </w:r>
      <w:r>
        <w:rPr>
          <w:rFonts w:hint="eastAsia" w:ascii="仿宋_GB2312" w:eastAsia="仿宋_GB2312" w:cs="仿宋_GB2312"/>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个、来宾</w:t>
      </w:r>
      <w:r>
        <w:rPr>
          <w:rFonts w:hint="eastAsia" w:ascii="仿宋_GB2312" w:eastAsia="仿宋_GB2312" w:cs="仿宋_GB2312"/>
          <w:kern w:val="2"/>
          <w:sz w:val="32"/>
          <w:szCs w:val="32"/>
          <w:lang w:val="en-US" w:eastAsia="zh-CN" w:bidi="ar"/>
        </w:rPr>
        <w:t>0</w:t>
      </w:r>
      <w:r>
        <w:rPr>
          <w:rFonts w:hint="eastAsia" w:ascii="仿宋_GB2312" w:hAnsi="Times New Roman" w:eastAsia="仿宋_GB2312" w:cs="仿宋_GB2312"/>
          <w:kern w:val="2"/>
          <w:sz w:val="32"/>
          <w:szCs w:val="32"/>
          <w:lang w:val="en-US" w:eastAsia="zh-CN" w:bidi="ar"/>
        </w:rPr>
        <w:t>人次（不包括陪同人员）。</w:t>
      </w: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年度政府性基金预算财政拨款支出</w:t>
      </w:r>
      <w:r>
        <w:rPr>
          <w:rFonts w:hint="eastAsia" w:ascii="仿宋_GB2312" w:hAnsi="仿宋_GB2312" w:eastAsia="仿宋_GB2312" w:cs="仿宋_GB2312"/>
          <w:color w:val="000000"/>
          <w:sz w:val="32"/>
          <w:szCs w:val="32"/>
          <w:highlight w:val="none"/>
          <w:shd w:val="clear" w:color="auto" w:fill="auto"/>
          <w:lang w:eastAsia="zh-CN"/>
        </w:rPr>
        <w:t>年初</w:t>
      </w:r>
      <w:r>
        <w:rPr>
          <w:rFonts w:hint="eastAsia" w:ascii="仿宋_GB2312" w:hAnsi="仿宋_GB2312" w:eastAsia="仿宋_GB2312" w:cs="仿宋_GB2312"/>
          <w:color w:val="000000"/>
          <w:sz w:val="32"/>
          <w:szCs w:val="32"/>
          <w:highlight w:val="none"/>
          <w:shd w:val="clear" w:color="auto" w:fill="auto"/>
        </w:rPr>
        <w:t>预算为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万元，支出决算为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w:t>
      </w:r>
      <w:r>
        <w:rPr>
          <w:rFonts w:hint="eastAsia" w:ascii="仿宋_GB2312" w:hAnsi="仿宋_GB2312" w:eastAsia="仿宋_GB2312" w:cs="仿宋_GB2312"/>
          <w:color w:val="000000"/>
          <w:sz w:val="32"/>
          <w:szCs w:val="32"/>
          <w:highlight w:val="none"/>
          <w:shd w:val="clear" w:color="auto" w:fill="auto"/>
          <w:lang w:eastAsia="zh-CN"/>
        </w:rPr>
        <w:t>不存在项目年末结转和结余资金数额较大。情况说明：我单位</w:t>
      </w:r>
      <w:r>
        <w:rPr>
          <w:rFonts w:hint="eastAsia" w:ascii="仿宋_GB2312" w:hAnsi="仿宋_GB2312" w:eastAsia="仿宋_GB2312" w:cs="仿宋_GB2312"/>
          <w:color w:val="000000"/>
          <w:sz w:val="32"/>
          <w:szCs w:val="32"/>
          <w:highlight w:val="none"/>
          <w:shd w:val="clear" w:color="auto" w:fill="auto"/>
          <w:lang w:val="en-US" w:eastAsia="zh-CN"/>
        </w:rPr>
        <w:t>2021年度没有政府性基金收入，也没有使用政府性基金笔款安排的支出。</w:t>
      </w: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九、机关运行经费支出情况说明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十、政府采购支出情况说明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年度政府采购支出总额</w:t>
      </w:r>
      <w:r>
        <w:rPr>
          <w:rFonts w:hint="eastAsia" w:ascii="仿宋_GB2312" w:hAnsi="仿宋_GB2312" w:eastAsia="仿宋_GB2312" w:cs="仿宋_GB2312"/>
          <w:color w:val="000000"/>
          <w:sz w:val="32"/>
          <w:szCs w:val="32"/>
          <w:highlight w:val="none"/>
          <w:shd w:val="clear" w:color="auto" w:fill="auto"/>
          <w:lang w:val="en-US" w:eastAsia="zh-CN"/>
        </w:rPr>
        <w:t>23.69</w:t>
      </w:r>
      <w:r>
        <w:rPr>
          <w:rFonts w:hint="eastAsia" w:ascii="仿宋_GB2312" w:hAnsi="仿宋_GB2312" w:eastAsia="仿宋_GB2312" w:cs="仿宋_GB2312"/>
          <w:color w:val="000000"/>
          <w:sz w:val="32"/>
          <w:szCs w:val="32"/>
          <w:highlight w:val="none"/>
          <w:shd w:val="clear" w:color="auto" w:fill="auto"/>
        </w:rPr>
        <w:t>万元，其中：政府采购货物支出</w:t>
      </w:r>
      <w:r>
        <w:rPr>
          <w:rFonts w:hint="eastAsia" w:ascii="仿宋_GB2312" w:hAnsi="仿宋_GB2312" w:eastAsia="仿宋_GB2312" w:cs="仿宋_GB2312"/>
          <w:color w:val="000000"/>
          <w:sz w:val="32"/>
          <w:szCs w:val="32"/>
          <w:highlight w:val="none"/>
          <w:shd w:val="clear" w:color="auto" w:fill="auto"/>
          <w:lang w:val="en-US" w:eastAsia="zh-CN"/>
        </w:rPr>
        <w:t>23.69</w:t>
      </w:r>
      <w:r>
        <w:rPr>
          <w:rFonts w:hint="eastAsia" w:ascii="仿宋_GB2312" w:hAnsi="仿宋_GB2312" w:eastAsia="仿宋_GB2312" w:cs="仿宋_GB2312"/>
          <w:color w:val="000000"/>
          <w:sz w:val="32"/>
          <w:szCs w:val="32"/>
          <w:highlight w:val="none"/>
          <w:shd w:val="clear" w:color="auto" w:fill="auto"/>
        </w:rPr>
        <w:t>万元、政府采购工程支出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万元、政府采购服务支出</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万元。授予中小企业合同金额</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万元，占政府采购支出总额的</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%，其中：授予小微企业合同金额</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万元，占政府采购支出总额的</w:t>
      </w:r>
      <w:r>
        <w:rPr>
          <w:rFonts w:hint="eastAsia" w:ascii="仿宋_GB2312" w:hAnsi="仿宋_GB2312" w:eastAsia="仿宋_GB2312" w:cs="仿宋_GB2312"/>
          <w:color w:val="000000"/>
          <w:sz w:val="32"/>
          <w:szCs w:val="32"/>
          <w:highlight w:val="none"/>
          <w:shd w:val="clear" w:color="auto" w:fill="auto"/>
          <w:lang w:val="en-US" w:eastAsia="zh-CN"/>
        </w:rPr>
        <w:t>0.00</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十一、国有资产占用情况说明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年期末，我单位共有车辆</w:t>
      </w:r>
      <w:r>
        <w:rPr>
          <w:rFonts w:hint="eastAsia" w:ascii="仿宋_GB2312" w:hAnsi="仿宋_GB2312" w:eastAsia="仿宋_GB2312" w:cs="仿宋_GB2312"/>
          <w:color w:val="000000"/>
          <w:sz w:val="32"/>
          <w:szCs w:val="32"/>
          <w:highlight w:val="none"/>
          <w:shd w:val="clear" w:color="auto" w:fill="auto"/>
          <w:lang w:val="en-US" w:eastAsia="zh-CN"/>
        </w:rPr>
        <w:t>1</w:t>
      </w:r>
      <w:r>
        <w:rPr>
          <w:rFonts w:hint="eastAsia" w:ascii="仿宋_GB2312" w:hAnsi="仿宋_GB2312" w:eastAsia="仿宋_GB2312" w:cs="仿宋_GB2312"/>
          <w:color w:val="000000"/>
          <w:sz w:val="32"/>
          <w:szCs w:val="32"/>
          <w:highlight w:val="none"/>
          <w:shd w:val="clear" w:color="auto" w:fill="auto"/>
        </w:rPr>
        <w:t>辆，其中：省级领导干部用车</w:t>
      </w:r>
      <w:r>
        <w:rPr>
          <w:rFonts w:hint="eastAsia" w:ascii="仿宋_GB2312" w:hAnsi="仿宋_GB2312" w:eastAsia="仿宋_GB2312" w:cs="仿宋_GB2312"/>
          <w:color w:val="000000"/>
          <w:sz w:val="32"/>
          <w:szCs w:val="32"/>
          <w:highlight w:val="none"/>
          <w:shd w:val="clear" w:color="auto" w:fill="auto"/>
          <w:lang w:val="en-US" w:eastAsia="zh-CN"/>
        </w:rPr>
        <w:t>0</w:t>
      </w:r>
      <w:r>
        <w:rPr>
          <w:rFonts w:hint="eastAsia" w:ascii="仿宋_GB2312" w:hAnsi="仿宋_GB2312" w:eastAsia="仿宋_GB2312" w:cs="仿宋_GB2312"/>
          <w:color w:val="000000"/>
          <w:sz w:val="32"/>
          <w:szCs w:val="32"/>
          <w:highlight w:val="none"/>
          <w:shd w:val="clear" w:color="auto" w:fill="auto"/>
        </w:rPr>
        <w:t>辆、主要领导干部用车</w:t>
      </w:r>
      <w:r>
        <w:rPr>
          <w:rFonts w:hint="eastAsia" w:ascii="仿宋_GB2312" w:hAnsi="仿宋_GB2312" w:eastAsia="仿宋_GB2312" w:cs="仿宋_GB2312"/>
          <w:color w:val="000000"/>
          <w:sz w:val="32"/>
          <w:szCs w:val="32"/>
          <w:highlight w:val="none"/>
          <w:shd w:val="clear" w:color="auto" w:fill="auto"/>
          <w:lang w:val="en-US" w:eastAsia="zh-CN"/>
        </w:rPr>
        <w:t>0</w:t>
      </w:r>
      <w:r>
        <w:rPr>
          <w:rFonts w:hint="eastAsia" w:ascii="仿宋_GB2312" w:hAnsi="仿宋_GB2312" w:eastAsia="仿宋_GB2312" w:cs="仿宋_GB2312"/>
          <w:color w:val="000000"/>
          <w:sz w:val="32"/>
          <w:szCs w:val="32"/>
          <w:highlight w:val="none"/>
          <w:shd w:val="clear" w:color="auto" w:fill="auto"/>
        </w:rPr>
        <w:t>辆、机要通信用车</w:t>
      </w:r>
      <w:r>
        <w:rPr>
          <w:rFonts w:hint="eastAsia" w:ascii="仿宋_GB2312" w:hAnsi="仿宋_GB2312" w:eastAsia="仿宋_GB2312" w:cs="仿宋_GB2312"/>
          <w:color w:val="000000"/>
          <w:sz w:val="32"/>
          <w:szCs w:val="32"/>
          <w:highlight w:val="none"/>
          <w:shd w:val="clear" w:color="auto" w:fill="auto"/>
          <w:lang w:val="en-US" w:eastAsia="zh-CN"/>
        </w:rPr>
        <w:t>0</w:t>
      </w:r>
      <w:r>
        <w:rPr>
          <w:rFonts w:hint="eastAsia" w:ascii="仿宋_GB2312" w:hAnsi="仿宋_GB2312" w:eastAsia="仿宋_GB2312" w:cs="仿宋_GB2312"/>
          <w:color w:val="000000"/>
          <w:sz w:val="32"/>
          <w:szCs w:val="32"/>
          <w:highlight w:val="none"/>
          <w:shd w:val="clear" w:color="auto" w:fill="auto"/>
        </w:rPr>
        <w:t>辆、应急保障车</w:t>
      </w:r>
      <w:r>
        <w:rPr>
          <w:rFonts w:hint="eastAsia" w:ascii="仿宋_GB2312" w:hAnsi="仿宋_GB2312" w:eastAsia="仿宋_GB2312" w:cs="仿宋_GB2312"/>
          <w:color w:val="000000"/>
          <w:sz w:val="32"/>
          <w:szCs w:val="32"/>
          <w:highlight w:val="none"/>
          <w:shd w:val="clear" w:color="auto" w:fill="auto"/>
          <w:lang w:val="en-US" w:eastAsia="zh-CN"/>
        </w:rPr>
        <w:t>0</w:t>
      </w:r>
      <w:r>
        <w:rPr>
          <w:rFonts w:hint="eastAsia" w:ascii="仿宋_GB2312" w:hAnsi="仿宋_GB2312" w:eastAsia="仿宋_GB2312" w:cs="仿宋_GB2312"/>
          <w:color w:val="000000"/>
          <w:sz w:val="32"/>
          <w:szCs w:val="32"/>
          <w:highlight w:val="none"/>
          <w:shd w:val="clear" w:color="auto" w:fill="auto"/>
        </w:rPr>
        <w:t>辆、执法执勤用车</w:t>
      </w:r>
      <w:r>
        <w:rPr>
          <w:rFonts w:hint="eastAsia" w:ascii="仿宋_GB2312" w:hAnsi="仿宋_GB2312" w:eastAsia="仿宋_GB2312" w:cs="仿宋_GB2312"/>
          <w:color w:val="000000"/>
          <w:sz w:val="32"/>
          <w:szCs w:val="32"/>
          <w:highlight w:val="none"/>
          <w:shd w:val="clear" w:color="auto" w:fill="auto"/>
          <w:lang w:val="en-US" w:eastAsia="zh-CN"/>
        </w:rPr>
        <w:t>0</w:t>
      </w:r>
      <w:r>
        <w:rPr>
          <w:rFonts w:hint="eastAsia" w:ascii="仿宋_GB2312" w:hAnsi="仿宋_GB2312" w:eastAsia="仿宋_GB2312" w:cs="仿宋_GB2312"/>
          <w:color w:val="000000"/>
          <w:sz w:val="32"/>
          <w:szCs w:val="32"/>
          <w:highlight w:val="none"/>
          <w:shd w:val="clear" w:color="auto" w:fill="auto"/>
        </w:rPr>
        <w:t>辆、特种专业技术用车</w:t>
      </w:r>
      <w:r>
        <w:rPr>
          <w:rFonts w:hint="eastAsia" w:ascii="仿宋_GB2312" w:hAnsi="仿宋_GB2312" w:eastAsia="仿宋_GB2312" w:cs="仿宋_GB2312"/>
          <w:color w:val="000000"/>
          <w:sz w:val="32"/>
          <w:szCs w:val="32"/>
          <w:highlight w:val="none"/>
          <w:shd w:val="clear" w:color="auto" w:fill="auto"/>
          <w:lang w:val="en-US" w:eastAsia="zh-CN"/>
        </w:rPr>
        <w:t>0</w:t>
      </w:r>
      <w:r>
        <w:rPr>
          <w:rFonts w:hint="eastAsia" w:ascii="仿宋_GB2312" w:hAnsi="仿宋_GB2312" w:eastAsia="仿宋_GB2312" w:cs="仿宋_GB2312"/>
          <w:color w:val="000000"/>
          <w:sz w:val="32"/>
          <w:szCs w:val="32"/>
          <w:highlight w:val="none"/>
          <w:shd w:val="clear" w:color="auto" w:fill="auto"/>
        </w:rPr>
        <w:t>辆、离退休干部用车</w:t>
      </w:r>
      <w:r>
        <w:rPr>
          <w:rFonts w:hint="eastAsia" w:ascii="仿宋_GB2312" w:hAnsi="仿宋_GB2312" w:eastAsia="仿宋_GB2312" w:cs="仿宋_GB2312"/>
          <w:color w:val="000000"/>
          <w:sz w:val="32"/>
          <w:szCs w:val="32"/>
          <w:highlight w:val="none"/>
          <w:shd w:val="clear" w:color="auto" w:fill="auto"/>
          <w:lang w:val="en-US" w:eastAsia="zh-CN"/>
        </w:rPr>
        <w:t>0</w:t>
      </w:r>
      <w:r>
        <w:rPr>
          <w:rFonts w:hint="eastAsia" w:ascii="仿宋_GB2312" w:hAnsi="仿宋_GB2312" w:eastAsia="仿宋_GB2312" w:cs="仿宋_GB2312"/>
          <w:color w:val="000000"/>
          <w:sz w:val="32"/>
          <w:szCs w:val="32"/>
          <w:highlight w:val="none"/>
          <w:shd w:val="clear" w:color="auto" w:fill="auto"/>
        </w:rPr>
        <w:t>辆、其他用车</w:t>
      </w:r>
      <w:r>
        <w:rPr>
          <w:rFonts w:hint="eastAsia" w:ascii="仿宋_GB2312" w:hAnsi="仿宋_GB2312" w:eastAsia="仿宋_GB2312" w:cs="仿宋_GB2312"/>
          <w:color w:val="000000"/>
          <w:sz w:val="32"/>
          <w:szCs w:val="32"/>
          <w:highlight w:val="none"/>
          <w:shd w:val="clear" w:color="auto" w:fill="auto"/>
          <w:lang w:val="en-US" w:eastAsia="zh-CN"/>
        </w:rPr>
        <w:t>1</w:t>
      </w:r>
      <w:r>
        <w:rPr>
          <w:rFonts w:hint="eastAsia" w:ascii="仿宋_GB2312" w:hAnsi="仿宋_GB2312" w:eastAsia="仿宋_GB2312" w:cs="仿宋_GB2312"/>
          <w:color w:val="000000"/>
          <w:sz w:val="32"/>
          <w:szCs w:val="32"/>
          <w:highlight w:val="none"/>
          <w:shd w:val="clear" w:color="auto" w:fill="auto"/>
        </w:rPr>
        <w:t>辆；单位价值50万元以上通用设备</w:t>
      </w:r>
      <w:r>
        <w:rPr>
          <w:rFonts w:hint="eastAsia" w:ascii="仿宋_GB2312" w:hAnsi="仿宋_GB2312" w:eastAsia="仿宋_GB2312" w:cs="仿宋_GB2312"/>
          <w:color w:val="000000"/>
          <w:sz w:val="32"/>
          <w:szCs w:val="32"/>
          <w:highlight w:val="none"/>
          <w:shd w:val="clear" w:color="auto" w:fill="auto"/>
          <w:lang w:val="en-US" w:eastAsia="zh-CN"/>
        </w:rPr>
        <w:t>0</w:t>
      </w:r>
      <w:r>
        <w:rPr>
          <w:rFonts w:hint="eastAsia" w:ascii="仿宋_GB2312" w:hAnsi="仿宋_GB2312" w:eastAsia="仿宋_GB2312" w:cs="仿宋_GB2312"/>
          <w:color w:val="000000"/>
          <w:sz w:val="32"/>
          <w:szCs w:val="32"/>
          <w:highlight w:val="none"/>
          <w:shd w:val="clear" w:color="auto" w:fill="auto"/>
        </w:rPr>
        <w:t>台（套），单位价值100万元以上专用设备</w:t>
      </w:r>
      <w:r>
        <w:rPr>
          <w:rFonts w:hint="eastAsia" w:ascii="仿宋_GB2312" w:hAnsi="仿宋_GB2312" w:eastAsia="仿宋_GB2312" w:cs="仿宋_GB2312"/>
          <w:color w:val="000000"/>
          <w:sz w:val="32"/>
          <w:szCs w:val="32"/>
          <w:highlight w:val="none"/>
          <w:shd w:val="clear" w:color="auto" w:fill="auto"/>
          <w:lang w:val="en-US" w:eastAsia="zh-CN"/>
        </w:rPr>
        <w:t>0</w:t>
      </w:r>
      <w:r>
        <w:rPr>
          <w:rFonts w:hint="eastAsia" w:ascii="仿宋_GB2312" w:hAnsi="仿宋_GB2312" w:eastAsia="仿宋_GB2312" w:cs="仿宋_GB2312"/>
          <w:color w:val="000000"/>
          <w:sz w:val="32"/>
          <w:szCs w:val="32"/>
          <w:highlight w:val="none"/>
          <w:shd w:val="clear" w:color="auto" w:fill="auto"/>
        </w:rPr>
        <w:t>台（套）。</w:t>
      </w:r>
    </w:p>
    <w:p>
      <w:pPr>
        <w:widowControl/>
        <w:spacing w:line="590" w:lineRule="exact"/>
        <w:ind w:firstLine="640" w:firstLineChars="200"/>
        <w:outlineLvl w:val="1"/>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000000"/>
          <w:sz w:val="32"/>
          <w:szCs w:val="32"/>
          <w:highlight w:val="none"/>
          <w:shd w:val="clear" w:color="auto" w:fill="auto"/>
          <w:lang w:val="en-US" w:eastAsia="zh-CN"/>
        </w:rPr>
      </w:pPr>
      <w:r>
        <w:rPr>
          <w:rFonts w:hint="eastAsia" w:ascii="楷体_GB2312" w:hAnsi="楷体_GB2312" w:eastAsia="楷体_GB2312" w:cs="楷体_GB2312"/>
          <w:b/>
          <w:bCs/>
          <w:color w:val="000000"/>
          <w:sz w:val="32"/>
          <w:szCs w:val="32"/>
          <w:highlight w:val="none"/>
          <w:shd w:val="clear" w:color="auto" w:fill="auto"/>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4516.4万元，其中：基本支出4373.4万元；支出项目1个，支出金额143万元。开展项目绩效自评项目0.00个，自评金额0.00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000000"/>
          <w:sz w:val="32"/>
          <w:szCs w:val="32"/>
          <w:highlight w:val="none"/>
          <w:shd w:val="clear" w:color="auto" w:fill="auto"/>
          <w:lang w:val="en-US" w:eastAsia="zh-CN"/>
        </w:rPr>
      </w:pPr>
      <w:r>
        <w:rPr>
          <w:rFonts w:hint="eastAsia" w:ascii="楷体_GB2312" w:hAnsi="楷体_GB2312" w:eastAsia="楷体_GB2312" w:cs="楷体_GB2312"/>
          <w:b/>
          <w:bCs/>
          <w:color w:val="000000"/>
          <w:sz w:val="32"/>
          <w:szCs w:val="32"/>
          <w:highlight w:val="none"/>
          <w:shd w:val="clear" w:color="auto" w:fill="auto"/>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严格按照预算绩效管理主体责任，以绩效目标为导向，做好绩效运行监控，提升绩效自评质量，整体来说我单位绩效自评状况良好。二是项目绩效自评情况：为充分发挥财政资金使用效益，严格按照预算绩效管理责任，针对购买资产采取保质保量完成任务。我单位共有1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lang w:val="en-US" w:eastAsia="zh-CN"/>
        </w:rPr>
        <w:t>基于项目预期目标的实现程度，对2021年度项目支出绩效进行自评，绩效自评平均得分为95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000000"/>
          <w:sz w:val="32"/>
          <w:szCs w:val="32"/>
          <w:highlight w:val="none"/>
          <w:shd w:val="clear" w:color="auto" w:fill="auto"/>
          <w:lang w:val="en-US" w:eastAsia="zh-CN"/>
        </w:rPr>
      </w:pPr>
      <w:r>
        <w:rPr>
          <w:rFonts w:hint="eastAsia" w:ascii="楷体_GB2312" w:hAnsi="楷体_GB2312" w:eastAsia="楷体_GB2312" w:cs="楷体_GB2312"/>
          <w:b/>
          <w:bCs/>
          <w:color w:val="000000"/>
          <w:sz w:val="32"/>
          <w:szCs w:val="32"/>
          <w:highlight w:val="none"/>
          <w:shd w:val="clear" w:color="auto" w:fill="auto"/>
          <w:lang w:val="en-US" w:eastAsia="zh-CN"/>
        </w:rPr>
        <w:t>（三）重点绩效评价结果。</w:t>
      </w:r>
    </w:p>
    <w:p>
      <w:pPr>
        <w:widowControl/>
        <w:jc w:val="left"/>
        <w:rPr>
          <w:rFonts w:hint="eastAsia" w:ascii="楷体_GB2312" w:hAnsi="楷体_GB2312" w:eastAsia="楷体_GB2312" w:cs="楷体_GB2312"/>
          <w:color w:val="000000"/>
          <w:kern w:val="0"/>
          <w:sz w:val="32"/>
          <w:szCs w:val="32"/>
          <w:highlight w:val="none"/>
          <w:shd w:val="clear" w:color="auto" w:fill="auto"/>
          <w:lang w:val="en-US" w:eastAsia="zh-CN"/>
        </w:rPr>
      </w:pPr>
      <w:r>
        <w:rPr>
          <w:rFonts w:hint="eastAsia" w:ascii="黑体" w:hAnsi="宋体" w:eastAsia="黑体" w:cs="宋体"/>
          <w:color w:val="000000"/>
          <w:kern w:val="0"/>
          <w:sz w:val="28"/>
          <w:szCs w:val="28"/>
          <w:highlight w:val="none"/>
          <w:shd w:val="clear" w:color="auto" w:fill="auto"/>
          <w:lang w:val="en-US" w:eastAsia="zh-CN"/>
        </w:rPr>
        <w:t xml:space="preserve">    </w:t>
      </w:r>
      <w:r>
        <w:rPr>
          <w:rFonts w:hint="eastAsia" w:ascii="楷体_GB2312" w:hAnsi="楷体_GB2312" w:eastAsia="楷体_GB2312" w:cs="楷体_GB2312"/>
          <w:color w:val="000000"/>
          <w:kern w:val="0"/>
          <w:sz w:val="32"/>
          <w:szCs w:val="32"/>
          <w:highlight w:val="none"/>
          <w:shd w:val="clear" w:color="auto" w:fill="auto"/>
          <w:lang w:val="en-US" w:eastAsia="zh-CN"/>
        </w:rPr>
        <w:t xml:space="preserve"> </w:t>
      </w:r>
      <w:r>
        <w:rPr>
          <w:rFonts w:hint="eastAsia" w:ascii="仿宋_GB2312" w:hAnsi="仿宋_GB2312" w:eastAsia="仿宋_GB2312" w:cs="仿宋_GB2312"/>
          <w:color w:val="000000"/>
          <w:kern w:val="0"/>
          <w:sz w:val="32"/>
          <w:szCs w:val="32"/>
          <w:highlight w:val="none"/>
          <w:shd w:val="clear" w:color="auto" w:fill="auto"/>
          <w:lang w:val="en-US" w:eastAsia="zh-CN"/>
        </w:rPr>
        <w:t xml:space="preserve"> 2021年度我单位没有开展重点绩</w:t>
      </w:r>
      <w:bookmarkStart w:id="0" w:name="_GoBack"/>
      <w:bookmarkEnd w:id="0"/>
      <w:r>
        <w:rPr>
          <w:rFonts w:hint="eastAsia" w:ascii="仿宋_GB2312" w:hAnsi="仿宋_GB2312" w:eastAsia="仿宋_GB2312" w:cs="仿宋_GB2312"/>
          <w:color w:val="000000"/>
          <w:kern w:val="0"/>
          <w:sz w:val="32"/>
          <w:szCs w:val="32"/>
          <w:highlight w:val="none"/>
          <w:shd w:val="clear" w:color="auto" w:fill="auto"/>
          <w:lang w:val="en-US" w:eastAsia="zh-CN"/>
        </w:rPr>
        <w:t>效评价的项目。</w:t>
      </w:r>
    </w:p>
    <w:p>
      <w:pPr>
        <w:widowControl/>
        <w:jc w:val="left"/>
        <w:rPr>
          <w:rFonts w:hint="eastAsia" w:ascii="楷体_GB2312" w:hAnsi="楷体_GB2312" w:eastAsia="楷体_GB2312" w:cs="楷体_GB2312"/>
          <w:color w:val="000000"/>
          <w:kern w:val="0"/>
          <w:sz w:val="32"/>
          <w:szCs w:val="32"/>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widowControl/>
        <w:jc w:val="left"/>
        <w:rPr>
          <w:rFonts w:hint="eastAsia" w:ascii="黑体" w:hAnsi="宋体" w:eastAsia="黑体" w:cs="宋体"/>
          <w:color w:val="000000"/>
          <w:kern w:val="0"/>
          <w:sz w:val="28"/>
          <w:szCs w:val="28"/>
          <w:highlight w:val="none"/>
          <w:shd w:val="clear" w:color="auto" w:fill="auto"/>
        </w:rPr>
      </w:pPr>
    </w:p>
    <w:p>
      <w:pPr>
        <w:jc w:val="center"/>
        <w:outlineLvl w:val="0"/>
        <w:rPr>
          <w:rFonts w:hint="eastAsia" w:ascii="黑体" w:hAnsi="黑体" w:eastAsia="黑体" w:cs="黑体"/>
          <w:color w:val="000000"/>
          <w:sz w:val="48"/>
          <w:szCs w:val="48"/>
          <w:highlight w:val="none"/>
          <w:shd w:val="clear" w:color="auto" w:fill="auto"/>
        </w:rPr>
      </w:pPr>
      <w:r>
        <w:rPr>
          <w:rFonts w:hint="eastAsia" w:ascii="黑体" w:hAnsi="黑体" w:eastAsia="黑体" w:cs="黑体"/>
          <w:color w:val="000000"/>
          <w:sz w:val="48"/>
          <w:szCs w:val="48"/>
          <w:highlight w:val="none"/>
          <w:shd w:val="clear" w:color="auto" w:fill="auto"/>
        </w:rPr>
        <w:t>第四部分  名词解释</w:t>
      </w:r>
    </w:p>
    <w:p>
      <w:pPr>
        <w:jc w:val="center"/>
        <w:rPr>
          <w:rFonts w:hint="eastAsia" w:ascii="黑体" w:hAnsi="黑体" w:eastAsia="黑体" w:cs="黑体"/>
          <w:color w:val="000000"/>
          <w:sz w:val="48"/>
          <w:szCs w:val="48"/>
          <w:highlight w:val="none"/>
          <w:shd w:val="clear" w:color="auto" w:fill="auto"/>
        </w:rPr>
      </w:pPr>
    </w:p>
    <w:p>
      <w:pPr>
        <w:jc w:val="center"/>
        <w:outlineLvl w:val="0"/>
        <w:rPr>
          <w:rFonts w:hint="eastAsia" w:ascii="黑体" w:hAnsi="黑体" w:eastAsia="黑体" w:cs="黑体"/>
          <w:color w:val="000000"/>
          <w:sz w:val="48"/>
          <w:szCs w:val="48"/>
          <w:highlight w:val="none"/>
          <w:shd w:val="clear" w:color="auto" w:fill="auto"/>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mFiOTU4ZjZkYzA4ZTExZGI4NzVhMjcxYTAxNG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381BBB"/>
    <w:rsid w:val="02A3489A"/>
    <w:rsid w:val="02CA138D"/>
    <w:rsid w:val="033646FC"/>
    <w:rsid w:val="03C75F80"/>
    <w:rsid w:val="0478364D"/>
    <w:rsid w:val="053D4C0D"/>
    <w:rsid w:val="0557532E"/>
    <w:rsid w:val="0799329C"/>
    <w:rsid w:val="07A82D77"/>
    <w:rsid w:val="08397436"/>
    <w:rsid w:val="086F16A7"/>
    <w:rsid w:val="0A0F7225"/>
    <w:rsid w:val="0A2B7D82"/>
    <w:rsid w:val="0A6B0EC0"/>
    <w:rsid w:val="0ADC40E9"/>
    <w:rsid w:val="0AE47061"/>
    <w:rsid w:val="0AE607F4"/>
    <w:rsid w:val="0B386127"/>
    <w:rsid w:val="0B451598"/>
    <w:rsid w:val="0B525474"/>
    <w:rsid w:val="0BEC73F4"/>
    <w:rsid w:val="0BF51056"/>
    <w:rsid w:val="0C392698"/>
    <w:rsid w:val="0F7D21B0"/>
    <w:rsid w:val="10BD36F6"/>
    <w:rsid w:val="10E76805"/>
    <w:rsid w:val="11BF0649"/>
    <w:rsid w:val="123E3E08"/>
    <w:rsid w:val="12406125"/>
    <w:rsid w:val="133212F4"/>
    <w:rsid w:val="13D22E22"/>
    <w:rsid w:val="15E00B0E"/>
    <w:rsid w:val="161C2DFF"/>
    <w:rsid w:val="16373578"/>
    <w:rsid w:val="16743431"/>
    <w:rsid w:val="16820CDA"/>
    <w:rsid w:val="16886944"/>
    <w:rsid w:val="16D3336B"/>
    <w:rsid w:val="17200028"/>
    <w:rsid w:val="17806C36"/>
    <w:rsid w:val="17A74F62"/>
    <w:rsid w:val="18A47774"/>
    <w:rsid w:val="18FD4CCF"/>
    <w:rsid w:val="19684357"/>
    <w:rsid w:val="19C544D0"/>
    <w:rsid w:val="19F94543"/>
    <w:rsid w:val="1A8D28EB"/>
    <w:rsid w:val="1A9F2D78"/>
    <w:rsid w:val="1B2E6FD8"/>
    <w:rsid w:val="1B877D21"/>
    <w:rsid w:val="1BD31A22"/>
    <w:rsid w:val="1C4319A9"/>
    <w:rsid w:val="1D4A7D05"/>
    <w:rsid w:val="1E443B4B"/>
    <w:rsid w:val="1E694E1A"/>
    <w:rsid w:val="1E994F4A"/>
    <w:rsid w:val="1EAF0224"/>
    <w:rsid w:val="1EB415D0"/>
    <w:rsid w:val="1F2230A4"/>
    <w:rsid w:val="20210932"/>
    <w:rsid w:val="202448E0"/>
    <w:rsid w:val="203D52D0"/>
    <w:rsid w:val="20F614FE"/>
    <w:rsid w:val="21302EEA"/>
    <w:rsid w:val="22376FB5"/>
    <w:rsid w:val="225F4A70"/>
    <w:rsid w:val="23E152D7"/>
    <w:rsid w:val="23EE2489"/>
    <w:rsid w:val="24FA75D7"/>
    <w:rsid w:val="255D43C8"/>
    <w:rsid w:val="26684A03"/>
    <w:rsid w:val="26714EF8"/>
    <w:rsid w:val="26876BDD"/>
    <w:rsid w:val="2714632A"/>
    <w:rsid w:val="27541E73"/>
    <w:rsid w:val="275E63B5"/>
    <w:rsid w:val="27831A43"/>
    <w:rsid w:val="27B0539E"/>
    <w:rsid w:val="29365CF8"/>
    <w:rsid w:val="299469B3"/>
    <w:rsid w:val="29D0366C"/>
    <w:rsid w:val="2A805789"/>
    <w:rsid w:val="2ADC0D75"/>
    <w:rsid w:val="2AE217A2"/>
    <w:rsid w:val="2B4A0E52"/>
    <w:rsid w:val="2BBA293F"/>
    <w:rsid w:val="2BF43FB1"/>
    <w:rsid w:val="2C2C361C"/>
    <w:rsid w:val="2C852A5B"/>
    <w:rsid w:val="2C975890"/>
    <w:rsid w:val="2DEF21BB"/>
    <w:rsid w:val="2E4A2F05"/>
    <w:rsid w:val="2EC12415"/>
    <w:rsid w:val="2ECC1061"/>
    <w:rsid w:val="2F7C062C"/>
    <w:rsid w:val="2FA476AD"/>
    <w:rsid w:val="303F7540"/>
    <w:rsid w:val="31CE36BB"/>
    <w:rsid w:val="31DD00BF"/>
    <w:rsid w:val="32095D94"/>
    <w:rsid w:val="32371C69"/>
    <w:rsid w:val="3293174C"/>
    <w:rsid w:val="32BB38D4"/>
    <w:rsid w:val="32C9376D"/>
    <w:rsid w:val="33780472"/>
    <w:rsid w:val="33AF0905"/>
    <w:rsid w:val="350D5687"/>
    <w:rsid w:val="355932F4"/>
    <w:rsid w:val="35611882"/>
    <w:rsid w:val="36746FC3"/>
    <w:rsid w:val="368763AE"/>
    <w:rsid w:val="38B369C1"/>
    <w:rsid w:val="38C76720"/>
    <w:rsid w:val="39081062"/>
    <w:rsid w:val="39497EC2"/>
    <w:rsid w:val="395D59E7"/>
    <w:rsid w:val="39A93932"/>
    <w:rsid w:val="3A915562"/>
    <w:rsid w:val="3B6543D0"/>
    <w:rsid w:val="3B8D4765"/>
    <w:rsid w:val="3C000DBA"/>
    <w:rsid w:val="3C024A7E"/>
    <w:rsid w:val="3DC045D3"/>
    <w:rsid w:val="3E504FFB"/>
    <w:rsid w:val="3E615CD0"/>
    <w:rsid w:val="3E9C47F6"/>
    <w:rsid w:val="3F8B0112"/>
    <w:rsid w:val="3FAB3095"/>
    <w:rsid w:val="3FE45947"/>
    <w:rsid w:val="401D2238"/>
    <w:rsid w:val="41242965"/>
    <w:rsid w:val="4232123B"/>
    <w:rsid w:val="435671EA"/>
    <w:rsid w:val="43C65955"/>
    <w:rsid w:val="440809E9"/>
    <w:rsid w:val="442407A6"/>
    <w:rsid w:val="44805EA1"/>
    <w:rsid w:val="44AC3F1B"/>
    <w:rsid w:val="455278CA"/>
    <w:rsid w:val="45710696"/>
    <w:rsid w:val="46142B1B"/>
    <w:rsid w:val="47E60DD0"/>
    <w:rsid w:val="48735039"/>
    <w:rsid w:val="492C684B"/>
    <w:rsid w:val="49500594"/>
    <w:rsid w:val="49E7604E"/>
    <w:rsid w:val="4BF67CDD"/>
    <w:rsid w:val="4C8E2AA9"/>
    <w:rsid w:val="4CFC44B6"/>
    <w:rsid w:val="4D173441"/>
    <w:rsid w:val="4D603DD6"/>
    <w:rsid w:val="4EBF010F"/>
    <w:rsid w:val="4F3E7C98"/>
    <w:rsid w:val="4F471EB0"/>
    <w:rsid w:val="4FBC68DA"/>
    <w:rsid w:val="5093730E"/>
    <w:rsid w:val="50C4139F"/>
    <w:rsid w:val="51331326"/>
    <w:rsid w:val="51740A7F"/>
    <w:rsid w:val="51A5541E"/>
    <w:rsid w:val="51C96242"/>
    <w:rsid w:val="52663BFD"/>
    <w:rsid w:val="53423D96"/>
    <w:rsid w:val="537E674A"/>
    <w:rsid w:val="53906AE1"/>
    <w:rsid w:val="5442785D"/>
    <w:rsid w:val="545A4744"/>
    <w:rsid w:val="54F46F60"/>
    <w:rsid w:val="55A37BEA"/>
    <w:rsid w:val="56362CD2"/>
    <w:rsid w:val="5784687B"/>
    <w:rsid w:val="57846959"/>
    <w:rsid w:val="578E6A87"/>
    <w:rsid w:val="580516C5"/>
    <w:rsid w:val="5AC2203A"/>
    <w:rsid w:val="5CBB3334"/>
    <w:rsid w:val="5D115FAF"/>
    <w:rsid w:val="61343ECC"/>
    <w:rsid w:val="62811722"/>
    <w:rsid w:val="62E75A72"/>
    <w:rsid w:val="644B6FEE"/>
    <w:rsid w:val="64571880"/>
    <w:rsid w:val="64817E03"/>
    <w:rsid w:val="649125B6"/>
    <w:rsid w:val="652F4C1A"/>
    <w:rsid w:val="65D67E22"/>
    <w:rsid w:val="666D37F1"/>
    <w:rsid w:val="67087D8F"/>
    <w:rsid w:val="671F687E"/>
    <w:rsid w:val="67720E26"/>
    <w:rsid w:val="67F415F8"/>
    <w:rsid w:val="682640D1"/>
    <w:rsid w:val="684B73E5"/>
    <w:rsid w:val="6A047A2A"/>
    <w:rsid w:val="6A34139B"/>
    <w:rsid w:val="6A92242F"/>
    <w:rsid w:val="6E677DCB"/>
    <w:rsid w:val="6E903000"/>
    <w:rsid w:val="6EB07B85"/>
    <w:rsid w:val="6EFB7548"/>
    <w:rsid w:val="6F0F0216"/>
    <w:rsid w:val="6F3831C3"/>
    <w:rsid w:val="6F8B71C1"/>
    <w:rsid w:val="6FE8116A"/>
    <w:rsid w:val="705510B2"/>
    <w:rsid w:val="70753482"/>
    <w:rsid w:val="707B522A"/>
    <w:rsid w:val="72F415C9"/>
    <w:rsid w:val="73194D05"/>
    <w:rsid w:val="73346723"/>
    <w:rsid w:val="734D4B2B"/>
    <w:rsid w:val="73A83B0E"/>
    <w:rsid w:val="744D3EF9"/>
    <w:rsid w:val="74794411"/>
    <w:rsid w:val="74F53EF9"/>
    <w:rsid w:val="75692D80"/>
    <w:rsid w:val="75867C40"/>
    <w:rsid w:val="75B10B26"/>
    <w:rsid w:val="75FB4FDE"/>
    <w:rsid w:val="76432199"/>
    <w:rsid w:val="769846F1"/>
    <w:rsid w:val="76F44829"/>
    <w:rsid w:val="77995718"/>
    <w:rsid w:val="77A267C0"/>
    <w:rsid w:val="77C4333A"/>
    <w:rsid w:val="78350A31"/>
    <w:rsid w:val="788068C6"/>
    <w:rsid w:val="78882278"/>
    <w:rsid w:val="78B118A6"/>
    <w:rsid w:val="79135044"/>
    <w:rsid w:val="799112C4"/>
    <w:rsid w:val="7A7D0F99"/>
    <w:rsid w:val="7C5533D8"/>
    <w:rsid w:val="7D1C2BB0"/>
    <w:rsid w:val="7D286D70"/>
    <w:rsid w:val="7DEC7454"/>
    <w:rsid w:val="7E3D74C4"/>
    <w:rsid w:val="7E4A0E7C"/>
    <w:rsid w:val="7E7500B5"/>
    <w:rsid w:val="7EBD31BC"/>
    <w:rsid w:val="7EFD449D"/>
    <w:rsid w:val="7F920B13"/>
    <w:rsid w:val="7FEFB9FE"/>
    <w:rsid w:val="AACEDA7F"/>
    <w:rsid w:val="FFBF69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font51"/>
    <w:qFormat/>
    <w:uiPriority w:val="0"/>
    <w:rPr>
      <w:rFonts w:hint="eastAsia" w:ascii="宋体" w:hAnsi="宋体" w:eastAsia="宋体" w:cs="宋体"/>
      <w:color w:val="000000"/>
      <w:sz w:val="24"/>
      <w:szCs w:val="24"/>
      <w:u w:val="none"/>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页眉 Char"/>
    <w:link w:val="5"/>
    <w:qFormat/>
    <w:uiPriority w:val="99"/>
    <w:rPr>
      <w:kern w:val="2"/>
      <w:sz w:val="18"/>
      <w:szCs w:val="18"/>
    </w:rPr>
  </w:style>
  <w:style w:type="character" w:customStyle="1" w:styleId="15">
    <w:name w:val="页脚 Char"/>
    <w:link w:val="4"/>
    <w:qFormat/>
    <w:uiPriority w:val="99"/>
    <w:rPr>
      <w:kern w:val="2"/>
      <w:sz w:val="18"/>
      <w:szCs w:val="18"/>
    </w:rPr>
  </w:style>
  <w:style w:type="character" w:customStyle="1" w:styleId="16">
    <w:name w:val="批注框文本 Char"/>
    <w:link w:val="3"/>
    <w:semiHidden/>
    <w:qFormat/>
    <w:uiPriority w:val="99"/>
    <w:rPr>
      <w:kern w:val="2"/>
      <w:sz w:val="18"/>
      <w:szCs w:val="18"/>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8536</Words>
  <Characters>10899</Characters>
  <Lines>60</Lines>
  <Paragraphs>16</Paragraphs>
  <TotalTime>51</TotalTime>
  <ScaleCrop>false</ScaleCrop>
  <LinksUpToDate>false</LinksUpToDate>
  <CharactersWithSpaces>11160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2023-05-10T10:33:00Z</cp:lastPrinted>
  <dcterms:modified xsi:type="dcterms:W3CDTF">2023-05-17T08:48:34Z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6674F18378F34352BE49B95C0046CA35</vt:lpwstr>
  </property>
</Properties>
</file>