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rPr>
      </w:pPr>
      <w:r>
        <w:rPr>
          <w:rFonts w:hint="eastAsia" w:ascii="黑体" w:hAnsi="黑体" w:eastAsia="黑体" w:cs="黑体"/>
          <w:sz w:val="52"/>
          <w:szCs w:val="52"/>
        </w:rPr>
        <w:t>河南省畜产品质量监测检验中心</w:t>
      </w:r>
    </w:p>
    <w:p>
      <w:pPr>
        <w:jc w:val="center"/>
        <w:rPr>
          <w:rFonts w:hint="eastAsia" w:ascii="黑体" w:hAnsi="黑体" w:eastAsia="黑体" w:cs="黑体"/>
          <w:sz w:val="52"/>
          <w:szCs w:val="52"/>
          <w:highlight w:val="none"/>
        </w:rPr>
      </w:pPr>
      <w:r>
        <w:rPr>
          <w:rFonts w:hint="eastAsia" w:ascii="黑体" w:hAnsi="黑体" w:eastAsia="黑体" w:cs="黑体"/>
          <w:sz w:val="52"/>
          <w:szCs w:val="52"/>
        </w:rPr>
        <w:t>许昌分中心</w:t>
      </w:r>
      <w:r>
        <w:rPr>
          <w:rFonts w:hint="eastAsia" w:ascii="黑体" w:hAnsi="黑体" w:eastAsia="黑体" w:cs="黑体"/>
          <w:sz w:val="52"/>
          <w:szCs w:val="52"/>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sz w:val="32"/>
        </w:rPr>
        <w:t>河南省畜产品质量监测检验中心许昌分中心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ind w:left="3360" w:hanging="3360" w:hangingChars="700"/>
        <w:jc w:val="left"/>
        <w:rPr>
          <w:rFonts w:hint="eastAsia" w:ascii="黑体" w:hAnsi="黑体" w:eastAsia="黑体"/>
          <w:sz w:val="48"/>
        </w:rPr>
      </w:pPr>
      <w:r>
        <w:rPr>
          <w:rFonts w:hint="eastAsia" w:ascii="黑体" w:hAnsi="黑体" w:eastAsia="黑体" w:cs="黑体"/>
          <w:sz w:val="48"/>
          <w:szCs w:val="48"/>
          <w:highlight w:val="none"/>
        </w:rPr>
        <w:t xml:space="preserve">第一部分  </w:t>
      </w:r>
      <w:r>
        <w:rPr>
          <w:rFonts w:hint="eastAsia" w:ascii="黑体" w:hAnsi="黑体" w:eastAsia="黑体"/>
          <w:sz w:val="48"/>
        </w:rPr>
        <w:t>河南省畜产品质量监测检</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sz w:val="48"/>
          <w:lang w:val="en-US" w:eastAsia="zh-CN"/>
        </w:rPr>
        <w:t xml:space="preserve">     </w:t>
      </w:r>
      <w:r>
        <w:rPr>
          <w:rFonts w:hint="eastAsia" w:ascii="黑体" w:hAnsi="黑体" w:eastAsia="黑体"/>
          <w:sz w:val="48"/>
        </w:rPr>
        <w:t>验中心许昌分中心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outlineLvl w:val="1"/>
        <w:rPr>
          <w:rFonts w:hint="eastAsia" w:ascii="仿宋_GB2312" w:hAnsi="仿宋_GB2312" w:eastAsia="仿宋_GB2312"/>
          <w:sz w:val="32"/>
        </w:rPr>
      </w:pPr>
      <w:r>
        <w:rPr>
          <w:rFonts w:hint="eastAsia" w:ascii="仿宋_GB2312" w:hAnsi="仿宋_GB2312" w:eastAsia="仿宋_GB2312"/>
          <w:sz w:val="32"/>
        </w:rPr>
        <w:t>河南省畜产品质量监测检验中心许昌分中心主要职责是：负责畜产品质量监测检验;负责畜牧业生产投入品兽药、饲料、饲料添加剂和畜产品药物残留的监测检验;开展畜牧业标准化生产技术指导、技术培训、科普宣传工作。</w:t>
      </w:r>
      <w:r>
        <w:rPr>
          <w:rFonts w:hint="eastAsia" w:ascii="仿宋_GB2312" w:hAnsi="仿宋_GB2312" w:eastAsia="仿宋_GB2312"/>
          <w:sz w:val="32"/>
          <w:lang w:eastAsia="zh-CN"/>
        </w:rPr>
        <w:t>我单位</w:t>
      </w:r>
      <w:r>
        <w:rPr>
          <w:rFonts w:hint="eastAsia" w:ascii="仿宋_GB2312" w:hAnsi="仿宋_GB2312" w:eastAsia="仿宋_GB2312"/>
          <w:sz w:val="32"/>
        </w:rPr>
        <w:t>系隶属于许昌市农业农村局的社会公益性事业单位。</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spacing w:line="360" w:lineRule="auto"/>
        <w:ind w:firstLine="640" w:firstLineChars="200"/>
        <w:jc w:val="left"/>
        <w:rPr>
          <w:rFonts w:hint="eastAsia" w:ascii="仿宋_GB2312" w:hAnsi="仿宋_GB2312" w:eastAsia="仿宋_GB2312"/>
          <w:sz w:val="32"/>
        </w:rPr>
      </w:pPr>
      <w:r>
        <w:rPr>
          <w:rFonts w:hint="eastAsia" w:ascii="仿宋_GB2312" w:hAnsi="仿宋_GB2312" w:eastAsia="仿宋_GB2312"/>
          <w:sz w:val="32"/>
        </w:rPr>
        <w:t>河南省畜产品质量监测检验中心许昌分中心内设机构4个，包括：业务室、办公室、监督室和检验室。</w:t>
      </w:r>
    </w:p>
    <w:p>
      <w:pPr>
        <w:spacing w:line="360" w:lineRule="auto"/>
        <w:ind w:firstLine="640" w:firstLineChars="200"/>
        <w:jc w:val="left"/>
        <w:rPr>
          <w:rFonts w:hint="eastAsia" w:ascii="仿宋_GB2312" w:hAnsi="仿宋_GB2312" w:eastAsia="仿宋_GB2312"/>
          <w:sz w:val="32"/>
        </w:rPr>
      </w:pPr>
      <w:r>
        <w:rPr>
          <w:rFonts w:hint="eastAsia" w:ascii="仿宋_GB2312" w:hAnsi="仿宋_GB2312" w:eastAsia="仿宋_GB2312"/>
          <w:kern w:val="0"/>
          <w:sz w:val="32"/>
        </w:rPr>
        <w:t>从决算单位构成看，</w:t>
      </w:r>
      <w:r>
        <w:rPr>
          <w:rFonts w:hint="eastAsia" w:ascii="仿宋_GB2312" w:hAnsi="仿宋_GB2312" w:eastAsia="仿宋_GB2312"/>
          <w:sz w:val="32"/>
        </w:rPr>
        <w:t>河南省畜产品质量监测检验中心许昌分中心</w:t>
      </w:r>
      <w:r>
        <w:rPr>
          <w:rFonts w:hint="eastAsia" w:ascii="仿宋_GB2312" w:hAnsi="仿宋_GB2312" w:eastAsia="仿宋_GB2312"/>
          <w:kern w:val="0"/>
          <w:sz w:val="32"/>
        </w:rPr>
        <w:t>决算包括：本级决算</w:t>
      </w:r>
      <w:r>
        <w:rPr>
          <w:rFonts w:hint="eastAsia" w:ascii="仿宋_GB2312" w:hAnsi="仿宋_GB2312" w:eastAsia="仿宋_GB2312"/>
          <w:kern w:val="0"/>
          <w:sz w:val="32"/>
          <w:lang w:eastAsia="zh-CN"/>
        </w:rPr>
        <w:t>（</w:t>
      </w:r>
      <w:r>
        <w:rPr>
          <w:rFonts w:hint="eastAsia" w:ascii="仿宋_GB2312" w:hAnsi="仿宋_GB2312" w:eastAsia="仿宋_GB2312"/>
          <w:kern w:val="0"/>
          <w:sz w:val="32"/>
          <w:lang w:val="en-US" w:eastAsia="zh-CN"/>
        </w:rPr>
        <w:t>1个）</w:t>
      </w:r>
      <w:r>
        <w:rPr>
          <w:rFonts w:hint="eastAsia" w:ascii="仿宋_GB2312" w:hAnsi="仿宋_GB2312" w:eastAsia="仿宋_GB2312"/>
          <w:kern w:val="0"/>
          <w:sz w:val="32"/>
        </w:rPr>
        <w:t>。</w:t>
      </w:r>
    </w:p>
    <w:p>
      <w:pPr>
        <w:widowControl/>
        <w:ind w:firstLine="640" w:firstLineChars="200"/>
        <w:jc w:val="left"/>
        <w:rPr>
          <w:rFonts w:hint="eastAsia" w:ascii="仿宋_GB2312" w:hAnsi="仿宋_GB2312" w:eastAsia="仿宋_GB2312" w:cs="仿宋_GB2312"/>
          <w:kern w:val="0"/>
          <w:sz w:val="32"/>
          <w:szCs w:val="32"/>
        </w:rPr>
      </w:pPr>
      <w:bookmarkStart w:id="0" w:name="OLE_LINK2"/>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年度部门决算编制范围的单位共1个，具体是：</w:t>
      </w:r>
    </w:p>
    <w:bookmarkEnd w:id="0"/>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河南省畜产品质量监测检验中心许昌分中心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8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94"/>
        <w:gridCol w:w="490"/>
        <w:gridCol w:w="3150"/>
        <w:gridCol w:w="3274"/>
        <w:gridCol w:w="490"/>
        <w:gridCol w:w="3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827" w:type="dxa"/>
            <w:gridSpan w:val="6"/>
            <w:vAlign w:val="bottom"/>
          </w:tcPr>
          <w:p>
            <w:pPr>
              <w:widowControl/>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094" w:type="dxa"/>
            <w:vAlign w:val="bottom"/>
          </w:tcPr>
          <w:p>
            <w:pPr>
              <w:rPr>
                <w:rFonts w:hint="eastAsia" w:ascii="Arial" w:hAnsi="Arial" w:cs="Arial"/>
                <w:i w:val="0"/>
                <w:color w:val="000000"/>
                <w:sz w:val="20"/>
                <w:szCs w:val="20"/>
                <w:u w:val="none"/>
              </w:rPr>
            </w:pPr>
          </w:p>
        </w:tc>
        <w:tc>
          <w:tcPr>
            <w:tcW w:w="490" w:type="dxa"/>
            <w:vAlign w:val="bottom"/>
          </w:tcPr>
          <w:p>
            <w:pPr>
              <w:rPr>
                <w:rFonts w:hint="default" w:ascii="Arial" w:hAnsi="Arial" w:cs="Arial"/>
                <w:i w:val="0"/>
                <w:color w:val="000000"/>
                <w:sz w:val="20"/>
                <w:szCs w:val="20"/>
                <w:u w:val="none"/>
              </w:rPr>
            </w:pPr>
          </w:p>
        </w:tc>
        <w:tc>
          <w:tcPr>
            <w:tcW w:w="3150" w:type="dxa"/>
            <w:vAlign w:val="bottom"/>
          </w:tcPr>
          <w:p>
            <w:pPr>
              <w:rPr>
                <w:rFonts w:hint="default" w:ascii="Arial" w:hAnsi="Arial" w:cs="Arial"/>
                <w:i w:val="0"/>
                <w:color w:val="000000"/>
                <w:sz w:val="20"/>
                <w:szCs w:val="20"/>
                <w:u w:val="none"/>
              </w:rPr>
            </w:pPr>
          </w:p>
        </w:tc>
        <w:tc>
          <w:tcPr>
            <w:tcW w:w="3274" w:type="dxa"/>
            <w:vAlign w:val="bottom"/>
          </w:tcPr>
          <w:p>
            <w:pPr>
              <w:rPr>
                <w:rFonts w:hint="default" w:ascii="Arial" w:hAnsi="Arial" w:cs="Arial"/>
                <w:i w:val="0"/>
                <w:color w:val="000000"/>
                <w:sz w:val="20"/>
                <w:szCs w:val="20"/>
                <w:u w:val="none"/>
              </w:rPr>
            </w:pPr>
          </w:p>
        </w:tc>
        <w:tc>
          <w:tcPr>
            <w:tcW w:w="490" w:type="dxa"/>
            <w:vAlign w:val="bottom"/>
          </w:tcPr>
          <w:p>
            <w:pPr>
              <w:rPr>
                <w:rFonts w:hint="default" w:ascii="Arial" w:hAnsi="Arial" w:cs="Arial"/>
                <w:i w:val="0"/>
                <w:color w:val="000000"/>
                <w:sz w:val="20"/>
                <w:szCs w:val="20"/>
                <w:u w:val="none"/>
              </w:rPr>
            </w:pPr>
          </w:p>
        </w:tc>
        <w:tc>
          <w:tcPr>
            <w:tcW w:w="3329" w:type="dxa"/>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734" w:type="dxa"/>
            <w:gridSpan w:val="3"/>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：河南省畜产品质量监测检验中心许昌分中心</w:t>
            </w:r>
          </w:p>
        </w:tc>
        <w:tc>
          <w:tcPr>
            <w:tcW w:w="3274" w:type="dxa"/>
            <w:vAlign w:val="bottom"/>
          </w:tcPr>
          <w:p>
            <w:pPr>
              <w:rPr>
                <w:rFonts w:hint="default" w:ascii="Arial" w:hAnsi="Arial" w:cs="Arial"/>
                <w:i w:val="0"/>
                <w:color w:val="000000"/>
                <w:sz w:val="20"/>
                <w:szCs w:val="20"/>
                <w:u w:val="none"/>
              </w:rPr>
            </w:pPr>
          </w:p>
        </w:tc>
        <w:tc>
          <w:tcPr>
            <w:tcW w:w="490" w:type="dxa"/>
            <w:vAlign w:val="bottom"/>
          </w:tcPr>
          <w:p>
            <w:pPr>
              <w:rPr>
                <w:rFonts w:hint="default" w:ascii="Arial" w:hAnsi="Arial" w:cs="Arial"/>
                <w:i w:val="0"/>
                <w:color w:val="000000"/>
                <w:sz w:val="20"/>
                <w:szCs w:val="20"/>
                <w:u w:val="none"/>
              </w:rPr>
            </w:pPr>
          </w:p>
        </w:tc>
        <w:tc>
          <w:tcPr>
            <w:tcW w:w="3329" w:type="dxa"/>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收入</w:t>
            </w:r>
          </w:p>
        </w:tc>
        <w:tc>
          <w:tcPr>
            <w:tcW w:w="7093"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行次</w:t>
            </w:r>
          </w:p>
        </w:tc>
        <w:tc>
          <w:tcPr>
            <w:tcW w:w="31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金额</w:t>
            </w:r>
          </w:p>
        </w:tc>
        <w:tc>
          <w:tcPr>
            <w:tcW w:w="32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行次</w:t>
            </w:r>
          </w:p>
        </w:tc>
        <w:tc>
          <w:tcPr>
            <w:tcW w:w="332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490"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1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32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490"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2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31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217.63</w:t>
            </w: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33</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34</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36</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37</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七、文化旅游体育与传媒支出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八、社会保障和就业支出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九、卫生健康支出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十、节能环保支出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十一、城乡社区支出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十二、农林水支出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43</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十三、交通运输支出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44</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十四、资源勘探工业信息等支出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45</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十五、商业服务业等支出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46</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十六、金融支出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十七、援助其他地区支出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48</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十八、自然资源海洋气象等支出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49</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十九、住房保障支出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二十、粮油物资储备支出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51</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二十一、国有资本经营预算支出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52</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二十二、灾害防治及应急管理支出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二十三、其他支出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54</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二十四、债务还本支出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55</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25</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二十五、债务付息支出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56</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26</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二十六、抗疫特别国债安排的支出</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57</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27</w:t>
            </w:r>
          </w:p>
        </w:tc>
        <w:tc>
          <w:tcPr>
            <w:tcW w:w="31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217.63</w:t>
            </w:r>
          </w:p>
        </w:tc>
        <w:tc>
          <w:tcPr>
            <w:tcW w:w="32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58</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使用非财政拨款结余</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结余分配</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59</w:t>
            </w:r>
          </w:p>
        </w:tc>
        <w:tc>
          <w:tcPr>
            <w:tcW w:w="332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年初结转和结余</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w:t>
            </w:r>
          </w:p>
        </w:tc>
        <w:tc>
          <w:tcPr>
            <w:tcW w:w="31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40.11</w:t>
            </w:r>
          </w:p>
        </w:tc>
        <w:tc>
          <w:tcPr>
            <w:tcW w:w="32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年末结转和结余</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60</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w:t>
            </w:r>
          </w:p>
        </w:tc>
        <w:tc>
          <w:tcPr>
            <w:tcW w:w="31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3274"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61</w:t>
            </w:r>
          </w:p>
        </w:tc>
        <w:tc>
          <w:tcPr>
            <w:tcW w:w="332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09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490" w:type="dxa"/>
            <w:tcBorders>
              <w:bottom w:val="single" w:color="000000" w:sz="12"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w:t>
            </w:r>
          </w:p>
        </w:tc>
        <w:tc>
          <w:tcPr>
            <w:tcW w:w="31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257.74</w:t>
            </w:r>
          </w:p>
        </w:tc>
        <w:tc>
          <w:tcPr>
            <w:tcW w:w="32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4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62</w:t>
            </w:r>
          </w:p>
        </w:tc>
        <w:tc>
          <w:tcPr>
            <w:tcW w:w="332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827" w:type="dxa"/>
            <w:gridSpan w:val="6"/>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3"/>
        <w:gridCol w:w="513"/>
        <w:gridCol w:w="532"/>
        <w:gridCol w:w="3165"/>
        <w:gridCol w:w="1574"/>
        <w:gridCol w:w="1680"/>
        <w:gridCol w:w="1005"/>
        <w:gridCol w:w="1050"/>
        <w:gridCol w:w="1080"/>
        <w:gridCol w:w="1350"/>
        <w:gridCol w:w="1478"/>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55" w:type="dxa"/>
            <w:gridSpan w:val="12"/>
            <w:vAlign w:val="bottom"/>
          </w:tcPr>
          <w:p>
            <w:pPr>
              <w:widowControl/>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3" w:type="dxa"/>
            <w:vAlign w:val="bottom"/>
          </w:tcPr>
          <w:p>
            <w:pPr>
              <w:rPr>
                <w:rFonts w:hint="eastAsia" w:ascii="Arial" w:hAnsi="Arial" w:cs="Arial"/>
                <w:i w:val="0"/>
                <w:color w:val="000000"/>
                <w:sz w:val="20"/>
                <w:szCs w:val="20"/>
                <w:u w:val="none"/>
              </w:rPr>
            </w:pPr>
          </w:p>
        </w:tc>
        <w:tc>
          <w:tcPr>
            <w:tcW w:w="513" w:type="dxa"/>
            <w:vAlign w:val="bottom"/>
          </w:tcPr>
          <w:p>
            <w:pPr>
              <w:rPr>
                <w:rFonts w:hint="default" w:ascii="Arial" w:hAnsi="Arial" w:cs="Arial"/>
                <w:i w:val="0"/>
                <w:color w:val="000000"/>
                <w:sz w:val="20"/>
                <w:szCs w:val="20"/>
                <w:u w:val="none"/>
              </w:rPr>
            </w:pPr>
          </w:p>
        </w:tc>
        <w:tc>
          <w:tcPr>
            <w:tcW w:w="532" w:type="dxa"/>
            <w:vAlign w:val="bottom"/>
          </w:tcPr>
          <w:p>
            <w:pPr>
              <w:rPr>
                <w:rFonts w:hint="default" w:ascii="Arial" w:hAnsi="Arial" w:cs="Arial"/>
                <w:i w:val="0"/>
                <w:color w:val="000000"/>
                <w:sz w:val="20"/>
                <w:szCs w:val="20"/>
                <w:u w:val="none"/>
              </w:rPr>
            </w:pPr>
          </w:p>
        </w:tc>
        <w:tc>
          <w:tcPr>
            <w:tcW w:w="3165" w:type="dxa"/>
            <w:vAlign w:val="bottom"/>
          </w:tcPr>
          <w:p>
            <w:pPr>
              <w:rPr>
                <w:rFonts w:hint="default" w:ascii="Arial" w:hAnsi="Arial" w:cs="Arial"/>
                <w:i w:val="0"/>
                <w:color w:val="000000"/>
                <w:sz w:val="20"/>
                <w:szCs w:val="20"/>
                <w:u w:val="none"/>
              </w:rPr>
            </w:pPr>
          </w:p>
        </w:tc>
        <w:tc>
          <w:tcPr>
            <w:tcW w:w="1574" w:type="dxa"/>
            <w:vAlign w:val="bottom"/>
          </w:tcPr>
          <w:p>
            <w:pPr>
              <w:rPr>
                <w:rFonts w:hint="default" w:ascii="Arial" w:hAnsi="Arial" w:cs="Arial"/>
                <w:i w:val="0"/>
                <w:color w:val="000000"/>
                <w:sz w:val="20"/>
                <w:szCs w:val="20"/>
                <w:u w:val="none"/>
              </w:rPr>
            </w:pPr>
          </w:p>
        </w:tc>
        <w:tc>
          <w:tcPr>
            <w:tcW w:w="1680" w:type="dxa"/>
            <w:vAlign w:val="bottom"/>
          </w:tcPr>
          <w:p>
            <w:pPr>
              <w:rPr>
                <w:rFonts w:hint="default" w:ascii="Arial" w:hAnsi="Arial" w:cs="Arial"/>
                <w:i w:val="0"/>
                <w:color w:val="000000"/>
                <w:sz w:val="20"/>
                <w:szCs w:val="20"/>
                <w:u w:val="none"/>
              </w:rPr>
            </w:pPr>
          </w:p>
        </w:tc>
        <w:tc>
          <w:tcPr>
            <w:tcW w:w="1005" w:type="dxa"/>
            <w:vAlign w:val="bottom"/>
          </w:tcPr>
          <w:p>
            <w:pPr>
              <w:rPr>
                <w:rFonts w:hint="default" w:ascii="Arial" w:hAnsi="Arial" w:cs="Arial"/>
                <w:i w:val="0"/>
                <w:color w:val="000000"/>
                <w:sz w:val="20"/>
                <w:szCs w:val="20"/>
                <w:u w:val="none"/>
              </w:rPr>
            </w:pPr>
          </w:p>
        </w:tc>
        <w:tc>
          <w:tcPr>
            <w:tcW w:w="1050" w:type="dxa"/>
            <w:vAlign w:val="bottom"/>
          </w:tcPr>
          <w:p>
            <w:pPr>
              <w:rPr>
                <w:rFonts w:hint="default" w:ascii="Arial" w:hAnsi="Arial" w:cs="Arial"/>
                <w:i w:val="0"/>
                <w:color w:val="000000"/>
                <w:sz w:val="20"/>
                <w:szCs w:val="20"/>
                <w:u w:val="none"/>
              </w:rPr>
            </w:pPr>
          </w:p>
        </w:tc>
        <w:tc>
          <w:tcPr>
            <w:tcW w:w="1080" w:type="dxa"/>
            <w:vAlign w:val="bottom"/>
          </w:tcPr>
          <w:p>
            <w:pPr>
              <w:rPr>
                <w:rFonts w:hint="default" w:ascii="Arial" w:hAnsi="Arial" w:cs="Arial"/>
                <w:i w:val="0"/>
                <w:color w:val="000000"/>
                <w:sz w:val="20"/>
                <w:szCs w:val="20"/>
                <w:u w:val="none"/>
              </w:rPr>
            </w:pPr>
          </w:p>
        </w:tc>
        <w:tc>
          <w:tcPr>
            <w:tcW w:w="1350" w:type="dxa"/>
            <w:vAlign w:val="bottom"/>
          </w:tcPr>
          <w:p>
            <w:pPr>
              <w:rPr>
                <w:rFonts w:hint="default" w:ascii="Arial" w:hAnsi="Arial" w:cs="Arial"/>
                <w:i w:val="0"/>
                <w:color w:val="000000"/>
                <w:sz w:val="20"/>
                <w:szCs w:val="20"/>
                <w:u w:val="none"/>
              </w:rPr>
            </w:pPr>
          </w:p>
        </w:tc>
        <w:tc>
          <w:tcPr>
            <w:tcW w:w="1493"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297"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：河南省畜产品质量监测检验中心许昌分中心</w:t>
            </w:r>
          </w:p>
        </w:tc>
        <w:tc>
          <w:tcPr>
            <w:tcW w:w="1680" w:type="dxa"/>
            <w:vAlign w:val="bottom"/>
          </w:tcPr>
          <w:p>
            <w:pPr>
              <w:rPr>
                <w:rFonts w:hint="default" w:ascii="Arial" w:hAnsi="Arial" w:cs="Arial"/>
                <w:i w:val="0"/>
                <w:color w:val="000000"/>
                <w:sz w:val="20"/>
                <w:szCs w:val="20"/>
                <w:u w:val="none"/>
              </w:rPr>
            </w:pPr>
          </w:p>
        </w:tc>
        <w:tc>
          <w:tcPr>
            <w:tcW w:w="1005" w:type="dxa"/>
            <w:vAlign w:val="bottom"/>
          </w:tcPr>
          <w:p>
            <w:pPr>
              <w:rPr>
                <w:rFonts w:hint="default" w:ascii="Arial" w:hAnsi="Arial" w:cs="Arial"/>
                <w:i w:val="0"/>
                <w:color w:val="000000"/>
                <w:sz w:val="20"/>
                <w:szCs w:val="20"/>
                <w:u w:val="none"/>
              </w:rPr>
            </w:pPr>
          </w:p>
        </w:tc>
        <w:tc>
          <w:tcPr>
            <w:tcW w:w="1050" w:type="dxa"/>
            <w:vAlign w:val="bottom"/>
          </w:tcPr>
          <w:p>
            <w:pPr>
              <w:rPr>
                <w:rFonts w:hint="default" w:ascii="Arial" w:hAnsi="Arial" w:cs="Arial"/>
                <w:i w:val="0"/>
                <w:color w:val="000000"/>
                <w:sz w:val="20"/>
                <w:szCs w:val="20"/>
                <w:u w:val="none"/>
              </w:rPr>
            </w:pPr>
          </w:p>
        </w:tc>
        <w:tc>
          <w:tcPr>
            <w:tcW w:w="1080" w:type="dxa"/>
            <w:vAlign w:val="bottom"/>
          </w:tcPr>
          <w:p>
            <w:pPr>
              <w:rPr>
                <w:rFonts w:hint="default" w:ascii="Arial" w:hAnsi="Arial" w:cs="Arial"/>
                <w:i w:val="0"/>
                <w:color w:val="000000"/>
                <w:sz w:val="20"/>
                <w:szCs w:val="20"/>
                <w:u w:val="none"/>
              </w:rPr>
            </w:pPr>
          </w:p>
        </w:tc>
        <w:tc>
          <w:tcPr>
            <w:tcW w:w="1350" w:type="dxa"/>
            <w:vAlign w:val="bottom"/>
          </w:tcPr>
          <w:p>
            <w:pPr>
              <w:rPr>
                <w:rFonts w:hint="default" w:ascii="Arial" w:hAnsi="Arial" w:cs="Arial"/>
                <w:i w:val="0"/>
                <w:color w:val="000000"/>
                <w:sz w:val="20"/>
                <w:szCs w:val="20"/>
                <w:u w:val="none"/>
              </w:rPr>
            </w:pPr>
          </w:p>
        </w:tc>
        <w:tc>
          <w:tcPr>
            <w:tcW w:w="1493"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7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1574"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本年收入合计</w:t>
            </w:r>
          </w:p>
        </w:tc>
        <w:tc>
          <w:tcPr>
            <w:tcW w:w="168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财政拨款收入</w:t>
            </w:r>
          </w:p>
        </w:tc>
        <w:tc>
          <w:tcPr>
            <w:tcW w:w="10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上级补助收入</w:t>
            </w:r>
          </w:p>
        </w:tc>
        <w:tc>
          <w:tcPr>
            <w:tcW w:w="105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事业收入</w:t>
            </w:r>
          </w:p>
        </w:tc>
        <w:tc>
          <w:tcPr>
            <w:tcW w:w="108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经营收入</w:t>
            </w:r>
          </w:p>
        </w:tc>
        <w:tc>
          <w:tcPr>
            <w:tcW w:w="135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附属单位上缴收入</w:t>
            </w:r>
          </w:p>
        </w:tc>
        <w:tc>
          <w:tcPr>
            <w:tcW w:w="1493" w:type="dxa"/>
            <w:gridSpan w:val="2"/>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316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574"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9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16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74"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9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16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74"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9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723"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157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6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00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0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0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3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493" w:type="dxa"/>
            <w:gridSpan w:val="2"/>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723"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217.63</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217.63</w:t>
            </w:r>
          </w:p>
        </w:tc>
        <w:tc>
          <w:tcPr>
            <w:tcW w:w="100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2"/>
                <w:szCs w:val="22"/>
                <w:u w:val="none"/>
                <w:lang w:val="en-US" w:eastAsia="zh-CN"/>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一般公共服务支出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群众团体事务</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2012906</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工会事务</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社会保障和就业支出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11.95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11.95</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行政事业单位养老支出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11.95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11.95</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2080505</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机关事业单位基本养老保险缴费支出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11.95</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11.95</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卫生健康支出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5.38</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5.38</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行政事业单位医疗</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5.38</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5.38</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2101102</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事业单位医疗</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5.38</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5.38</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农林水支出</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199.13</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199.13</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农业农村</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199.13</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199.13</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2130104</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事业运行</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194.92</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194.92</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9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00" w:hRule="atLeast"/>
        </w:trPr>
        <w:tc>
          <w:tcPr>
            <w:tcW w:w="155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2130106</w:t>
            </w:r>
          </w:p>
        </w:tc>
        <w:tc>
          <w:tcPr>
            <w:tcW w:w="316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科技转化与推广服务</w:t>
            </w:r>
          </w:p>
        </w:tc>
        <w:tc>
          <w:tcPr>
            <w:tcW w:w="157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4.21</w:t>
            </w:r>
          </w:p>
        </w:tc>
        <w:tc>
          <w:tcPr>
            <w:tcW w:w="16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4.21</w:t>
            </w: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00" w:hRule="atLeast"/>
        </w:trPr>
        <w:tc>
          <w:tcPr>
            <w:tcW w:w="1558"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16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57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00" w:hRule="atLeast"/>
        </w:trPr>
        <w:tc>
          <w:tcPr>
            <w:tcW w:w="13940" w:type="dxa"/>
            <w:gridSpan w:val="11"/>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29"/>
        <w:gridCol w:w="1545"/>
        <w:gridCol w:w="1485"/>
        <w:gridCol w:w="1290"/>
        <w:gridCol w:w="1230"/>
        <w:gridCol w:w="1065"/>
        <w:gridCol w:w="1147"/>
        <w:gridCol w:w="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92" w:type="dxa"/>
            <w:gridSpan w:val="11"/>
            <w:vAlign w:val="bottom"/>
          </w:tcPr>
          <w:p>
            <w:pPr>
              <w:widowControl/>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000000"/>
                <w:sz w:val="20"/>
                <w:szCs w:val="20"/>
                <w:u w:val="none"/>
              </w:rPr>
            </w:pPr>
          </w:p>
        </w:tc>
        <w:tc>
          <w:tcPr>
            <w:tcW w:w="740" w:type="dxa"/>
            <w:vAlign w:val="bottom"/>
          </w:tcPr>
          <w:p>
            <w:pPr>
              <w:rPr>
                <w:rFonts w:hint="default" w:ascii="Arial" w:hAnsi="Arial" w:cs="Arial"/>
                <w:i w:val="0"/>
                <w:color w:val="000000"/>
                <w:sz w:val="20"/>
                <w:szCs w:val="20"/>
                <w:u w:val="none"/>
              </w:rPr>
            </w:pPr>
          </w:p>
        </w:tc>
        <w:tc>
          <w:tcPr>
            <w:tcW w:w="768" w:type="dxa"/>
            <w:vAlign w:val="bottom"/>
          </w:tcPr>
          <w:p>
            <w:pPr>
              <w:rPr>
                <w:rFonts w:hint="default" w:ascii="Arial" w:hAnsi="Arial" w:cs="Arial"/>
                <w:i w:val="0"/>
                <w:color w:val="000000"/>
                <w:sz w:val="20"/>
                <w:szCs w:val="20"/>
                <w:u w:val="none"/>
              </w:rPr>
            </w:pPr>
          </w:p>
        </w:tc>
        <w:tc>
          <w:tcPr>
            <w:tcW w:w="3929" w:type="dxa"/>
            <w:vAlign w:val="bottom"/>
          </w:tcPr>
          <w:p>
            <w:pPr>
              <w:rPr>
                <w:rFonts w:hint="default" w:ascii="Arial" w:hAnsi="Arial" w:cs="Arial"/>
                <w:i w:val="0"/>
                <w:color w:val="000000"/>
                <w:sz w:val="20"/>
                <w:szCs w:val="20"/>
                <w:u w:val="none"/>
              </w:rPr>
            </w:pPr>
          </w:p>
        </w:tc>
        <w:tc>
          <w:tcPr>
            <w:tcW w:w="1545" w:type="dxa"/>
            <w:vAlign w:val="bottom"/>
          </w:tcPr>
          <w:p>
            <w:pPr>
              <w:rPr>
                <w:rFonts w:hint="default" w:ascii="Arial" w:hAnsi="Arial" w:cs="Arial"/>
                <w:i w:val="0"/>
                <w:color w:val="000000"/>
                <w:sz w:val="20"/>
                <w:szCs w:val="20"/>
                <w:u w:val="none"/>
              </w:rPr>
            </w:pPr>
          </w:p>
        </w:tc>
        <w:tc>
          <w:tcPr>
            <w:tcW w:w="1485" w:type="dxa"/>
            <w:vAlign w:val="bottom"/>
          </w:tcPr>
          <w:p>
            <w:pPr>
              <w:rPr>
                <w:rFonts w:hint="default" w:ascii="Arial" w:hAnsi="Arial" w:cs="Arial"/>
                <w:i w:val="0"/>
                <w:color w:val="000000"/>
                <w:sz w:val="20"/>
                <w:szCs w:val="20"/>
                <w:u w:val="none"/>
              </w:rPr>
            </w:pPr>
          </w:p>
        </w:tc>
        <w:tc>
          <w:tcPr>
            <w:tcW w:w="1290" w:type="dxa"/>
            <w:vAlign w:val="bottom"/>
          </w:tcPr>
          <w:p>
            <w:pPr>
              <w:rPr>
                <w:rFonts w:hint="default" w:ascii="Arial" w:hAnsi="Arial" w:cs="Arial"/>
                <w:i w:val="0"/>
                <w:color w:val="000000"/>
                <w:sz w:val="20"/>
                <w:szCs w:val="20"/>
                <w:u w:val="none"/>
              </w:rPr>
            </w:pPr>
          </w:p>
        </w:tc>
        <w:tc>
          <w:tcPr>
            <w:tcW w:w="1230" w:type="dxa"/>
            <w:vAlign w:val="bottom"/>
          </w:tcPr>
          <w:p>
            <w:pPr>
              <w:rPr>
                <w:rFonts w:hint="default" w:ascii="Arial" w:hAnsi="Arial" w:cs="Arial"/>
                <w:i w:val="0"/>
                <w:color w:val="000000"/>
                <w:sz w:val="20"/>
                <w:szCs w:val="20"/>
                <w:u w:val="none"/>
              </w:rPr>
            </w:pPr>
          </w:p>
        </w:tc>
        <w:tc>
          <w:tcPr>
            <w:tcW w:w="1065" w:type="dxa"/>
            <w:vAlign w:val="bottom"/>
          </w:tcPr>
          <w:p>
            <w:pPr>
              <w:rPr>
                <w:rFonts w:hint="default" w:ascii="Arial" w:hAnsi="Arial" w:cs="Arial"/>
                <w:i w:val="0"/>
                <w:color w:val="000000"/>
                <w:sz w:val="20"/>
                <w:szCs w:val="20"/>
                <w:u w:val="none"/>
              </w:rPr>
            </w:pPr>
          </w:p>
        </w:tc>
        <w:tc>
          <w:tcPr>
            <w:tcW w:w="1200"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722"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：河南省畜产品质量监测检验中心许昌分中心</w:t>
            </w:r>
          </w:p>
        </w:tc>
        <w:tc>
          <w:tcPr>
            <w:tcW w:w="1485" w:type="dxa"/>
            <w:vAlign w:val="bottom"/>
          </w:tcPr>
          <w:p>
            <w:pPr>
              <w:rPr>
                <w:rFonts w:hint="default" w:ascii="Arial" w:hAnsi="Arial" w:cs="Arial"/>
                <w:i w:val="0"/>
                <w:color w:val="000000"/>
                <w:sz w:val="20"/>
                <w:szCs w:val="20"/>
                <w:u w:val="none"/>
              </w:rPr>
            </w:pPr>
          </w:p>
        </w:tc>
        <w:tc>
          <w:tcPr>
            <w:tcW w:w="1290" w:type="dxa"/>
            <w:vAlign w:val="bottom"/>
          </w:tcPr>
          <w:p>
            <w:pPr>
              <w:rPr>
                <w:rFonts w:hint="default" w:ascii="Arial" w:hAnsi="Arial" w:cs="Arial"/>
                <w:i w:val="0"/>
                <w:color w:val="000000"/>
                <w:sz w:val="20"/>
                <w:szCs w:val="20"/>
                <w:u w:val="none"/>
              </w:rPr>
            </w:pPr>
          </w:p>
        </w:tc>
        <w:tc>
          <w:tcPr>
            <w:tcW w:w="1230" w:type="dxa"/>
            <w:vAlign w:val="bottom"/>
          </w:tcPr>
          <w:p>
            <w:pPr>
              <w:rPr>
                <w:rFonts w:hint="default" w:ascii="Arial" w:hAnsi="Arial" w:cs="Arial"/>
                <w:i w:val="0"/>
                <w:color w:val="000000"/>
                <w:sz w:val="20"/>
                <w:szCs w:val="20"/>
                <w:u w:val="none"/>
              </w:rPr>
            </w:pPr>
          </w:p>
        </w:tc>
        <w:tc>
          <w:tcPr>
            <w:tcW w:w="2265"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154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本年支出合计</w:t>
            </w:r>
          </w:p>
        </w:tc>
        <w:tc>
          <w:tcPr>
            <w:tcW w:w="148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基本支出</w:t>
            </w:r>
          </w:p>
        </w:tc>
        <w:tc>
          <w:tcPr>
            <w:tcW w:w="129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项目支出</w:t>
            </w:r>
          </w:p>
        </w:tc>
        <w:tc>
          <w:tcPr>
            <w:tcW w:w="123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上缴上级支出</w:t>
            </w:r>
          </w:p>
        </w:tc>
        <w:tc>
          <w:tcPr>
            <w:tcW w:w="106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经营支出</w:t>
            </w:r>
          </w:p>
        </w:tc>
        <w:tc>
          <w:tcPr>
            <w:tcW w:w="1200" w:type="dxa"/>
            <w:gridSpan w:val="2"/>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392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54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92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92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154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48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3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06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00" w:type="dxa"/>
            <w:gridSpan w:val="2"/>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256.99</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231.23</w:t>
            </w: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25.76</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一般公共服务支出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群众团体事务</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2012906</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工会事务</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社会保障和就业支出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行政事业单位养老支出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2080505</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机关事业单位基本养老保险缴费支出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卫生健康支出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行政事业单位医疗</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2101102</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事业单位医疗</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12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农林水支出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234.05</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208.29</w:t>
            </w: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25.76</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农业农村</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234.05</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208.29</w:t>
            </w: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25.76</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2130104</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事业运行</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215.97</w:t>
            </w:r>
          </w:p>
        </w:tc>
        <w:tc>
          <w:tcPr>
            <w:tcW w:w="14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208.29</w:t>
            </w: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7.68</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2130106</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科技转化与推广服务</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4.21</w:t>
            </w: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4.21</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3" w:type="dxa"/>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2130199</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其他农业农村支出</w:t>
            </w:r>
          </w:p>
        </w:tc>
        <w:tc>
          <w:tcPr>
            <w:tcW w:w="154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13.87</w:t>
            </w: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9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13.87</w:t>
            </w:r>
          </w:p>
        </w:tc>
        <w:tc>
          <w:tcPr>
            <w:tcW w:w="12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3" w:type="dxa"/>
          <w:trHeight w:val="300" w:hRule="atLeast"/>
        </w:trPr>
        <w:tc>
          <w:tcPr>
            <w:tcW w:w="13939" w:type="dxa"/>
            <w:gridSpan w:val="10"/>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52"/>
        <w:gridCol w:w="477"/>
        <w:gridCol w:w="2316"/>
        <w:gridCol w:w="2624"/>
        <w:gridCol w:w="477"/>
        <w:gridCol w:w="1062"/>
        <w:gridCol w:w="1179"/>
        <w:gridCol w:w="1082"/>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85" w:type="dxa"/>
            <w:gridSpan w:val="9"/>
            <w:vAlign w:val="bottom"/>
          </w:tcPr>
          <w:p>
            <w:pPr>
              <w:widowControl/>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52" w:type="dxa"/>
            <w:vAlign w:val="bottom"/>
          </w:tcPr>
          <w:p>
            <w:pPr>
              <w:rPr>
                <w:rFonts w:hint="eastAsia" w:ascii="Arial" w:hAnsi="Arial" w:cs="Arial"/>
                <w:i w:val="0"/>
                <w:color w:val="000000"/>
                <w:sz w:val="20"/>
                <w:szCs w:val="20"/>
                <w:u w:val="none"/>
              </w:rPr>
            </w:pPr>
          </w:p>
        </w:tc>
        <w:tc>
          <w:tcPr>
            <w:tcW w:w="477" w:type="dxa"/>
            <w:vAlign w:val="bottom"/>
          </w:tcPr>
          <w:p>
            <w:pPr>
              <w:rPr>
                <w:rFonts w:hint="default" w:ascii="Arial" w:hAnsi="Arial" w:cs="Arial"/>
                <w:i w:val="0"/>
                <w:color w:val="000000"/>
                <w:sz w:val="20"/>
                <w:szCs w:val="20"/>
                <w:u w:val="none"/>
              </w:rPr>
            </w:pPr>
          </w:p>
        </w:tc>
        <w:tc>
          <w:tcPr>
            <w:tcW w:w="2316" w:type="dxa"/>
            <w:vAlign w:val="bottom"/>
          </w:tcPr>
          <w:p>
            <w:pPr>
              <w:rPr>
                <w:rFonts w:hint="default" w:ascii="Arial" w:hAnsi="Arial" w:cs="Arial"/>
                <w:i w:val="0"/>
                <w:color w:val="000000"/>
                <w:sz w:val="20"/>
                <w:szCs w:val="20"/>
                <w:u w:val="none"/>
              </w:rPr>
            </w:pPr>
          </w:p>
        </w:tc>
        <w:tc>
          <w:tcPr>
            <w:tcW w:w="2624" w:type="dxa"/>
            <w:vAlign w:val="bottom"/>
          </w:tcPr>
          <w:p>
            <w:pPr>
              <w:rPr>
                <w:rFonts w:hint="default" w:ascii="Arial" w:hAnsi="Arial" w:cs="Arial"/>
                <w:i w:val="0"/>
                <w:color w:val="000000"/>
                <w:sz w:val="20"/>
                <w:szCs w:val="20"/>
                <w:u w:val="none"/>
              </w:rPr>
            </w:pPr>
          </w:p>
        </w:tc>
        <w:tc>
          <w:tcPr>
            <w:tcW w:w="477" w:type="dxa"/>
            <w:vAlign w:val="bottom"/>
          </w:tcPr>
          <w:p>
            <w:pPr>
              <w:rPr>
                <w:rFonts w:hint="default" w:ascii="Arial" w:hAnsi="Arial" w:cs="Arial"/>
                <w:i w:val="0"/>
                <w:color w:val="000000"/>
                <w:sz w:val="20"/>
                <w:szCs w:val="20"/>
                <w:u w:val="none"/>
              </w:rPr>
            </w:pPr>
          </w:p>
        </w:tc>
        <w:tc>
          <w:tcPr>
            <w:tcW w:w="1062" w:type="dxa"/>
            <w:vAlign w:val="bottom"/>
          </w:tcPr>
          <w:p>
            <w:pPr>
              <w:rPr>
                <w:rFonts w:hint="default" w:ascii="Arial" w:hAnsi="Arial" w:cs="Arial"/>
                <w:i w:val="0"/>
                <w:color w:val="000000"/>
                <w:sz w:val="20"/>
                <w:szCs w:val="20"/>
                <w:u w:val="none"/>
              </w:rPr>
            </w:pPr>
          </w:p>
        </w:tc>
        <w:tc>
          <w:tcPr>
            <w:tcW w:w="1179" w:type="dxa"/>
            <w:vAlign w:val="bottom"/>
          </w:tcPr>
          <w:p>
            <w:pPr>
              <w:rPr>
                <w:rFonts w:hint="default" w:ascii="Arial" w:hAnsi="Arial" w:cs="Arial"/>
                <w:i w:val="0"/>
                <w:color w:val="000000"/>
                <w:sz w:val="20"/>
                <w:szCs w:val="20"/>
                <w:u w:val="none"/>
              </w:rPr>
            </w:pPr>
          </w:p>
        </w:tc>
        <w:tc>
          <w:tcPr>
            <w:tcW w:w="1082" w:type="dxa"/>
            <w:vAlign w:val="bottom"/>
          </w:tcPr>
          <w:p>
            <w:pPr>
              <w:rPr>
                <w:rFonts w:hint="default" w:ascii="Arial" w:hAnsi="Arial" w:cs="Arial"/>
                <w:i w:val="0"/>
                <w:color w:val="000000"/>
                <w:sz w:val="20"/>
                <w:szCs w:val="20"/>
                <w:u w:val="none"/>
              </w:rPr>
            </w:pPr>
          </w:p>
        </w:tc>
        <w:tc>
          <w:tcPr>
            <w:tcW w:w="2516" w:type="dxa"/>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669" w:type="dxa"/>
            <w:gridSpan w:val="4"/>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：河南省畜产品质量监测检验中心许昌分中心</w:t>
            </w:r>
          </w:p>
        </w:tc>
        <w:tc>
          <w:tcPr>
            <w:tcW w:w="477" w:type="dxa"/>
            <w:vAlign w:val="bottom"/>
          </w:tcPr>
          <w:p>
            <w:pPr>
              <w:rPr>
                <w:rFonts w:hint="default" w:ascii="Arial" w:hAnsi="Arial" w:cs="Arial"/>
                <w:i w:val="0"/>
                <w:color w:val="000000"/>
                <w:sz w:val="20"/>
                <w:szCs w:val="20"/>
                <w:u w:val="none"/>
              </w:rPr>
            </w:pPr>
          </w:p>
        </w:tc>
        <w:tc>
          <w:tcPr>
            <w:tcW w:w="1062" w:type="dxa"/>
            <w:vAlign w:val="bottom"/>
          </w:tcPr>
          <w:p>
            <w:pPr>
              <w:rPr>
                <w:rFonts w:hint="default" w:ascii="Arial" w:hAnsi="Arial" w:cs="Arial"/>
                <w:i w:val="0"/>
                <w:color w:val="000000"/>
                <w:sz w:val="20"/>
                <w:szCs w:val="20"/>
                <w:u w:val="none"/>
              </w:rPr>
            </w:pPr>
          </w:p>
        </w:tc>
        <w:tc>
          <w:tcPr>
            <w:tcW w:w="1179" w:type="dxa"/>
            <w:vAlign w:val="bottom"/>
          </w:tcPr>
          <w:p>
            <w:pPr>
              <w:rPr>
                <w:rFonts w:hint="default" w:ascii="Arial" w:hAnsi="Arial" w:cs="Arial"/>
                <w:i w:val="0"/>
                <w:color w:val="000000"/>
                <w:sz w:val="20"/>
                <w:szCs w:val="20"/>
                <w:u w:val="none"/>
              </w:rPr>
            </w:pPr>
          </w:p>
        </w:tc>
        <w:tc>
          <w:tcPr>
            <w:tcW w:w="1082" w:type="dxa"/>
            <w:vAlign w:val="bottom"/>
          </w:tcPr>
          <w:p>
            <w:pPr>
              <w:rPr>
                <w:rFonts w:hint="default" w:ascii="Arial" w:hAnsi="Arial" w:cs="Arial"/>
                <w:i w:val="0"/>
                <w:color w:val="000000"/>
                <w:sz w:val="20"/>
                <w:szCs w:val="20"/>
                <w:u w:val="none"/>
              </w:rPr>
            </w:pPr>
          </w:p>
        </w:tc>
        <w:tc>
          <w:tcPr>
            <w:tcW w:w="2516" w:type="dxa"/>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04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收     入</w:t>
            </w:r>
          </w:p>
        </w:tc>
        <w:tc>
          <w:tcPr>
            <w:tcW w:w="8940"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5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47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行次</w:t>
            </w:r>
          </w:p>
        </w:tc>
        <w:tc>
          <w:tcPr>
            <w:tcW w:w="231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金额</w:t>
            </w:r>
          </w:p>
        </w:tc>
        <w:tc>
          <w:tcPr>
            <w:tcW w:w="262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47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行次</w:t>
            </w:r>
          </w:p>
        </w:tc>
        <w:tc>
          <w:tcPr>
            <w:tcW w:w="106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17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一般公共预算财政拨款</w:t>
            </w:r>
          </w:p>
        </w:tc>
        <w:tc>
          <w:tcPr>
            <w:tcW w:w="108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政府性基金预算财政拨款</w:t>
            </w:r>
          </w:p>
        </w:tc>
        <w:tc>
          <w:tcPr>
            <w:tcW w:w="251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25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47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31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62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47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6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7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8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1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477"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31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62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477"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17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08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251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217.63</w:t>
            </w: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33</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34</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36</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37</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七、文化旅游体育与传媒支出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八、社会保障和就业支出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九、卫生健康支出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十、节能环保支出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十一、城乡社区支出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43</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十二、农林水支出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44</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234.05</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234.05</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十三、交通运输支出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45</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十四、资源勘探工业信息等支出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46</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十五、商业服务业等支出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十六、金融支出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48</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十七、援助其他地区支出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49</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十八、自然资源海洋气象等支出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十九、住房保障支出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51</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二十、粮油物资储备支出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52</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二十一、国有资本经营预算支出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二十二、灾害防治及应急管理支出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54</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二十三、其他支出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55</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二十四、债务还本支出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56</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二十五、债务付息支出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57</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二十六、抗疫特别国债安排的支出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58</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27</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217.63</w:t>
            </w:r>
          </w:p>
        </w:tc>
        <w:tc>
          <w:tcPr>
            <w:tcW w:w="262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59</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256.99</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256.99</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年初财政拨款结转和结余</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40.11</w:t>
            </w:r>
          </w:p>
        </w:tc>
        <w:tc>
          <w:tcPr>
            <w:tcW w:w="262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年末财政拨款结转和结余</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60</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0.75</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0.75</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一般公共预算财政拨款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40.11</w:t>
            </w:r>
          </w:p>
        </w:tc>
        <w:tc>
          <w:tcPr>
            <w:tcW w:w="2624"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61</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政府性基金预算财政拨款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62</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bookmarkStart w:id="2" w:name="_GoBack"/>
            <w:bookmarkEnd w:id="2"/>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国有资本经营预算财政拨款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w:t>
            </w:r>
          </w:p>
        </w:tc>
        <w:tc>
          <w:tcPr>
            <w:tcW w:w="23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24"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w:t>
            </w:r>
          </w:p>
        </w:tc>
        <w:tc>
          <w:tcPr>
            <w:tcW w:w="106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7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2"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477" w:type="dxa"/>
            <w:tcBorders>
              <w:bottom w:val="single" w:color="000000" w:sz="12"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w:t>
            </w:r>
          </w:p>
        </w:tc>
        <w:tc>
          <w:tcPr>
            <w:tcW w:w="23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257.74</w:t>
            </w:r>
          </w:p>
        </w:tc>
        <w:tc>
          <w:tcPr>
            <w:tcW w:w="262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64</w:t>
            </w:r>
          </w:p>
        </w:tc>
        <w:tc>
          <w:tcPr>
            <w:tcW w:w="106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257.74</w:t>
            </w:r>
          </w:p>
        </w:tc>
        <w:tc>
          <w:tcPr>
            <w:tcW w:w="117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257.74</w:t>
            </w:r>
          </w:p>
        </w:tc>
        <w:tc>
          <w:tcPr>
            <w:tcW w:w="10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3985" w:type="dxa"/>
            <w:gridSpan w:val="9"/>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6"/>
        <w:gridCol w:w="646"/>
        <w:gridCol w:w="671"/>
        <w:gridCol w:w="4680"/>
        <w:gridCol w:w="2700"/>
        <w:gridCol w:w="2550"/>
        <w:gridCol w:w="2047"/>
        <w:gridCol w:w="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85" w:type="dxa"/>
            <w:gridSpan w:val="8"/>
            <w:vAlign w:val="bottom"/>
          </w:tcPr>
          <w:p>
            <w:pPr>
              <w:widowControl/>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46" w:type="dxa"/>
            <w:vAlign w:val="bottom"/>
          </w:tcPr>
          <w:p>
            <w:pPr>
              <w:rPr>
                <w:rFonts w:hint="eastAsia" w:ascii="Arial" w:hAnsi="Arial" w:cs="Arial"/>
                <w:i w:val="0"/>
                <w:color w:val="000000"/>
                <w:sz w:val="20"/>
                <w:szCs w:val="20"/>
                <w:u w:val="none"/>
              </w:rPr>
            </w:pPr>
          </w:p>
        </w:tc>
        <w:tc>
          <w:tcPr>
            <w:tcW w:w="646" w:type="dxa"/>
            <w:vAlign w:val="bottom"/>
          </w:tcPr>
          <w:p>
            <w:pPr>
              <w:rPr>
                <w:rFonts w:hint="default" w:ascii="Arial" w:hAnsi="Arial" w:cs="Arial"/>
                <w:i w:val="0"/>
                <w:color w:val="000000"/>
                <w:sz w:val="20"/>
                <w:szCs w:val="20"/>
                <w:u w:val="none"/>
              </w:rPr>
            </w:pPr>
          </w:p>
        </w:tc>
        <w:tc>
          <w:tcPr>
            <w:tcW w:w="671" w:type="dxa"/>
            <w:vAlign w:val="bottom"/>
          </w:tcPr>
          <w:p>
            <w:pPr>
              <w:rPr>
                <w:rFonts w:hint="default" w:ascii="Arial" w:hAnsi="Arial" w:cs="Arial"/>
                <w:i w:val="0"/>
                <w:color w:val="000000"/>
                <w:sz w:val="20"/>
                <w:szCs w:val="20"/>
                <w:u w:val="none"/>
              </w:rPr>
            </w:pPr>
          </w:p>
        </w:tc>
        <w:tc>
          <w:tcPr>
            <w:tcW w:w="4680" w:type="dxa"/>
            <w:vAlign w:val="bottom"/>
          </w:tcPr>
          <w:p>
            <w:pPr>
              <w:rPr>
                <w:rFonts w:hint="default" w:ascii="Arial" w:hAnsi="Arial" w:cs="Arial"/>
                <w:i w:val="0"/>
                <w:color w:val="000000"/>
                <w:sz w:val="20"/>
                <w:szCs w:val="20"/>
                <w:u w:val="none"/>
              </w:rPr>
            </w:pPr>
          </w:p>
        </w:tc>
        <w:tc>
          <w:tcPr>
            <w:tcW w:w="2700" w:type="dxa"/>
            <w:vAlign w:val="bottom"/>
          </w:tcPr>
          <w:p>
            <w:pPr>
              <w:rPr>
                <w:rFonts w:hint="default" w:ascii="Arial" w:hAnsi="Arial" w:cs="Arial"/>
                <w:i w:val="0"/>
                <w:color w:val="000000"/>
                <w:sz w:val="20"/>
                <w:szCs w:val="20"/>
                <w:u w:val="none"/>
              </w:rPr>
            </w:pPr>
          </w:p>
        </w:tc>
        <w:tc>
          <w:tcPr>
            <w:tcW w:w="2550" w:type="dxa"/>
            <w:vAlign w:val="bottom"/>
          </w:tcPr>
          <w:p>
            <w:pPr>
              <w:rPr>
                <w:rFonts w:hint="default" w:ascii="Arial" w:hAnsi="Arial" w:cs="Arial"/>
                <w:i w:val="0"/>
                <w:color w:val="000000"/>
                <w:sz w:val="20"/>
                <w:szCs w:val="20"/>
                <w:u w:val="none"/>
              </w:rPr>
            </w:pPr>
          </w:p>
        </w:tc>
        <w:tc>
          <w:tcPr>
            <w:tcW w:w="2092"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343"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：河南省畜产品质量监测检验中心许昌分中心</w:t>
            </w:r>
          </w:p>
        </w:tc>
        <w:tc>
          <w:tcPr>
            <w:tcW w:w="2550" w:type="dxa"/>
            <w:vAlign w:val="bottom"/>
          </w:tcPr>
          <w:p>
            <w:pPr>
              <w:rPr>
                <w:rFonts w:hint="default" w:ascii="Arial" w:hAnsi="Arial" w:cs="Arial"/>
                <w:i w:val="0"/>
                <w:color w:val="000000"/>
                <w:sz w:val="20"/>
                <w:szCs w:val="20"/>
                <w:u w:val="none"/>
              </w:rPr>
            </w:pPr>
          </w:p>
        </w:tc>
        <w:tc>
          <w:tcPr>
            <w:tcW w:w="2092"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6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7342" w:type="dxa"/>
            <w:gridSpan w:val="4"/>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468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270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255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基本支出</w:t>
            </w:r>
          </w:p>
        </w:tc>
        <w:tc>
          <w:tcPr>
            <w:tcW w:w="2092" w:type="dxa"/>
            <w:gridSpan w:val="2"/>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963"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46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0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092" w:type="dxa"/>
            <w:gridSpan w:val="2"/>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46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0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092" w:type="dxa"/>
            <w:gridSpan w:val="2"/>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643"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27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5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092" w:type="dxa"/>
            <w:gridSpan w:val="2"/>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643"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256.99</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231.23</w:t>
            </w: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25.76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一般公共服务支出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群众团体事务</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2012906</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工会事务</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社会保障和就业支出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行政事业单位养老支出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2080505</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机关事业单位基本养老保险缴费支出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15.20</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卫生健康支出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行政事业单位医疗</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2101102</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事业单位医疗</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209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农林水支出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234.05</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208.29</w:t>
            </w: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农业农村</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234.05</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208.29</w:t>
            </w: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2130104</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事业运行</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215.97</w:t>
            </w:r>
          </w:p>
        </w:tc>
        <w:tc>
          <w:tcPr>
            <w:tcW w:w="25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208.29</w:t>
            </w: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2130106</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科技转化与推广服务</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4.21</w:t>
            </w:r>
          </w:p>
        </w:tc>
        <w:tc>
          <w:tcPr>
            <w:tcW w:w="25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092" w:type="dxa"/>
            <w:gridSpan w:val="2"/>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00" w:hRule="atLeast"/>
        </w:trPr>
        <w:tc>
          <w:tcPr>
            <w:tcW w:w="196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2130199</w:t>
            </w:r>
          </w:p>
        </w:tc>
        <w:tc>
          <w:tcPr>
            <w:tcW w:w="468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其他农业农村支出</w:t>
            </w:r>
          </w:p>
        </w:tc>
        <w:tc>
          <w:tcPr>
            <w:tcW w:w="27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13.87</w:t>
            </w:r>
          </w:p>
        </w:tc>
        <w:tc>
          <w:tcPr>
            <w:tcW w:w="25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0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00" w:hRule="atLeast"/>
        </w:trPr>
        <w:tc>
          <w:tcPr>
            <w:tcW w:w="13940" w:type="dxa"/>
            <w:gridSpan w:val="7"/>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1"/>
        <w:gridCol w:w="2657"/>
        <w:gridCol w:w="1147"/>
        <w:gridCol w:w="701"/>
        <w:gridCol w:w="1884"/>
        <w:gridCol w:w="1193"/>
        <w:gridCol w:w="701"/>
        <w:gridCol w:w="2783"/>
        <w:gridCol w:w="2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985" w:type="dxa"/>
            <w:gridSpan w:val="9"/>
            <w:vAlign w:val="bottom"/>
          </w:tcPr>
          <w:p>
            <w:pPr>
              <w:widowControl/>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01" w:type="dxa"/>
            <w:vAlign w:val="bottom"/>
          </w:tcPr>
          <w:p>
            <w:pPr>
              <w:rPr>
                <w:rFonts w:hint="eastAsia" w:ascii="Arial" w:hAnsi="Arial" w:cs="Arial"/>
                <w:i w:val="0"/>
                <w:color w:val="000000"/>
                <w:sz w:val="20"/>
                <w:szCs w:val="20"/>
                <w:u w:val="none"/>
              </w:rPr>
            </w:pPr>
          </w:p>
        </w:tc>
        <w:tc>
          <w:tcPr>
            <w:tcW w:w="2657" w:type="dxa"/>
            <w:vAlign w:val="bottom"/>
          </w:tcPr>
          <w:p>
            <w:pPr>
              <w:rPr>
                <w:rFonts w:hint="default" w:ascii="Arial" w:hAnsi="Arial" w:cs="Arial"/>
                <w:i w:val="0"/>
                <w:color w:val="000000"/>
                <w:sz w:val="20"/>
                <w:szCs w:val="20"/>
                <w:u w:val="none"/>
              </w:rPr>
            </w:pPr>
          </w:p>
        </w:tc>
        <w:tc>
          <w:tcPr>
            <w:tcW w:w="1147" w:type="dxa"/>
            <w:vAlign w:val="bottom"/>
          </w:tcPr>
          <w:p>
            <w:pPr>
              <w:rPr>
                <w:rFonts w:hint="default" w:ascii="Arial" w:hAnsi="Arial" w:cs="Arial"/>
                <w:i w:val="0"/>
                <w:color w:val="000000"/>
                <w:sz w:val="20"/>
                <w:szCs w:val="20"/>
                <w:u w:val="none"/>
              </w:rPr>
            </w:pPr>
          </w:p>
        </w:tc>
        <w:tc>
          <w:tcPr>
            <w:tcW w:w="701" w:type="dxa"/>
            <w:vAlign w:val="bottom"/>
          </w:tcPr>
          <w:p>
            <w:pPr>
              <w:rPr>
                <w:rFonts w:hint="default" w:ascii="Arial" w:hAnsi="Arial" w:cs="Arial"/>
                <w:i w:val="0"/>
                <w:color w:val="000000"/>
                <w:sz w:val="20"/>
                <w:szCs w:val="20"/>
                <w:u w:val="none"/>
              </w:rPr>
            </w:pPr>
          </w:p>
        </w:tc>
        <w:tc>
          <w:tcPr>
            <w:tcW w:w="1884" w:type="dxa"/>
            <w:vAlign w:val="bottom"/>
          </w:tcPr>
          <w:p>
            <w:pPr>
              <w:rPr>
                <w:rFonts w:hint="default" w:ascii="Arial" w:hAnsi="Arial" w:cs="Arial"/>
                <w:i w:val="0"/>
                <w:color w:val="000000"/>
                <w:sz w:val="20"/>
                <w:szCs w:val="20"/>
                <w:u w:val="none"/>
              </w:rPr>
            </w:pPr>
          </w:p>
        </w:tc>
        <w:tc>
          <w:tcPr>
            <w:tcW w:w="1193" w:type="dxa"/>
            <w:vAlign w:val="bottom"/>
          </w:tcPr>
          <w:p>
            <w:pPr>
              <w:rPr>
                <w:rFonts w:hint="default" w:ascii="Arial" w:hAnsi="Arial" w:cs="Arial"/>
                <w:i w:val="0"/>
                <w:color w:val="000000"/>
                <w:sz w:val="20"/>
                <w:szCs w:val="20"/>
                <w:u w:val="none"/>
              </w:rPr>
            </w:pPr>
          </w:p>
        </w:tc>
        <w:tc>
          <w:tcPr>
            <w:tcW w:w="701" w:type="dxa"/>
            <w:vAlign w:val="bottom"/>
          </w:tcPr>
          <w:p>
            <w:pPr>
              <w:rPr>
                <w:rFonts w:hint="default" w:ascii="Arial" w:hAnsi="Arial" w:cs="Arial"/>
                <w:i w:val="0"/>
                <w:color w:val="000000"/>
                <w:sz w:val="20"/>
                <w:szCs w:val="20"/>
                <w:u w:val="none"/>
              </w:rPr>
            </w:pPr>
          </w:p>
        </w:tc>
        <w:tc>
          <w:tcPr>
            <w:tcW w:w="5001" w:type="dxa"/>
            <w:gridSpan w:val="2"/>
            <w:vAlign w:val="bottom"/>
          </w:tcPr>
          <w:p>
            <w:pPr>
              <w:widowControl/>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06" w:type="dxa"/>
            <w:gridSpan w:val="4"/>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：河南省畜产品质量监测检验中心许昌分中心</w:t>
            </w:r>
          </w:p>
        </w:tc>
        <w:tc>
          <w:tcPr>
            <w:tcW w:w="1884" w:type="dxa"/>
            <w:vAlign w:val="bottom"/>
          </w:tcPr>
          <w:p>
            <w:pPr>
              <w:rPr>
                <w:rFonts w:hint="default" w:ascii="Arial" w:hAnsi="Arial" w:cs="Arial"/>
                <w:i w:val="0"/>
                <w:color w:val="000000"/>
                <w:sz w:val="20"/>
                <w:szCs w:val="20"/>
                <w:u w:val="none"/>
              </w:rPr>
            </w:pPr>
          </w:p>
        </w:tc>
        <w:tc>
          <w:tcPr>
            <w:tcW w:w="1193" w:type="dxa"/>
            <w:vAlign w:val="bottom"/>
          </w:tcPr>
          <w:p>
            <w:pPr>
              <w:rPr>
                <w:rFonts w:hint="default" w:ascii="Arial" w:hAnsi="Arial" w:cs="Arial"/>
                <w:i w:val="0"/>
                <w:color w:val="000000"/>
                <w:sz w:val="20"/>
                <w:szCs w:val="20"/>
                <w:u w:val="none"/>
              </w:rPr>
            </w:pPr>
          </w:p>
        </w:tc>
        <w:tc>
          <w:tcPr>
            <w:tcW w:w="701" w:type="dxa"/>
            <w:vAlign w:val="bottom"/>
          </w:tcPr>
          <w:p>
            <w:pPr>
              <w:rPr>
                <w:rFonts w:hint="default" w:ascii="Arial" w:hAnsi="Arial" w:cs="Arial"/>
                <w:i w:val="0"/>
                <w:color w:val="000000"/>
                <w:sz w:val="20"/>
                <w:szCs w:val="20"/>
                <w:u w:val="none"/>
              </w:rPr>
            </w:pPr>
          </w:p>
        </w:tc>
        <w:tc>
          <w:tcPr>
            <w:tcW w:w="5001" w:type="dxa"/>
            <w:gridSpan w:val="2"/>
            <w:vAlign w:val="bottom"/>
          </w:tcPr>
          <w:p>
            <w:pPr>
              <w:widowControl/>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5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人员经费</w:t>
            </w:r>
          </w:p>
        </w:tc>
        <w:tc>
          <w:tcPr>
            <w:tcW w:w="9480"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科目编码</w:t>
            </w:r>
          </w:p>
        </w:tc>
        <w:tc>
          <w:tcPr>
            <w:tcW w:w="265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14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c>
          <w:tcPr>
            <w:tcW w:w="701"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科目编码</w:t>
            </w:r>
          </w:p>
        </w:tc>
        <w:tc>
          <w:tcPr>
            <w:tcW w:w="188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193"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c>
          <w:tcPr>
            <w:tcW w:w="701"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科目编码</w:t>
            </w:r>
          </w:p>
        </w:tc>
        <w:tc>
          <w:tcPr>
            <w:tcW w:w="2783"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221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65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4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01"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8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01"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8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1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工资福利支出</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215.82</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商品和服务支出</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15.4</w:t>
            </w:r>
            <w:r>
              <w:rPr>
                <w:rFonts w:hint="eastAsia" w:ascii="宋体" w:hAnsi="宋体" w:cs="宋体"/>
                <w:i w:val="0"/>
                <w:color w:val="000000"/>
                <w:kern w:val="0"/>
                <w:sz w:val="22"/>
                <w:szCs w:val="22"/>
                <w:u w:val="none"/>
                <w:lang w:val="en-US" w:eastAsia="zh-CN"/>
              </w:rPr>
              <w:t>1</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307</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债务利息及费用支出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基本工资</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85.49</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30201</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办公费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38</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30701</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国内债务付息</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30102</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津贴补贴</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8.30</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30202</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印刷费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30702</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国外债务付息</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30103</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奖金</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64.62</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30203</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咨询费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资本性支出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30106</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伙食补助费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30204</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手续费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31001</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房屋建筑物购建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30107</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绩效工资</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18.38</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30205</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水费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0.36</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31002</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办公设备购置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30108</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机关事业单位基本养老保险缴费</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14.06</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30206</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电费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1.29</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31003</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专用设备购置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30109</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职业年金缴费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30207</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邮电费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0.37</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31005</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基础设施建设</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30110</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职工基本医疗保险缴费</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6.57</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30208</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取暖费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1.01</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31006</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大型修缮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公务员医疗补助缴费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30209</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物业管理费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0.03</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31007</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信息网络及软件购置更新</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30112</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其他社会保障缴费</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0.18</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30211</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差旅费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1.41</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31008</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物资储备</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30113</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住房公积金</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12.48</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30212</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因公出国（境）费用</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土地补偿</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30114</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医疗费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30213</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维修（护）费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0.70</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31010</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安置补助</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30199</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其他工资福利支出</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5.74</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30214</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租赁费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31011</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地上附着物和青苗补偿</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对个人和家庭的补助</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30215</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会议费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31012</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拆迁补偿</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离休费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30216</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培训费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31013</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公务用车购置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30302</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退休费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30217</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公务接待费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0.06</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其他交通工具购置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30303</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退职（役）费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30218</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专用材料费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2.36</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31021</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文物和陈列品购置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30304</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抚恤金</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30224</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被装购置费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31022</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无形资产购置</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30305</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生活补助</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30225</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专用燃料费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31099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其他资本性支出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30306</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救济费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30226</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劳务费</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30307</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医疗费补助</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30227</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委托业务费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2.33</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39906</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赠与</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30308</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助学金</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30228</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工会经费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39907</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国家赔偿费用支出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30309</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奖励金</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30229</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福利费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0.40</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39908</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对民间非营利组织和群众性自治组织补贴</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30310</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个人农业生产补贴</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30231</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公务用车运行维护费</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39999</w:t>
            </w:r>
          </w:p>
        </w:tc>
        <w:tc>
          <w:tcPr>
            <w:tcW w:w="27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其他支出</w:t>
            </w: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30311</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代缴社会保险费</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30239</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其他交通费用</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83"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30399</w:t>
            </w:r>
          </w:p>
        </w:tc>
        <w:tc>
          <w:tcPr>
            <w:tcW w:w="2657"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其他对个人和家庭的补助</w:t>
            </w: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30240</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税金及附加费用</w:t>
            </w:r>
          </w:p>
        </w:tc>
        <w:tc>
          <w:tcPr>
            <w:tcW w:w="11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83"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1"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57"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1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30299</w:t>
            </w:r>
          </w:p>
        </w:tc>
        <w:tc>
          <w:tcPr>
            <w:tcW w:w="188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其他商品和服务支出</w:t>
            </w:r>
          </w:p>
        </w:tc>
        <w:tc>
          <w:tcPr>
            <w:tcW w:w="119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0.5</w:t>
            </w:r>
            <w:r>
              <w:rPr>
                <w:rFonts w:hint="eastAsia" w:ascii="宋体" w:hAnsi="宋体" w:cs="宋体"/>
                <w:i w:val="0"/>
                <w:color w:val="000000"/>
                <w:kern w:val="0"/>
                <w:sz w:val="22"/>
                <w:szCs w:val="22"/>
                <w:u w:val="none"/>
                <w:lang w:val="en-US" w:eastAsia="zh-CN"/>
              </w:rPr>
              <w:t>4</w:t>
            </w:r>
          </w:p>
        </w:tc>
        <w:tc>
          <w:tcPr>
            <w:tcW w:w="701"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83"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21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58"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人员经费合计</w:t>
            </w:r>
          </w:p>
        </w:tc>
        <w:tc>
          <w:tcPr>
            <w:tcW w:w="114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215.82</w:t>
            </w:r>
          </w:p>
        </w:tc>
        <w:tc>
          <w:tcPr>
            <w:tcW w:w="7262" w:type="dxa"/>
            <w:gridSpan w:val="5"/>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公用经费合计</w:t>
            </w:r>
          </w:p>
        </w:tc>
        <w:tc>
          <w:tcPr>
            <w:tcW w:w="221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15.4</w:t>
            </w:r>
            <w:r>
              <w:rPr>
                <w:rFonts w:hint="eastAsia" w:ascii="宋体" w:hAnsi="宋体" w:cs="宋体"/>
                <w:i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85" w:type="dxa"/>
            <w:gridSpan w:val="9"/>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48"/>
        <w:gridCol w:w="942"/>
        <w:gridCol w:w="1250"/>
        <w:gridCol w:w="1025"/>
        <w:gridCol w:w="1348"/>
        <w:gridCol w:w="1292"/>
        <w:gridCol w:w="1110"/>
        <w:gridCol w:w="1026"/>
        <w:gridCol w:w="1152"/>
        <w:gridCol w:w="913"/>
        <w:gridCol w:w="1222"/>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793" w:type="dxa"/>
            <w:gridSpan w:val="12"/>
            <w:vAlign w:val="bottom"/>
          </w:tcPr>
          <w:p>
            <w:pPr>
              <w:widowControl/>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48" w:type="dxa"/>
            <w:vAlign w:val="bottom"/>
          </w:tcPr>
          <w:p>
            <w:pPr>
              <w:rPr>
                <w:rFonts w:hint="eastAsia" w:ascii="Arial" w:hAnsi="Arial" w:cs="Arial"/>
                <w:i w:val="0"/>
                <w:color w:val="000000"/>
                <w:sz w:val="20"/>
                <w:szCs w:val="20"/>
                <w:u w:val="none"/>
              </w:rPr>
            </w:pPr>
          </w:p>
        </w:tc>
        <w:tc>
          <w:tcPr>
            <w:tcW w:w="942" w:type="dxa"/>
            <w:vAlign w:val="bottom"/>
          </w:tcPr>
          <w:p>
            <w:pPr>
              <w:rPr>
                <w:rFonts w:hint="default" w:ascii="Arial" w:hAnsi="Arial" w:cs="Arial"/>
                <w:i w:val="0"/>
                <w:color w:val="000000"/>
                <w:sz w:val="20"/>
                <w:szCs w:val="20"/>
                <w:u w:val="none"/>
              </w:rPr>
            </w:pPr>
          </w:p>
        </w:tc>
        <w:tc>
          <w:tcPr>
            <w:tcW w:w="1250" w:type="dxa"/>
            <w:vAlign w:val="bottom"/>
          </w:tcPr>
          <w:p>
            <w:pPr>
              <w:rPr>
                <w:rFonts w:hint="default" w:ascii="Arial" w:hAnsi="Arial" w:cs="Arial"/>
                <w:i w:val="0"/>
                <w:color w:val="000000"/>
                <w:sz w:val="20"/>
                <w:szCs w:val="20"/>
                <w:u w:val="none"/>
              </w:rPr>
            </w:pPr>
          </w:p>
        </w:tc>
        <w:tc>
          <w:tcPr>
            <w:tcW w:w="1025" w:type="dxa"/>
            <w:vAlign w:val="bottom"/>
          </w:tcPr>
          <w:p>
            <w:pPr>
              <w:rPr>
                <w:rFonts w:hint="default" w:ascii="Arial" w:hAnsi="Arial" w:cs="Arial"/>
                <w:i w:val="0"/>
                <w:color w:val="000000"/>
                <w:sz w:val="20"/>
                <w:szCs w:val="20"/>
                <w:u w:val="none"/>
              </w:rPr>
            </w:pPr>
          </w:p>
        </w:tc>
        <w:tc>
          <w:tcPr>
            <w:tcW w:w="1348" w:type="dxa"/>
            <w:vAlign w:val="bottom"/>
          </w:tcPr>
          <w:p>
            <w:pPr>
              <w:rPr>
                <w:rFonts w:hint="default" w:ascii="Arial" w:hAnsi="Arial" w:cs="Arial"/>
                <w:i w:val="0"/>
                <w:color w:val="000000"/>
                <w:sz w:val="20"/>
                <w:szCs w:val="20"/>
                <w:u w:val="none"/>
              </w:rPr>
            </w:pPr>
          </w:p>
        </w:tc>
        <w:tc>
          <w:tcPr>
            <w:tcW w:w="1292" w:type="dxa"/>
            <w:vAlign w:val="bottom"/>
          </w:tcPr>
          <w:p>
            <w:pPr>
              <w:rPr>
                <w:rFonts w:hint="default" w:ascii="Arial" w:hAnsi="Arial" w:cs="Arial"/>
                <w:i w:val="0"/>
                <w:color w:val="000000"/>
                <w:sz w:val="20"/>
                <w:szCs w:val="20"/>
                <w:u w:val="none"/>
              </w:rPr>
            </w:pPr>
          </w:p>
        </w:tc>
        <w:tc>
          <w:tcPr>
            <w:tcW w:w="1110" w:type="dxa"/>
            <w:vAlign w:val="bottom"/>
          </w:tcPr>
          <w:p>
            <w:pPr>
              <w:rPr>
                <w:rFonts w:hint="default" w:ascii="Arial" w:hAnsi="Arial" w:cs="Arial"/>
                <w:i w:val="0"/>
                <w:color w:val="000000"/>
                <w:sz w:val="20"/>
                <w:szCs w:val="20"/>
                <w:u w:val="none"/>
              </w:rPr>
            </w:pPr>
          </w:p>
        </w:tc>
        <w:tc>
          <w:tcPr>
            <w:tcW w:w="1026" w:type="dxa"/>
            <w:vAlign w:val="bottom"/>
          </w:tcPr>
          <w:p>
            <w:pPr>
              <w:rPr>
                <w:rFonts w:hint="default" w:ascii="Arial" w:hAnsi="Arial" w:cs="Arial"/>
                <w:i w:val="0"/>
                <w:color w:val="000000"/>
                <w:sz w:val="20"/>
                <w:szCs w:val="20"/>
                <w:u w:val="none"/>
              </w:rPr>
            </w:pPr>
          </w:p>
        </w:tc>
        <w:tc>
          <w:tcPr>
            <w:tcW w:w="1152" w:type="dxa"/>
            <w:vAlign w:val="bottom"/>
          </w:tcPr>
          <w:p>
            <w:pPr>
              <w:rPr>
                <w:rFonts w:hint="default" w:ascii="Arial" w:hAnsi="Arial" w:cs="Arial"/>
                <w:i w:val="0"/>
                <w:color w:val="000000"/>
                <w:sz w:val="20"/>
                <w:szCs w:val="20"/>
                <w:u w:val="none"/>
              </w:rPr>
            </w:pPr>
          </w:p>
        </w:tc>
        <w:tc>
          <w:tcPr>
            <w:tcW w:w="3300"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913"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：河南省畜产品质量监测检验中心许昌分中心</w:t>
            </w:r>
          </w:p>
        </w:tc>
        <w:tc>
          <w:tcPr>
            <w:tcW w:w="1292" w:type="dxa"/>
            <w:vAlign w:val="bottom"/>
          </w:tcPr>
          <w:p>
            <w:pPr>
              <w:rPr>
                <w:rFonts w:hint="default" w:ascii="Arial" w:hAnsi="Arial" w:cs="Arial"/>
                <w:i w:val="0"/>
                <w:color w:val="000000"/>
                <w:sz w:val="20"/>
                <w:szCs w:val="20"/>
                <w:u w:val="none"/>
              </w:rPr>
            </w:pPr>
          </w:p>
        </w:tc>
        <w:tc>
          <w:tcPr>
            <w:tcW w:w="1110" w:type="dxa"/>
            <w:vAlign w:val="bottom"/>
          </w:tcPr>
          <w:p>
            <w:pPr>
              <w:rPr>
                <w:rFonts w:hint="default" w:ascii="Arial" w:hAnsi="Arial" w:cs="Arial"/>
                <w:i w:val="0"/>
                <w:color w:val="000000"/>
                <w:sz w:val="20"/>
                <w:szCs w:val="20"/>
                <w:u w:val="none"/>
              </w:rPr>
            </w:pPr>
          </w:p>
        </w:tc>
        <w:tc>
          <w:tcPr>
            <w:tcW w:w="1026" w:type="dxa"/>
            <w:vAlign w:val="bottom"/>
          </w:tcPr>
          <w:p>
            <w:pPr>
              <w:rPr>
                <w:rFonts w:hint="default" w:ascii="Arial" w:hAnsi="Arial" w:cs="Arial"/>
                <w:i w:val="0"/>
                <w:color w:val="000000"/>
                <w:sz w:val="20"/>
                <w:szCs w:val="20"/>
                <w:u w:val="none"/>
              </w:rPr>
            </w:pPr>
          </w:p>
        </w:tc>
        <w:tc>
          <w:tcPr>
            <w:tcW w:w="1152" w:type="dxa"/>
            <w:vAlign w:val="bottom"/>
          </w:tcPr>
          <w:p>
            <w:pPr>
              <w:rPr>
                <w:rFonts w:hint="default" w:ascii="Arial" w:hAnsi="Arial" w:cs="Arial"/>
                <w:i w:val="0"/>
                <w:color w:val="000000"/>
                <w:sz w:val="20"/>
                <w:szCs w:val="20"/>
                <w:u w:val="none"/>
              </w:rPr>
            </w:pPr>
          </w:p>
        </w:tc>
        <w:tc>
          <w:tcPr>
            <w:tcW w:w="3300"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20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6588"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8"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94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623" w:type="dxa"/>
            <w:gridSpan w:val="3"/>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公务用车购置及运行费</w:t>
            </w:r>
          </w:p>
        </w:tc>
        <w:tc>
          <w:tcPr>
            <w:tcW w:w="129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11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02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287" w:type="dxa"/>
            <w:gridSpan w:val="3"/>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公务用车购置及运行费</w:t>
            </w:r>
          </w:p>
        </w:tc>
        <w:tc>
          <w:tcPr>
            <w:tcW w:w="116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48"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4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02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公务用车购置费</w:t>
            </w:r>
          </w:p>
        </w:tc>
        <w:tc>
          <w:tcPr>
            <w:tcW w:w="134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公务用车运行费</w:t>
            </w:r>
          </w:p>
        </w:tc>
        <w:tc>
          <w:tcPr>
            <w:tcW w:w="129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1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2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5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91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公务用车购置费</w:t>
            </w:r>
          </w:p>
        </w:tc>
        <w:tc>
          <w:tcPr>
            <w:tcW w:w="122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公务用车运行费</w:t>
            </w:r>
          </w:p>
        </w:tc>
        <w:tc>
          <w:tcPr>
            <w:tcW w:w="116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8"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94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02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34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9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1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02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15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91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2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16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8" w:type="dxa"/>
            <w:tcBorders>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1.52</w:t>
            </w:r>
          </w:p>
        </w:tc>
        <w:tc>
          <w:tcPr>
            <w:tcW w:w="94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10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4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129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0.52</w:t>
            </w:r>
          </w:p>
        </w:tc>
        <w:tc>
          <w:tcPr>
            <w:tcW w:w="111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r>
              <w:rPr>
                <w:rFonts w:hint="eastAsia" w:ascii="宋体" w:hAnsi="宋体" w:cs="宋体"/>
                <w:i w:val="0"/>
                <w:color w:val="000000"/>
                <w:kern w:val="0"/>
                <w:sz w:val="22"/>
                <w:szCs w:val="22"/>
                <w:u w:val="none"/>
                <w:lang w:val="en-US" w:eastAsia="zh-CN"/>
              </w:rPr>
              <w:t>6</w:t>
            </w:r>
          </w:p>
        </w:tc>
        <w:tc>
          <w:tcPr>
            <w:tcW w:w="102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91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2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11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793" w:type="dxa"/>
            <w:gridSpan w:val="12"/>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705"/>
        <w:gridCol w:w="705"/>
        <w:gridCol w:w="2715"/>
        <w:gridCol w:w="1680"/>
        <w:gridCol w:w="959"/>
        <w:gridCol w:w="1890"/>
        <w:gridCol w:w="1680"/>
        <w:gridCol w:w="959"/>
        <w:gridCol w:w="1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940" w:type="dxa"/>
            <w:gridSpan w:val="10"/>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05" w:type="dxa"/>
            <w:vAlign w:val="bottom"/>
          </w:tcPr>
          <w:p>
            <w:pPr>
              <w:rPr>
                <w:rFonts w:hint="eastAsia" w:ascii="Arial" w:hAnsi="Arial" w:cs="Arial"/>
                <w:i w:val="0"/>
                <w:color w:val="000000"/>
                <w:sz w:val="20"/>
                <w:szCs w:val="20"/>
                <w:u w:val="none"/>
              </w:rPr>
            </w:pPr>
          </w:p>
        </w:tc>
        <w:tc>
          <w:tcPr>
            <w:tcW w:w="705" w:type="dxa"/>
            <w:vAlign w:val="bottom"/>
          </w:tcPr>
          <w:p>
            <w:pPr>
              <w:rPr>
                <w:rFonts w:hint="default" w:ascii="Arial" w:hAnsi="Arial" w:cs="Arial"/>
                <w:i w:val="0"/>
                <w:color w:val="000000"/>
                <w:sz w:val="20"/>
                <w:szCs w:val="20"/>
                <w:u w:val="none"/>
              </w:rPr>
            </w:pPr>
          </w:p>
        </w:tc>
        <w:tc>
          <w:tcPr>
            <w:tcW w:w="705" w:type="dxa"/>
            <w:vAlign w:val="bottom"/>
          </w:tcPr>
          <w:p>
            <w:pPr>
              <w:rPr>
                <w:rFonts w:hint="default" w:ascii="Arial" w:hAnsi="Arial" w:cs="Arial"/>
                <w:i w:val="0"/>
                <w:color w:val="000000"/>
                <w:sz w:val="20"/>
                <w:szCs w:val="20"/>
                <w:u w:val="none"/>
              </w:rPr>
            </w:pPr>
          </w:p>
        </w:tc>
        <w:tc>
          <w:tcPr>
            <w:tcW w:w="2715" w:type="dxa"/>
            <w:vAlign w:val="bottom"/>
          </w:tcPr>
          <w:p>
            <w:pPr>
              <w:rPr>
                <w:rFonts w:hint="default" w:ascii="Arial" w:hAnsi="Arial" w:cs="Arial"/>
                <w:i w:val="0"/>
                <w:color w:val="000000"/>
                <w:sz w:val="20"/>
                <w:szCs w:val="20"/>
                <w:u w:val="none"/>
              </w:rPr>
            </w:pPr>
          </w:p>
        </w:tc>
        <w:tc>
          <w:tcPr>
            <w:tcW w:w="1680" w:type="dxa"/>
            <w:vAlign w:val="bottom"/>
          </w:tcPr>
          <w:p>
            <w:pPr>
              <w:rPr>
                <w:rFonts w:hint="default" w:ascii="Arial" w:hAnsi="Arial" w:cs="Arial"/>
                <w:i w:val="0"/>
                <w:color w:val="000000"/>
                <w:sz w:val="20"/>
                <w:szCs w:val="20"/>
                <w:u w:val="none"/>
              </w:rPr>
            </w:pPr>
          </w:p>
        </w:tc>
        <w:tc>
          <w:tcPr>
            <w:tcW w:w="959" w:type="dxa"/>
            <w:vAlign w:val="bottom"/>
          </w:tcPr>
          <w:p>
            <w:pPr>
              <w:rPr>
                <w:rFonts w:hint="default" w:ascii="Arial" w:hAnsi="Arial" w:cs="Arial"/>
                <w:i w:val="0"/>
                <w:color w:val="000000"/>
                <w:sz w:val="20"/>
                <w:szCs w:val="20"/>
                <w:u w:val="none"/>
              </w:rPr>
            </w:pPr>
          </w:p>
        </w:tc>
        <w:tc>
          <w:tcPr>
            <w:tcW w:w="1890" w:type="dxa"/>
            <w:vAlign w:val="bottom"/>
          </w:tcPr>
          <w:p>
            <w:pPr>
              <w:rPr>
                <w:rFonts w:hint="default" w:ascii="Arial" w:hAnsi="Arial" w:cs="Arial"/>
                <w:i w:val="0"/>
                <w:color w:val="000000"/>
                <w:sz w:val="20"/>
                <w:szCs w:val="20"/>
                <w:u w:val="none"/>
              </w:rPr>
            </w:pPr>
          </w:p>
        </w:tc>
        <w:tc>
          <w:tcPr>
            <w:tcW w:w="1680" w:type="dxa"/>
            <w:vAlign w:val="bottom"/>
          </w:tcPr>
          <w:p>
            <w:pPr>
              <w:rPr>
                <w:rFonts w:hint="default" w:ascii="Arial" w:hAnsi="Arial" w:cs="Arial"/>
                <w:i w:val="0"/>
                <w:color w:val="000000"/>
                <w:sz w:val="20"/>
                <w:szCs w:val="20"/>
                <w:u w:val="none"/>
              </w:rPr>
            </w:pPr>
          </w:p>
        </w:tc>
        <w:tc>
          <w:tcPr>
            <w:tcW w:w="959" w:type="dxa"/>
            <w:vAlign w:val="bottom"/>
          </w:tcPr>
          <w:p>
            <w:pPr>
              <w:rPr>
                <w:rFonts w:hint="default" w:ascii="Arial" w:hAnsi="Arial" w:cs="Arial"/>
                <w:i w:val="0"/>
                <w:color w:val="000000"/>
                <w:sz w:val="20"/>
                <w:szCs w:val="20"/>
                <w:u w:val="none"/>
              </w:rPr>
            </w:pPr>
          </w:p>
        </w:tc>
        <w:tc>
          <w:tcPr>
            <w:tcW w:w="1942" w:type="dxa"/>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10"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：河南省畜产品质量监测检验中心许昌分中心</w:t>
            </w:r>
          </w:p>
        </w:tc>
        <w:tc>
          <w:tcPr>
            <w:tcW w:w="959" w:type="dxa"/>
            <w:vAlign w:val="bottom"/>
          </w:tcPr>
          <w:p>
            <w:pPr>
              <w:rPr>
                <w:rFonts w:hint="default" w:ascii="Arial" w:hAnsi="Arial" w:cs="Arial"/>
                <w:i w:val="0"/>
                <w:color w:val="000000"/>
                <w:sz w:val="20"/>
                <w:szCs w:val="20"/>
                <w:u w:val="none"/>
              </w:rPr>
            </w:pPr>
          </w:p>
        </w:tc>
        <w:tc>
          <w:tcPr>
            <w:tcW w:w="1890" w:type="dxa"/>
            <w:vAlign w:val="bottom"/>
          </w:tcPr>
          <w:p>
            <w:pPr>
              <w:rPr>
                <w:rFonts w:hint="default" w:ascii="Arial" w:hAnsi="Arial" w:cs="Arial"/>
                <w:i w:val="0"/>
                <w:color w:val="000000"/>
                <w:sz w:val="20"/>
                <w:szCs w:val="20"/>
                <w:u w:val="none"/>
              </w:rPr>
            </w:pPr>
          </w:p>
        </w:tc>
        <w:tc>
          <w:tcPr>
            <w:tcW w:w="1680" w:type="dxa"/>
            <w:vAlign w:val="bottom"/>
          </w:tcPr>
          <w:p>
            <w:pPr>
              <w:rPr>
                <w:rFonts w:hint="default" w:ascii="Arial" w:hAnsi="Arial" w:cs="Arial"/>
                <w:i w:val="0"/>
                <w:color w:val="000000"/>
                <w:sz w:val="20"/>
                <w:szCs w:val="20"/>
                <w:u w:val="none"/>
              </w:rPr>
            </w:pPr>
          </w:p>
        </w:tc>
        <w:tc>
          <w:tcPr>
            <w:tcW w:w="959" w:type="dxa"/>
            <w:vAlign w:val="bottom"/>
          </w:tcPr>
          <w:p>
            <w:pPr>
              <w:rPr>
                <w:rFonts w:hint="default" w:ascii="Arial" w:hAnsi="Arial" w:cs="Arial"/>
                <w:i w:val="0"/>
                <w:color w:val="000000"/>
                <w:sz w:val="20"/>
                <w:szCs w:val="20"/>
                <w:u w:val="none"/>
              </w:rPr>
            </w:pPr>
          </w:p>
        </w:tc>
        <w:tc>
          <w:tcPr>
            <w:tcW w:w="1942" w:type="dxa"/>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83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168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年初结转和结余</w:t>
            </w:r>
          </w:p>
        </w:tc>
        <w:tc>
          <w:tcPr>
            <w:tcW w:w="959"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本年收入</w:t>
            </w:r>
          </w:p>
        </w:tc>
        <w:tc>
          <w:tcPr>
            <w:tcW w:w="4529"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本年支出</w:t>
            </w:r>
          </w:p>
        </w:tc>
        <w:tc>
          <w:tcPr>
            <w:tcW w:w="194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271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9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68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基本支出</w:t>
            </w:r>
          </w:p>
        </w:tc>
        <w:tc>
          <w:tcPr>
            <w:tcW w:w="95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项目支出</w:t>
            </w:r>
          </w:p>
        </w:tc>
        <w:tc>
          <w:tcPr>
            <w:tcW w:w="1942"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9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942"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9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942"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830"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16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95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89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6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95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94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830"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68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115"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1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9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8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5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94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40" w:type="dxa"/>
            <w:gridSpan w:val="10"/>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sz w:val="24"/>
          <w:szCs w:val="24"/>
          <w:highlight w:val="none"/>
        </w:rPr>
        <w:t>说明：我</w:t>
      </w:r>
      <w:r>
        <w:rPr>
          <w:rFonts w:hint="eastAsia" w:ascii="宋体" w:hAnsi="宋体" w:cs="宋体"/>
          <w:i w:val="0"/>
          <w:color w:val="000000"/>
          <w:kern w:val="0"/>
          <w:sz w:val="22"/>
          <w:szCs w:val="22"/>
          <w:u w:val="none"/>
          <w:lang w:val="en-US"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257.74</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6.47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%。主要原因是压缩非刚性支出。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217.63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217.63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256.99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231.23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89.98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25.76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257.74</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11.11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4.50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因使用的有上年结转资金，故费用较上年有所增加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256.99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99.71</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35.82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16.20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因使用的有上年结转资金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256.99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1.17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w:t>
      </w:r>
      <w:r>
        <w:rPr>
          <w:rFonts w:hint="eastAsia" w:ascii="仿宋_GB2312" w:hAnsi="仿宋_GB2312" w:eastAsia="仿宋_GB2312"/>
          <w:sz w:val="32"/>
          <w:lang w:val="zh-CN"/>
        </w:rPr>
        <w:t>社会保障和就业（类）支出</w:t>
      </w:r>
      <w:r>
        <w:rPr>
          <w:rFonts w:hint="eastAsia" w:ascii="仿宋_GB2312" w:hAnsi="仿宋_GB2312" w:eastAsia="仿宋_GB2312"/>
          <w:sz w:val="32"/>
          <w:lang w:val="en-US" w:eastAsia="zh-CN"/>
        </w:rPr>
        <w:t>15.20</w:t>
      </w:r>
      <w:r>
        <w:rPr>
          <w:rFonts w:hint="eastAsia" w:ascii="仿宋_GB2312" w:hAnsi="仿宋_GB2312" w:eastAsia="仿宋_GB2312"/>
          <w:sz w:val="32"/>
          <w:lang w:val="zh-CN"/>
        </w:rPr>
        <w:t>万元，占</w:t>
      </w:r>
      <w:r>
        <w:rPr>
          <w:rFonts w:hint="eastAsia" w:ascii="仿宋_GB2312" w:hAnsi="仿宋_GB2312" w:eastAsia="仿宋_GB2312"/>
          <w:sz w:val="32"/>
          <w:lang w:val="en-US" w:eastAsia="zh-CN"/>
        </w:rPr>
        <w:t>5.91</w:t>
      </w:r>
      <w:r>
        <w:rPr>
          <w:rFonts w:hint="eastAsia" w:ascii="仿宋_GB2312" w:hAnsi="仿宋_GB2312" w:eastAsia="仿宋_GB2312"/>
          <w:sz w:val="32"/>
          <w:lang w:val="zh-CN"/>
        </w:rPr>
        <w:t>%；卫生健康（类）支出</w:t>
      </w:r>
      <w:r>
        <w:rPr>
          <w:rFonts w:hint="eastAsia" w:ascii="仿宋_GB2312" w:hAnsi="仿宋_GB2312" w:eastAsia="仿宋_GB2312"/>
          <w:sz w:val="32"/>
          <w:lang w:val="en-US" w:eastAsia="zh-CN"/>
        </w:rPr>
        <w:t>6.57</w:t>
      </w:r>
      <w:r>
        <w:rPr>
          <w:rFonts w:hint="eastAsia" w:ascii="仿宋_GB2312" w:hAnsi="仿宋_GB2312" w:eastAsia="仿宋_GB2312"/>
          <w:sz w:val="32"/>
          <w:lang w:val="zh-CN"/>
        </w:rPr>
        <w:t>万元，占</w:t>
      </w:r>
      <w:r>
        <w:rPr>
          <w:rFonts w:hint="eastAsia" w:ascii="仿宋_GB2312" w:hAnsi="仿宋_GB2312" w:eastAsia="仿宋_GB2312"/>
          <w:sz w:val="32"/>
          <w:lang w:val="en-US" w:eastAsia="zh-CN"/>
        </w:rPr>
        <w:t>2.56</w:t>
      </w:r>
      <w:r>
        <w:rPr>
          <w:rFonts w:hint="eastAsia" w:ascii="仿宋_GB2312" w:hAnsi="仿宋_GB2312" w:eastAsia="仿宋_GB2312"/>
          <w:sz w:val="32"/>
          <w:lang w:val="zh-CN"/>
        </w:rPr>
        <w:t>%；</w:t>
      </w:r>
      <w:r>
        <w:rPr>
          <w:rFonts w:hint="eastAsia" w:ascii="仿宋_GB2312" w:hAnsi="宋体" w:eastAsia="仿宋_GB2312"/>
          <w:sz w:val="32"/>
        </w:rPr>
        <w:t>农林水</w:t>
      </w:r>
      <w:r>
        <w:rPr>
          <w:rFonts w:hint="eastAsia" w:ascii="仿宋_GB2312" w:hAnsi="仿宋_GB2312" w:eastAsia="仿宋_GB2312"/>
          <w:sz w:val="32"/>
          <w:lang w:val="zh-CN"/>
        </w:rPr>
        <w:t>（类）</w:t>
      </w:r>
      <w:r>
        <w:rPr>
          <w:rFonts w:hint="eastAsia" w:ascii="仿宋_GB2312" w:hAnsi="宋体" w:eastAsia="仿宋_GB2312"/>
          <w:sz w:val="32"/>
        </w:rPr>
        <w:t>支出</w:t>
      </w:r>
      <w:r>
        <w:rPr>
          <w:rFonts w:hint="eastAsia" w:ascii="仿宋_GB2312" w:hAnsi="仿宋_GB2312" w:eastAsia="仿宋_GB2312"/>
          <w:sz w:val="32"/>
          <w:lang w:val="en-US" w:eastAsia="zh-CN"/>
        </w:rPr>
        <w:t>234.05</w:t>
      </w:r>
      <w:r>
        <w:rPr>
          <w:rFonts w:hint="eastAsia" w:ascii="仿宋_GB2312" w:hAnsi="宋体" w:eastAsia="仿宋_GB2312"/>
          <w:sz w:val="32"/>
        </w:rPr>
        <w:t>万元，占</w:t>
      </w:r>
      <w:r>
        <w:rPr>
          <w:rFonts w:hint="eastAsia" w:ascii="仿宋_GB2312" w:hAnsi="宋体" w:eastAsia="仿宋_GB2312"/>
          <w:sz w:val="32"/>
          <w:lang w:val="en-US" w:eastAsia="zh-CN"/>
        </w:rPr>
        <w:t>91.07</w:t>
      </w:r>
      <w:r>
        <w:rPr>
          <w:rFonts w:hint="eastAsia" w:ascii="仿宋_GB2312" w:hAnsi="宋体" w:eastAsia="仿宋_GB2312"/>
          <w:sz w:val="32"/>
        </w:rPr>
        <w:t>%</w:t>
      </w:r>
      <w:r>
        <w:rPr>
          <w:rFonts w:hint="eastAsia" w:ascii="仿宋_GB2312" w:hAnsi="仿宋_GB2312" w:eastAsia="仿宋_GB2312"/>
          <w:sz w:val="32"/>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210.95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256.99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121.83</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w:t>
      </w:r>
      <w:r>
        <w:rPr>
          <w:rFonts w:hint="eastAsia" w:ascii="仿宋_GB2312" w:hAnsi="仿宋_GB2312" w:eastAsia="仿宋_GB2312" w:cs="仿宋_GB2312"/>
          <w:b/>
          <w:bCs/>
          <w:sz w:val="32"/>
          <w:szCs w:val="32"/>
          <w:highlight w:val="none"/>
          <w:lang w:val="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15.20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109.35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下半年养老</w:t>
      </w:r>
      <w:r>
        <w:rPr>
          <w:rFonts w:hint="eastAsia" w:ascii="仿宋_GB2312" w:hAnsi="仿宋_GB2312" w:eastAsia="仿宋_GB2312" w:cs="仿宋_GB2312"/>
          <w:sz w:val="32"/>
          <w:szCs w:val="32"/>
        </w:rPr>
        <w:t>基数调整</w:t>
      </w:r>
      <w:r>
        <w:rPr>
          <w:rFonts w:hint="eastAsia" w:ascii="仿宋_GB2312" w:hAnsi="仿宋_GB2312" w:eastAsia="仿宋_GB2312" w:cs="仿宋_GB2312"/>
          <w:sz w:val="32"/>
          <w:szCs w:val="32"/>
          <w:lang w:eastAsia="zh-CN"/>
        </w:rPr>
        <w:t>，费用有所增加</w:t>
      </w:r>
      <w:r>
        <w:rPr>
          <w:rFonts w:hint="eastAsia" w:ascii="仿宋_GB2312" w:hAnsi="仿宋_GB2312" w:eastAsia="仿宋_GB2312" w:cs="仿宋_GB2312"/>
          <w:sz w:val="32"/>
          <w:szCs w:val="32"/>
        </w:rPr>
        <w:t>。</w:t>
      </w:r>
    </w:p>
    <w:p>
      <w:pPr>
        <w:spacing w:line="590" w:lineRule="exact"/>
        <w:ind w:firstLine="420" w:firstLineChars="131"/>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3.卫生健康支出</w:t>
      </w:r>
      <w:r>
        <w:rPr>
          <w:rFonts w:hint="eastAsia" w:ascii="仿宋_GB2312" w:hAnsi="仿宋_GB2312" w:eastAsia="仿宋_GB2312" w:cs="仿宋_GB2312"/>
          <w:b/>
          <w:bCs/>
          <w:sz w:val="32"/>
          <w:szCs w:val="32"/>
          <w:highlight w:val="none"/>
          <w:lang w:val="zh-CN"/>
        </w:rPr>
        <w:t>（类）行政事业单位医疗（款）事业单位医疗（项）。</w:t>
      </w:r>
      <w:r>
        <w:rPr>
          <w:rFonts w:hint="eastAsia" w:ascii="仿宋_GB2312" w:hAnsi="仿宋_GB2312" w:eastAsia="仿宋_GB2312" w:cs="仿宋_GB2312"/>
          <w:sz w:val="32"/>
          <w:szCs w:val="32"/>
          <w:highlight w:val="none"/>
        </w:rPr>
        <w:t>年初预算为6.56万元，支出决算为6.</w:t>
      </w:r>
      <w:r>
        <w:rPr>
          <w:rFonts w:hint="eastAsia" w:ascii="仿宋_GB2312" w:hAnsi="仿宋_GB2312" w:eastAsia="仿宋_GB2312" w:cs="仿宋_GB2312"/>
          <w:sz w:val="32"/>
          <w:szCs w:val="32"/>
          <w:highlight w:val="none"/>
          <w:lang w:val="en-US" w:eastAsia="zh-CN"/>
        </w:rPr>
        <w:t>57</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100.15</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下半年医疗</w:t>
      </w:r>
      <w:r>
        <w:rPr>
          <w:rFonts w:hint="eastAsia" w:ascii="仿宋_GB2312" w:hAnsi="仿宋_GB2312" w:eastAsia="仿宋_GB2312" w:cs="仿宋_GB2312"/>
          <w:sz w:val="32"/>
          <w:szCs w:val="32"/>
          <w:highlight w:val="none"/>
        </w:rPr>
        <w:t>基数调整</w:t>
      </w:r>
      <w:r>
        <w:rPr>
          <w:rFonts w:hint="eastAsia" w:ascii="仿宋_GB2312" w:hAnsi="仿宋_GB2312" w:eastAsia="仿宋_GB2312" w:cs="仿宋_GB2312"/>
          <w:sz w:val="32"/>
          <w:szCs w:val="32"/>
          <w:highlight w:val="none"/>
          <w:lang w:eastAsia="zh-CN"/>
        </w:rPr>
        <w:t>，费用有所增加。</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4.农林水支出（类）农业农村（款）事业运行（项）。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color w:val="000000"/>
          <w:sz w:val="32"/>
          <w:szCs w:val="32"/>
          <w:highlight w:val="none"/>
          <w:lang w:val="en-US" w:eastAsia="zh-CN"/>
        </w:rPr>
        <w:t>189.32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215.97</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114.08</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因使用的有上年结转资金，故费用较上年有所增加</w:t>
      </w:r>
      <w:r>
        <w:rPr>
          <w:rFonts w:hint="eastAsia" w:ascii="仿宋_GB2312" w:hAnsi="仿宋_GB2312" w:eastAsia="仿宋_GB2312" w:cs="仿宋_GB2312"/>
          <w:sz w:val="32"/>
          <w:szCs w:val="32"/>
          <w:highlight w:val="none"/>
        </w:rPr>
        <w:t>。</w:t>
      </w:r>
    </w:p>
    <w:p>
      <w:pPr>
        <w:spacing w:line="590" w:lineRule="exact"/>
        <w:rPr>
          <w:rFonts w:hint="eastAsia" w:ascii="仿宋_GB2312" w:hAnsi="仿宋_GB2312" w:eastAsia="仿宋_GB2312"/>
          <w:b/>
          <w:sz w:val="32"/>
          <w:highlight w:val="yellow"/>
        </w:rPr>
      </w:pPr>
      <w:r>
        <w:rPr>
          <w:rFonts w:hint="eastAsia" w:ascii="仿宋_GB2312" w:hAnsi="仿宋_GB2312" w:eastAsia="仿宋_GB2312"/>
          <w:b/>
          <w:sz w:val="32"/>
          <w:highlight w:val="none"/>
        </w:rPr>
        <w:t xml:space="preserve">    </w:t>
      </w:r>
      <w:r>
        <w:rPr>
          <w:rFonts w:hint="eastAsia" w:ascii="仿宋_GB2312" w:hAnsi="仿宋_GB2312" w:eastAsia="仿宋_GB2312" w:cs="仿宋_GB2312"/>
          <w:b/>
          <w:bCs/>
          <w:sz w:val="32"/>
          <w:szCs w:val="32"/>
          <w:highlight w:val="none"/>
        </w:rPr>
        <w:t>5.农林水支出（类）农业农村（款）科技转化与推广服务（项）。</w:t>
      </w:r>
      <w:r>
        <w:rPr>
          <w:rFonts w:hint="eastAsia" w:ascii="仿宋_GB2312" w:hAnsi="仿宋_GB2312" w:eastAsia="仿宋_GB2312"/>
          <w:sz w:val="32"/>
          <w:highlight w:val="none"/>
        </w:rPr>
        <w:t>年初预算为0</w:t>
      </w:r>
      <w:r>
        <w:rPr>
          <w:rFonts w:hint="eastAsia" w:ascii="仿宋_GB2312" w:hAnsi="仿宋_GB2312" w:eastAsia="仿宋_GB2312"/>
          <w:sz w:val="32"/>
          <w:highlight w:val="none"/>
          <w:lang w:val="en-US" w:eastAsia="zh-CN"/>
        </w:rPr>
        <w:t>.00</w:t>
      </w:r>
      <w:r>
        <w:rPr>
          <w:rFonts w:hint="eastAsia" w:ascii="仿宋_GB2312" w:hAnsi="仿宋_GB2312" w:eastAsia="仿宋_GB2312"/>
          <w:sz w:val="32"/>
          <w:highlight w:val="none"/>
        </w:rPr>
        <w:t>万元，支出决算为</w:t>
      </w:r>
      <w:r>
        <w:rPr>
          <w:rFonts w:hint="eastAsia" w:ascii="仿宋_GB2312" w:hAnsi="仿宋_GB2312" w:eastAsia="仿宋_GB2312"/>
          <w:sz w:val="32"/>
          <w:highlight w:val="none"/>
          <w:lang w:val="en-US" w:eastAsia="zh-CN"/>
        </w:rPr>
        <w:t>4.21</w:t>
      </w:r>
      <w:r>
        <w:rPr>
          <w:rFonts w:hint="eastAsia" w:ascii="仿宋_GB2312" w:hAnsi="仿宋_GB2312" w:eastAsia="仿宋_GB2312"/>
          <w:sz w:val="32"/>
          <w:highlight w:val="none"/>
        </w:rPr>
        <w:t>万元。</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该资金为省级下达财政资金</w:t>
      </w:r>
      <w:r>
        <w:rPr>
          <w:rFonts w:hint="eastAsia" w:ascii="仿宋_GB2312" w:hAnsi="仿宋_GB2312" w:eastAsia="仿宋_GB2312"/>
          <w:sz w:val="32"/>
          <w:highlight w:val="none"/>
        </w:rPr>
        <w:t>，没有列入年初预算</w:t>
      </w:r>
      <w:r>
        <w:rPr>
          <w:rFonts w:hint="eastAsia" w:ascii="仿宋_GB2312" w:hAnsi="仿宋_GB2312" w:eastAsia="仿宋_GB2312"/>
          <w:color w:val="000000"/>
          <w:sz w:val="32"/>
          <w:highlight w:val="none"/>
        </w:rPr>
        <w:t>。</w:t>
      </w:r>
    </w:p>
    <w:p>
      <w:pPr>
        <w:spacing w:line="590" w:lineRule="exact"/>
        <w:ind w:firstLine="64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6.农林水支出（类）农业农村（款）其他农业农村支出（项）。</w:t>
      </w:r>
      <w:bookmarkStart w:id="1" w:name="OLE_LINK1"/>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13.87</w:t>
      </w:r>
      <w:r>
        <w:rPr>
          <w:rFonts w:hint="eastAsia" w:ascii="仿宋_GB2312" w:hAnsi="仿宋_GB2312" w:eastAsia="仿宋_GB2312" w:cs="仿宋_GB2312"/>
          <w:sz w:val="32"/>
          <w:szCs w:val="32"/>
          <w:highlight w:val="none"/>
        </w:rPr>
        <w:t>万元。决算数与年初预算数存在差异</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使用的上年结转资金</w:t>
      </w:r>
      <w:r>
        <w:rPr>
          <w:rFonts w:hint="eastAsia" w:ascii="仿宋_GB2312" w:hAnsi="仿宋_GB2312" w:eastAsia="仿宋_GB2312" w:cs="仿宋_GB2312"/>
          <w:sz w:val="32"/>
          <w:szCs w:val="32"/>
          <w:highlight w:val="none"/>
        </w:rPr>
        <w:t>。</w:t>
      </w:r>
    </w:p>
    <w:bookmarkEnd w:id="1"/>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231.23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215.82</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其他工资福利支出；公用经费</w:t>
      </w:r>
      <w:r>
        <w:rPr>
          <w:rFonts w:hint="eastAsia" w:ascii="仿宋_GB2312" w:hAnsi="仿宋_GB2312" w:eastAsia="仿宋_GB2312" w:cs="仿宋_GB2312"/>
          <w:sz w:val="32"/>
          <w:szCs w:val="32"/>
          <w:highlight w:val="none"/>
          <w:lang w:val="en-US" w:eastAsia="zh-CN"/>
        </w:rPr>
        <w:t>15.41</w:t>
      </w:r>
      <w:r>
        <w:rPr>
          <w:rFonts w:hint="eastAsia" w:ascii="仿宋_GB2312" w:hAnsi="仿宋_GB2312" w:eastAsia="仿宋_GB2312" w:cs="仿宋_GB2312"/>
          <w:sz w:val="32"/>
          <w:szCs w:val="32"/>
          <w:highlight w:val="none"/>
        </w:rPr>
        <w:t>万元，主要包括：办公费、水费、电费、邮电费、取暖费、物业管理费、差旅费、维修（护）费、公务接待费、专用材料费、委托业务费、工会经费、福利费、公务用车运行维护费、其他商品和服务支出。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69.74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olor w:val="auto"/>
          <w:sz w:val="32"/>
          <w:lang w:val="en-US" w:eastAsia="zh-CN"/>
        </w:rPr>
        <w:t>避免铺张浪费、合理控制开支</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94.34</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11.54</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5.66</w:t>
      </w:r>
      <w:r>
        <w:rPr>
          <w:rFonts w:hint="eastAsia" w:ascii="仿宋_GB2312" w:hAnsi="仿宋_GB2312" w:eastAsia="仿宋_GB2312" w:cs="仿宋_GB2312"/>
          <w:sz w:val="32"/>
          <w:szCs w:val="32"/>
          <w:highlight w:val="none"/>
        </w:rPr>
        <w:t>%。具体情况如下：</w:t>
      </w:r>
    </w:p>
    <w:p>
      <w:pPr>
        <w:widowControl/>
        <w:spacing w:line="590" w:lineRule="exact"/>
        <w:ind w:firstLine="642"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抽取</w:t>
      </w:r>
      <w:r>
        <w:rPr>
          <w:rFonts w:hint="eastAsia" w:ascii="仿宋_GB2312" w:hAnsi="仿宋_GB2312" w:eastAsia="仿宋_GB2312" w:cs="仿宋_GB2312"/>
          <w:sz w:val="32"/>
          <w:szCs w:val="32"/>
          <w:highlight w:val="none"/>
          <w:lang w:eastAsia="zh-CN"/>
        </w:rPr>
        <w:t>许昌</w:t>
      </w:r>
      <w:r>
        <w:rPr>
          <w:rFonts w:hint="eastAsia" w:ascii="仿宋_GB2312" w:hAnsi="仿宋_GB2312" w:eastAsia="仿宋_GB2312" w:cs="仿宋_GB2312"/>
          <w:sz w:val="32"/>
          <w:szCs w:val="32"/>
          <w:highlight w:val="none"/>
          <w:lang w:val="en-US" w:eastAsia="zh-CN"/>
        </w:rPr>
        <w:t>市县区饲料兽药畜产品样品以及配合上级业务部门抽取监督抽检样品</w:t>
      </w:r>
      <w:r>
        <w:rPr>
          <w:rFonts w:hint="eastAsia" w:ascii="仿宋_GB2312" w:hAnsi="仿宋_GB2312" w:eastAsia="仿宋_GB2312" w:cs="仿宋_GB2312"/>
          <w:sz w:val="32"/>
          <w:szCs w:val="32"/>
          <w:highlight w:val="none"/>
        </w:rPr>
        <w:t>。2021年期末，单位开支财政拨款的公务用车保有量为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11.54</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严控经费支出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配合上级部门对畜产品检测机构和畜牧企业调研产生公务接待费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spacing w:line="590" w:lineRule="exact"/>
        <w:ind w:firstLine="640" w:firstLineChars="200"/>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p>
    <w:p>
      <w:pPr>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olor w:val="auto"/>
          <w:sz w:val="32"/>
          <w:lang w:val="en-US" w:eastAsia="zh-CN"/>
        </w:rPr>
        <w:t>我单位2021年度没有政府性基金收入，也没有使用政府性基金安排的支出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强化项目绩效目标。我单位对申报的预算项目进行全面梳理、加强审核，申报的项目必须有明细的资金测算依据，对无具体内容、无明细支出测算的，或支出测算不够详细的项目，一律不予申报。二是积极推进项目绩效评价。在加强预算编制环节的基础上，组织人员对事前、事中、事后各个环节进行抽查活动。主要内容是对照年初预算确定的项目绩效信息，重点审查资金是否符合规定支出范围，预算执行进度是否及时、合理。</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我单位在执行项目资金过程中，严格按照财政资金管理有关规定，按项目进展情况合理合规使用项目资金，未截留、挪用、虚列支出等现象。投入管理指标中工作目标完成情况：完成全市饲料兽药畜产品检测检验</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412批次。2021年完成全市饲料兽药畜产品检测检验及放心肉菜超市畜产品质量专项抽检及检验共431批次，超额完成目标任务；产出指标完成情况：检测流程规范性、检测报告准确性、抽检合格率及检测资金执行率实际完成值均大于年度指标值，超额完成目标任务；效益指标完成情况：对畜产品投入品、畜产品兽药残留及违禁物质的监测，畜产品质量安全抽检合格率的增加、减少了兽药残留对人体的危害和化学元素对环境的污染、保护人民群众的畜产品安全；服务对象（受检单位）畜产品质量安全意识已逐步提升，服务对象（受检单位）对抽样过程规范性、科学性满意度≥90%，达到服务对象零投诉，完成绩效目标。部门整体绩效指标评分达到80分以上。二是项目绩效自评情况：年度各项指标均达成预期指标。我单位年中追加1个项目并批复了绩效目标，项目金额25.76万元。</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87分。其中：0个项目评价等级为“优”、1个项目评价等级为“良”、0个项目评价等级为“中”、0个项目评价等级为“差”。</w:t>
      </w:r>
    </w:p>
    <w:p>
      <w:pPr>
        <w:widowControl/>
        <w:numPr>
          <w:ilvl w:val="0"/>
          <w:numId w:val="2"/>
        </w:numPr>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重点绩效评价结果。</w:t>
      </w:r>
    </w:p>
    <w:p>
      <w:pPr>
        <w:widowControl/>
        <w:numPr>
          <w:ilvl w:val="0"/>
          <w:numId w:val="0"/>
        </w:numPr>
        <w:wordWrap/>
        <w:adjustRightInd/>
        <w:snapToGrid/>
        <w:spacing w:line="360" w:lineRule="auto"/>
        <w:ind w:leftChars="300"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spacing w:line="590" w:lineRule="exact"/>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31A87EE"/>
    <w:multiLevelType w:val="singleLevel"/>
    <w:tmpl w:val="631A87EE"/>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5E3490"/>
    <w:rsid w:val="2B02041C"/>
    <w:rsid w:val="32D22EF2"/>
    <w:rsid w:val="36FF6850"/>
    <w:rsid w:val="4619280E"/>
    <w:rsid w:val="63DD0369"/>
    <w:rsid w:val="7A5742C4"/>
    <w:rsid w:val="7C99037D"/>
    <w:rsid w:val="7F330CBF"/>
    <w:rsid w:val="D7E47C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页脚 Char Char Char"/>
    <w:link w:val="3"/>
    <w:qFormat/>
    <w:uiPriority w:val="99"/>
    <w:rPr>
      <w:kern w:val="2"/>
      <w:sz w:val="18"/>
      <w:szCs w:val="18"/>
    </w:rPr>
  </w:style>
  <w:style w:type="character" w:customStyle="1" w:styleId="10">
    <w:name w:val="font41"/>
    <w:qFormat/>
    <w:uiPriority w:val="0"/>
    <w:rPr>
      <w:rFonts w:hint="eastAsia" w:ascii="宋体" w:hAnsi="宋体" w:eastAsia="宋体" w:cs="宋体"/>
      <w:color w:val="000000"/>
      <w:sz w:val="24"/>
      <w:szCs w:val="24"/>
      <w:u w:val="none"/>
    </w:rPr>
  </w:style>
  <w:style w:type="character" w:customStyle="1" w:styleId="11">
    <w:name w:val="批注框文本 Char Char Char"/>
    <w:link w:val="2"/>
    <w:qFormat/>
    <w:uiPriority w:val="99"/>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Char Char"/>
    <w:link w:val="4"/>
    <w:qFormat/>
    <w:uiPriority w:val="99"/>
    <w:rPr>
      <w:kern w:val="2"/>
      <w:sz w:val="18"/>
      <w:szCs w:val="18"/>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8459</Words>
  <Characters>10168</Characters>
  <Lines>60</Lines>
  <Paragraphs>16</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2023-05-10T10:36:30Z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D06203E77896442693BDDEFEB3A3A5D3</vt:lpwstr>
  </property>
</Properties>
</file>