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中国国际贸易促委员会河南省分会许昌支会</w:t>
      </w:r>
      <w:r>
        <w:rPr>
          <w:rFonts w:hint="eastAsia" w:ascii="黑体" w:hAnsi="黑体" w:eastAsia="黑体" w:cs="黑体"/>
          <w:sz w:val="52"/>
          <w:szCs w:val="52"/>
          <w:highlight w:val="none"/>
        </w:rPr>
        <w:t>决算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52"/>
          <w:szCs w:val="5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highlight w:val="none"/>
        </w:rPr>
      </w:pPr>
      <w:r>
        <w:rPr>
          <w:rFonts w:hint="eastAsia" w:ascii="黑体" w:hAnsi="黑体" w:eastAsia="黑体" w:cs="黑体"/>
          <w:sz w:val="36"/>
          <w:szCs w:val="36"/>
          <w:highlight w:val="none"/>
        </w:rPr>
        <w:t>目　　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6"/>
          <w:szCs w:val="36"/>
          <w:highlight w:val="none"/>
        </w:rPr>
      </w:pP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中国国际贸易促进委员会河南省分会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1600" w:firstLineChars="5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许昌支会</w:t>
      </w:r>
      <w:r>
        <w:rPr>
          <w:rFonts w:hint="eastAsia" w:ascii="黑体" w:hAnsi="黑体" w:eastAsia="黑体" w:cs="黑体"/>
          <w:sz w:val="32"/>
          <w:szCs w:val="32"/>
          <w:highlight w:val="none"/>
        </w:rPr>
        <w:t>概况</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机构设置</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二、收入决算表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三、支出决算表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宋体" w:hAnsi="宋体" w:cs="黑体"/>
          <w:sz w:val="32"/>
          <w:szCs w:val="32"/>
          <w:highlight w:val="none"/>
        </w:rPr>
      </w:pPr>
      <w:r>
        <w:rPr>
          <w:rFonts w:hint="eastAsia" w:ascii="宋体" w:hAnsi="宋体" w:cs="黑体"/>
          <w:sz w:val="32"/>
          <w:szCs w:val="32"/>
          <w:highlight w:val="none"/>
        </w:rPr>
        <w:t>四、财政拨款收入支出决算总表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宋体" w:hAnsi="宋体" w:cs="宋体"/>
          <w:sz w:val="32"/>
          <w:szCs w:val="32"/>
          <w:highlight w:val="none"/>
        </w:rPr>
      </w:pPr>
      <w:r>
        <w:rPr>
          <w:rFonts w:hint="eastAsia" w:ascii="宋体" w:hAnsi="宋体" w:cs="宋体"/>
          <w:sz w:val="32"/>
          <w:szCs w:val="32"/>
          <w:highlight w:val="none"/>
        </w:rPr>
        <w:t>十一、国有资产占用情况说明</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p>
    <w:p>
      <w:pPr>
        <w:keepNext w:val="0"/>
        <w:keepLines w:val="0"/>
        <w:pageBreakBefore w:val="0"/>
        <w:widowControl/>
        <w:numPr>
          <w:ilvl w:val="0"/>
          <w:numId w:val="2"/>
        </w:numPr>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中国国际贸易促进委员会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lang w:eastAsia="zh-CN"/>
        </w:rPr>
        <w:t>河南省分会许昌支会</w:t>
      </w:r>
      <w:r>
        <w:rPr>
          <w:rFonts w:hint="eastAsia" w:ascii="黑体" w:hAnsi="黑体" w:eastAsia="黑体" w:cs="黑体"/>
          <w:sz w:val="48"/>
          <w:szCs w:val="48"/>
          <w:highlight w:val="none"/>
        </w:rPr>
        <w:t>概况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1"/>
        <w:rPr>
          <w:rFonts w:hint="eastAsia" w:ascii="黑体" w:hAnsi="黑体" w:eastAsia="黑体" w:cs="黑体"/>
          <w:kern w:val="0"/>
          <w:sz w:val="32"/>
          <w:szCs w:val="32"/>
          <w:highlight w:val="none"/>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协助市政府和本市企业发展同世界不同国别、地区的经贸友好往来关系，促进本市出口创汇、利用外资、引进国外先进技术设备和各种形式的对外经济贸易交流和合作，为本市发展外向型经济提供必要的涉外法律保障；代表市政府行使受理、协调和查处外商投诉案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中国国际贸易促进委员会河南省分会许昌支会</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highlight w:val="none"/>
          <w:lang w:eastAsia="zh-CN"/>
        </w:rPr>
        <w:t>办公室</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中国国际贸易促进委员会河南省分会许昌支会单位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中国国际</w:t>
      </w:r>
      <w:r>
        <w:rPr>
          <w:rFonts w:hint="eastAsia" w:ascii="仿宋_GB2312" w:hAnsi="仿宋_GB2312" w:eastAsia="仿宋_GB2312" w:cs="仿宋_GB2312"/>
          <w:color w:val="auto"/>
          <w:kern w:val="0"/>
          <w:sz w:val="32"/>
          <w:szCs w:val="32"/>
          <w:highlight w:val="none"/>
          <w:lang w:val="en-US" w:eastAsia="zh-CN"/>
        </w:rPr>
        <w:t>贸易促进委员会河南省分会许昌支会</w:t>
      </w:r>
    </w:p>
    <w:p>
      <w:pPr>
        <w:widowControl/>
        <w:spacing w:line="360" w:lineRule="auto"/>
        <w:ind w:firstLine="640" w:firstLineChars="200"/>
        <w:jc w:val="left"/>
        <w:rPr>
          <w:rFonts w:hint="eastAsia" w:ascii="仿宋_GB2312" w:hAnsi="仿宋_GB2312" w:eastAsia="仿宋_GB2312" w:cs="仿宋_GB2312"/>
          <w:kern w:val="0"/>
          <w:sz w:val="32"/>
          <w:szCs w:val="32"/>
          <w:highlight w:val="none"/>
        </w:rPr>
      </w:pPr>
    </w:p>
    <w:p>
      <w:pPr>
        <w:widowControl/>
        <w:spacing w:line="360" w:lineRule="auto"/>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74"/>
        <w:gridCol w:w="915"/>
        <w:gridCol w:w="2190"/>
        <w:gridCol w:w="3945"/>
        <w:gridCol w:w="795"/>
        <w:gridCol w:w="1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389" w:type="dxa"/>
            <w:gridSpan w:val="2"/>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219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57" w:type="dxa"/>
            <w:gridSpan w:val="2"/>
            <w:vMerge w:val="restart"/>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389"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219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9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57" w:type="dxa"/>
            <w:gridSpan w:val="2"/>
            <w:vMerge w:val="continue"/>
            <w:tcBorders>
              <w:top w:val="nil"/>
              <w:left w:val="nil"/>
              <w:bottom w:val="nil"/>
              <w:right w:val="nil"/>
            </w:tcBorders>
            <w:noWrap w:val="0"/>
            <w:vAlign w:val="bottom"/>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57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502" w:type="dxa"/>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1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76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1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1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9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102.63</w:t>
            </w: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6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76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76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1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102.63</w:t>
            </w: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76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1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76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1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1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94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76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7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1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1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c>
          <w:tcPr>
            <w:tcW w:w="39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9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76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pPr w:leftFromText="180" w:rightFromText="180" w:vertAnchor="text" w:horzAnchor="page" w:tblpX="1448" w:tblpY="17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5"/>
        <w:gridCol w:w="4095"/>
        <w:gridCol w:w="1483"/>
        <w:gridCol w:w="1361"/>
        <w:gridCol w:w="1242"/>
        <w:gridCol w:w="916"/>
        <w:gridCol w:w="916"/>
        <w:gridCol w:w="1072"/>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47" w:type="pct"/>
            <w:gridSpan w:val="2"/>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52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8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8"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8"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8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47" w:type="pct"/>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52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80"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38"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3"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78" w:type="pct"/>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586" w:type="pct"/>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1947"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2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80"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2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23"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78"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附属单位上缴收入</w:t>
            </w:r>
          </w:p>
        </w:tc>
        <w:tc>
          <w:tcPr>
            <w:tcW w:w="586"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44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02"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3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8"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86"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2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8"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86"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47" w:type="pct"/>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102.63</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102.63</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83.02</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83.02</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82.60</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82.60</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45.14</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45.14</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37.46</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37.46</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1444" w:type="pct"/>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523"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80" w:type="pct"/>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43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3"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586" w:type="pct"/>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tbl>
      <w:tblPr>
        <w:tblStyle w:val="6"/>
        <w:tblpPr w:leftFromText="180" w:rightFromText="180" w:vertAnchor="text" w:horzAnchor="page" w:tblpX="1208" w:tblpY="29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13"/>
        <w:gridCol w:w="3956"/>
        <w:gridCol w:w="1494"/>
        <w:gridCol w:w="1083"/>
        <w:gridCol w:w="1055"/>
        <w:gridCol w:w="1467"/>
        <w:gridCol w:w="1055"/>
        <w:gridCol w:w="2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0" w:type="auto"/>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jc w:val="cente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107.73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107.73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tbl>
      <w:tblPr>
        <w:tblStyle w:val="6"/>
        <w:tblpPr w:leftFromText="180" w:rightFromText="180" w:vertAnchor="text" w:horzAnchor="page" w:tblpX="1433" w:tblpY="37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97"/>
        <w:gridCol w:w="675"/>
        <w:gridCol w:w="1125"/>
        <w:gridCol w:w="3270"/>
        <w:gridCol w:w="900"/>
        <w:gridCol w:w="1140"/>
        <w:gridCol w:w="1140"/>
        <w:gridCol w:w="1145"/>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097" w:type="dxa"/>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67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2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4897"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32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90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4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682"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27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97"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8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97"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6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8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5"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00"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8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102.63</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102.63</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32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7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9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5"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c>
          <w:tcPr>
            <w:tcW w:w="327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90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c>
          <w:tcPr>
            <w:tcW w:w="114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107.73</w:t>
            </w:r>
          </w:p>
        </w:tc>
        <w:tc>
          <w:tcPr>
            <w:tcW w:w="114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82"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4"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9"/>
        <w:gridCol w:w="4215"/>
        <w:gridCol w:w="3390"/>
        <w:gridCol w:w="2506"/>
        <w:gridCol w:w="2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5"/>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94"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339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0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9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5494" w:type="dxa"/>
            <w:gridSpan w:val="2"/>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339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50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691"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9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587"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21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39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9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2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215"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3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0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9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9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494"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107.73</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107.73</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87.63</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87.21</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49.76</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37.46</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37.46</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2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339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50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269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5"/>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3216"/>
        <w:gridCol w:w="812"/>
        <w:gridCol w:w="806"/>
        <w:gridCol w:w="2216"/>
        <w:gridCol w:w="863"/>
        <w:gridCol w:w="870"/>
        <w:gridCol w:w="3660"/>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07"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0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2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6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61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5613" w:type="dxa"/>
            <w:gridSpan w:val="4"/>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2216"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63"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87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4612"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0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人员经费</w:t>
            </w:r>
          </w:p>
        </w:tc>
        <w:tc>
          <w:tcPr>
            <w:tcW w:w="9367"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79"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科目编码</w:t>
            </w:r>
          </w:p>
        </w:tc>
        <w:tc>
          <w:tcPr>
            <w:tcW w:w="32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81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c>
          <w:tcPr>
            <w:tcW w:w="80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科目编码</w:t>
            </w:r>
          </w:p>
        </w:tc>
        <w:tc>
          <w:tcPr>
            <w:tcW w:w="221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86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c>
          <w:tcPr>
            <w:tcW w:w="8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科目编码</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科目名称</w:t>
            </w:r>
          </w:p>
        </w:tc>
        <w:tc>
          <w:tcPr>
            <w:tcW w:w="95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79" w:type="dxa"/>
            <w:vMerge w:val="continue"/>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216"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2"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216"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3"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660"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52" w:type="dxa"/>
            <w:vMerge w:val="continue"/>
            <w:tcBorders>
              <w:top w:val="nil"/>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工资福利支出</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88.80</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商品和服务支出</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8.49</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30101</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基本工资</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24.71</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30201</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1.45</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国内债务付息</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30102</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津贴补贴</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35.61</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30202</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印刷费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国外债务付息</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30103</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奖金</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9.57</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30203</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咨询费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资本性支出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30106</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伙食补助费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30204</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手续费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房屋建筑物购建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30107</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绩效工资</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30205</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办公设备购置</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30108</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5.57</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30206</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专用设备购置</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30109</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职业年金缴费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30207</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邮电费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基础设施建设</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30110</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职工基本医疗保险缴费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2.62</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30208</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取暖费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大型修缮</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30111</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公务员医疗补助缴费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30209</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物业管理费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信息网络及软件购置更新</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30112</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其他社会保障缴费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0.11</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30211</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差旅费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0.43</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物资储备</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30113</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30212</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因公出国（境）费用</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土地补偿</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30114</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30213</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维修（护）费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安置补助</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30199</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其他工资福利支出</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2.83</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30214</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租赁费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地上附着物和青苗补偿</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10.44</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30215</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会议费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拆迁补偿</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30301</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离休费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30216</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培训费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公务用车购置</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30302</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退休费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10.44</w:t>
            </w: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30217</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公务接待费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其他交通工具购置</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30303</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退职（役）费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30218</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专用材料费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文物和陈列品购置</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30304</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抚恤金</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30224</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被装购置费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无形资产购置</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30305</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生活补助</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30225</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专用燃料费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其他资本性支出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30306</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救济费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30226</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劳务费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30307</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医疗费补助</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30227</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委托业务费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0.40</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39906</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赠与</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30308</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助学金</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30228</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工会经费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0.42</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国家赔偿费用支出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30309</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奖励金</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30229</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福利费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0.46</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对民间非营利组织和群众性自治组织补贴</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30310</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个人农业生产补贴</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30231</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30311</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代缴社会保险费</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30239</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其他交通费用</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4.54</w:t>
            </w: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30399</w:t>
            </w: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其他对个人和家庭的补助</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30240</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税金及附加费用</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779"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0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30299</w:t>
            </w:r>
          </w:p>
        </w:tc>
        <w:tc>
          <w:tcPr>
            <w:tcW w:w="22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其他商品和服务支出</w:t>
            </w:r>
          </w:p>
        </w:tc>
        <w:tc>
          <w:tcPr>
            <w:tcW w:w="86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7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66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99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人员经费合计</w:t>
            </w:r>
          </w:p>
        </w:tc>
        <w:tc>
          <w:tcPr>
            <w:tcW w:w="81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99.24</w:t>
            </w:r>
          </w:p>
        </w:tc>
        <w:tc>
          <w:tcPr>
            <w:tcW w:w="841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公用经费合计</w:t>
            </w:r>
          </w:p>
        </w:tc>
        <w:tc>
          <w:tcPr>
            <w:tcW w:w="95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
        <w:gridCol w:w="1446"/>
        <w:gridCol w:w="1290"/>
        <w:gridCol w:w="1635"/>
        <w:gridCol w:w="1065"/>
        <w:gridCol w:w="1125"/>
        <w:gridCol w:w="1050"/>
        <w:gridCol w:w="1215"/>
        <w:gridCol w:w="1125"/>
        <w:gridCol w:w="1350"/>
        <w:gridCol w:w="1110"/>
        <w:gridCol w:w="13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4"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07" w:type="dxa"/>
            <w:gridSpan w:val="4"/>
            <w:vMerge w:val="restart"/>
            <w:tcBorders>
              <w:top w:val="nil"/>
              <w:left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3240"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1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2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4807" w:type="dxa"/>
            <w:gridSpan w:val="4"/>
            <w:vMerge w:val="continue"/>
            <w:tcBorders>
              <w:left w:val="nil"/>
              <w:bottom w:val="nil"/>
              <w:right w:val="nil"/>
            </w:tcBorders>
            <w:noWrap/>
            <w:vAlign w:val="bottom"/>
          </w:tcPr>
          <w:p>
            <w:pPr>
              <w:rPr>
                <w:rFonts w:hint="default" w:ascii="Arial" w:hAnsi="Arial" w:cs="Arial"/>
                <w:i w:val="0"/>
                <w:iCs w:val="0"/>
                <w:color w:val="000000"/>
                <w:sz w:val="18"/>
                <w:szCs w:val="18"/>
                <w:u w:val="none"/>
              </w:rPr>
            </w:pPr>
          </w:p>
        </w:tc>
        <w:tc>
          <w:tcPr>
            <w:tcW w:w="3240" w:type="dxa"/>
            <w:gridSpan w:val="3"/>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21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125"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1350" w:type="dxa"/>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2437"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99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177"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99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8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3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3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3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9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5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dxa"/>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4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9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6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FF0000"/>
                <w:sz w:val="22"/>
                <w:szCs w:val="22"/>
                <w:u w:val="none"/>
                <w:lang w:val="en-US" w:eastAsia="zh-CN"/>
              </w:rPr>
            </w:pPr>
          </w:p>
        </w:tc>
        <w:tc>
          <w:tcPr>
            <w:tcW w:w="10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FF0000"/>
                <w:sz w:val="22"/>
                <w:szCs w:val="22"/>
                <w:u w:val="none"/>
              </w:rPr>
            </w:pPr>
          </w:p>
        </w:tc>
        <w:tc>
          <w:tcPr>
            <w:tcW w:w="12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FF0000"/>
                <w:sz w:val="22"/>
                <w:szCs w:val="22"/>
                <w:u w:val="none"/>
              </w:rPr>
            </w:pPr>
          </w:p>
        </w:tc>
        <w:tc>
          <w:tcPr>
            <w:tcW w:w="11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FF0000"/>
                <w:sz w:val="22"/>
                <w:szCs w:val="22"/>
                <w:u w:val="none"/>
              </w:rPr>
            </w:pPr>
          </w:p>
        </w:tc>
        <w:tc>
          <w:tcPr>
            <w:tcW w:w="135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FF0000"/>
                <w:sz w:val="22"/>
                <w:szCs w:val="22"/>
                <w:u w:val="none"/>
              </w:rPr>
            </w:pPr>
          </w:p>
        </w:tc>
        <w:tc>
          <w:tcPr>
            <w:tcW w:w="111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FF0000"/>
                <w:sz w:val="22"/>
                <w:szCs w:val="22"/>
                <w:u w:val="none"/>
              </w:rPr>
            </w:pPr>
          </w:p>
        </w:tc>
        <w:tc>
          <w:tcPr>
            <w:tcW w:w="1327" w:type="dxa"/>
            <w:tcBorders>
              <w:top w:val="nil"/>
              <w:left w:val="nil"/>
              <w:bottom w:val="single" w:color="000000" w:sz="4" w:space="0"/>
              <w:right w:val="single" w:color="000000" w:sz="4" w:space="0"/>
            </w:tcBorders>
            <w:noWrap/>
            <w:vAlign w:val="center"/>
          </w:tcPr>
          <w:p>
            <w:pPr>
              <w:jc w:val="right"/>
              <w:rPr>
                <w:rFonts w:hint="default" w:ascii="宋体" w:hAnsi="宋体" w:eastAsia="宋体" w:cs="宋体"/>
                <w:i w:val="0"/>
                <w:iCs w:val="0"/>
                <w:color w:val="FF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7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说明：我</w:t>
      </w:r>
      <w:r>
        <w:rPr>
          <w:rFonts w:hint="eastAsia" w:ascii="宋体" w:hAnsi="宋体" w:cs="宋体"/>
          <w:i w:val="0"/>
          <w:iCs w:val="0"/>
          <w:color w:val="auto"/>
          <w:kern w:val="0"/>
          <w:sz w:val="22"/>
          <w:szCs w:val="22"/>
          <w:u w:val="none"/>
          <w:lang w:val="en-US" w:eastAsia="zh-CN" w:bidi="ar"/>
        </w:rPr>
        <w:t>单位</w:t>
      </w:r>
      <w:r>
        <w:rPr>
          <w:rFonts w:hint="eastAsia" w:ascii="宋体" w:hAnsi="宋体" w:eastAsia="宋体" w:cs="宋体"/>
          <w:i w:val="0"/>
          <w:iCs w:val="0"/>
          <w:color w:val="auto"/>
          <w:kern w:val="0"/>
          <w:sz w:val="22"/>
          <w:szCs w:val="22"/>
          <w:u w:val="none"/>
          <w:lang w:val="en-US" w:eastAsia="zh-CN" w:bidi="ar"/>
        </w:rPr>
        <w:t>没有预算安排的三公经费，也没有预算安排的三公支出，故本表无数据。</w:t>
      </w: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3"/>
        <w:gridCol w:w="783"/>
        <w:gridCol w:w="783"/>
        <w:gridCol w:w="3512"/>
        <w:gridCol w:w="1756"/>
        <w:gridCol w:w="1096"/>
        <w:gridCol w:w="721"/>
        <w:gridCol w:w="1096"/>
        <w:gridCol w:w="1096"/>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gridSpan w:val="4"/>
            <w:tcBorders>
              <w:top w:val="nil"/>
              <w:left w:val="nil"/>
              <w:bottom w:val="nil"/>
              <w:right w:val="nil"/>
            </w:tcBorders>
            <w:noWrap/>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：中国国际贸易促进委员会河南省分会许昌支会</w:t>
            </w: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18"/>
                <w:szCs w:val="18"/>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0" w:type="auto"/>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没有政府性基金收入，也没有使用政府性基金安排的支出，故本表无数据</w:t>
      </w:r>
      <w:r>
        <w:rPr>
          <w:rFonts w:hint="eastAsia" w:ascii="宋体" w:hAnsi="宋体" w:cs="宋体"/>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10.33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10.60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人员支出增加</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w:t>
      </w:r>
      <w:r>
        <w:rPr>
          <w:rFonts w:hint="eastAsia" w:ascii="仿宋_GB2312" w:hAnsi="仿宋_GB2312" w:eastAsia="仿宋_GB2312" w:cs="仿宋_GB2312"/>
          <w:sz w:val="32"/>
          <w:szCs w:val="32"/>
          <w:highlight w:val="none"/>
          <w:lang w:val="en-US" w:eastAsia="zh-CN"/>
        </w:rPr>
        <w:t>102.63</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102.63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10.33</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10.60</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人员支出增加</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16.87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18.57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人员支出增加</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87.63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81.34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社会保障和就业支出（类）15.19万元，占14.10%；卫生健康支出（类）4.91万元，占4.56%</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2021年度一般公共预算财政拨款支出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96.52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111.61</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1．一般公共服务支出（类）商贸事务（款）行政运行（项）。</w:t>
      </w:r>
      <w:r>
        <w:rPr>
          <w:rFonts w:hint="eastAsia" w:ascii="仿宋_GB2312" w:hAnsi="仿宋_GB2312" w:eastAsia="仿宋_GB2312" w:cs="仿宋_GB2312"/>
          <w:color w:val="auto"/>
          <w:sz w:val="32"/>
          <w:szCs w:val="32"/>
          <w:highlight w:val="none"/>
          <w:lang w:val="en-US" w:eastAsia="zh-CN"/>
        </w:rPr>
        <w:t>年初预算为38.41万元，支出决算为49.76万元，完成年初预算的129.55%。决算数与年初预算数存在差异的主要原因是人员增加。</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2．一般公共服务支出（类）商贸事务（款）其它商贸事务支出（项）。</w:t>
      </w:r>
      <w:r>
        <w:rPr>
          <w:rFonts w:hint="eastAsia" w:ascii="仿宋_GB2312" w:hAnsi="仿宋_GB2312" w:eastAsia="仿宋_GB2312" w:cs="仿宋_GB2312"/>
          <w:color w:val="auto"/>
          <w:sz w:val="32"/>
          <w:szCs w:val="32"/>
          <w:highlight w:val="none"/>
          <w:lang w:val="en-US" w:eastAsia="zh-CN"/>
        </w:rPr>
        <w:t>年初预算为37.46万元，支出决算为37.46万元，完成年初预算的100%。决算数与年初预算数不存在差异。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年初预算为0.42万元，支出决算为0.42万元，完成年初预算的100%。决算数与年初预算数不存在差异。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sz w:val="32"/>
          <w:szCs w:val="32"/>
        </w:rPr>
        <w:t>社会保障和就业支出（类）行政事业单位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（款）行政单位离退休（项）。</w:t>
      </w:r>
      <w:r>
        <w:rPr>
          <w:rFonts w:hint="eastAsia" w:ascii="仿宋_GB2312" w:hAnsi="仿宋_GB2312" w:eastAsia="仿宋_GB2312" w:cs="仿宋_GB2312"/>
          <w:color w:val="auto"/>
          <w:sz w:val="32"/>
          <w:szCs w:val="32"/>
          <w:highlight w:val="none"/>
          <w:lang w:val="en-US" w:eastAsia="zh-CN"/>
        </w:rPr>
        <w:t>年初预算为10.52万元，支出决算为10.44万元，完成年初预算的99.24%。决算数与年初预算数存在差异的主要原因上年结余。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社会保障和就业支出（类）行政事业单位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98.82</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决</w:t>
      </w:r>
      <w:r>
        <w:rPr>
          <w:rFonts w:hint="eastAsia" w:ascii="仿宋_GB2312" w:hAnsi="仿宋_GB2312" w:eastAsia="仿宋_GB2312" w:cs="仿宋_GB2312"/>
          <w:sz w:val="32"/>
          <w:szCs w:val="32"/>
        </w:rPr>
        <w:t>算数与年初预算数</w:t>
      </w:r>
      <w:r>
        <w:rPr>
          <w:rFonts w:hint="eastAsia" w:ascii="仿宋_GB2312" w:hAnsi="仿宋_GB2312" w:eastAsia="仿宋_GB2312" w:cs="仿宋_GB2312"/>
          <w:sz w:val="32"/>
          <w:szCs w:val="32"/>
          <w:lang w:eastAsia="zh-CN"/>
        </w:rPr>
        <w:t>存在差异的主要原因是</w:t>
      </w:r>
      <w:r>
        <w:rPr>
          <w:rFonts w:hint="eastAsia" w:ascii="仿宋_GB2312" w:hAnsi="仿宋_GB2312" w:eastAsia="仿宋_GB2312" w:cs="仿宋_GB2312"/>
          <w:sz w:val="32"/>
          <w:szCs w:val="32"/>
          <w:lang w:val="en-US" w:eastAsia="zh-CN"/>
        </w:rPr>
        <w:t>上年结</w:t>
      </w:r>
      <w:r>
        <w:rPr>
          <w:rFonts w:hint="eastAsia" w:ascii="仿宋_GB2312" w:hAnsi="仿宋_GB2312" w:eastAsia="仿宋_GB2312" w:cs="仿宋_GB2312"/>
          <w:color w:val="auto"/>
          <w:sz w:val="32"/>
          <w:szCs w:val="32"/>
          <w:highlight w:val="none"/>
          <w:lang w:val="en-US" w:eastAsia="zh-CN"/>
        </w:rPr>
        <w:t>余</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lang w:val="en-US" w:eastAsia="zh-CN" w:bidi="ar"/>
        </w:rPr>
        <w:t>7</w:t>
      </w:r>
      <w:r>
        <w:rPr>
          <w:rFonts w:hint="eastAsia" w:ascii="仿宋_GB2312" w:hAnsi="仿宋_GB2312" w:eastAsia="仿宋_GB2312" w:cs="仿宋_GB2312"/>
          <w:b/>
          <w:bCs/>
          <w:sz w:val="32"/>
          <w:szCs w:val="32"/>
          <w:lang w:bidi="ar"/>
        </w:rPr>
        <w:t>.卫生健康支出（类）行政事业单位医疗（款）</w:t>
      </w:r>
      <w:r>
        <w:rPr>
          <w:rFonts w:hint="eastAsia" w:ascii="仿宋_GB2312" w:hAnsi="仿宋_GB2312" w:eastAsia="仿宋_GB2312" w:cs="仿宋_GB2312"/>
          <w:b/>
          <w:bCs/>
          <w:sz w:val="32"/>
          <w:szCs w:val="32"/>
          <w:lang w:eastAsia="zh-CN" w:bidi="ar"/>
        </w:rPr>
        <w:t>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2.40</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99.17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决算数与年初预算数存在差异的主要原因是上年结余。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w:t>
      </w:r>
      <w:r>
        <w:rPr>
          <w:rFonts w:hint="eastAsia" w:ascii="仿宋_GB2312" w:hAnsi="仿宋_GB2312" w:eastAsia="仿宋_GB2312" w:cs="仿宋_GB2312"/>
          <w:sz w:val="32"/>
          <w:szCs w:val="32"/>
          <w:highlight w:val="none"/>
          <w:lang w:val="en-US" w:eastAsia="zh-CN"/>
        </w:rPr>
        <w:t>107.73</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99.24</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color w:val="auto"/>
          <w:sz w:val="32"/>
          <w:szCs w:val="32"/>
          <w:highlight w:val="none"/>
          <w:lang w:val="en-US" w:eastAsia="zh-CN"/>
        </w:rPr>
        <w:t>基本工资、津贴补贴、奖金、机关事业单位基本养老保险缴费、职工基本医疗保险缴费、公务员医疗补助缴费、其他社会保障缴费、住房公积金、退休费、其他工资福利支出；公用经费8.49万元，主要包括：办公费、邮电费、差旅费、专用材料费、委托业务费、工会经费、福利费、其他交通费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2021年度“三公”经费财政拨款支出预算为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万元。2021年度“三公”经费支出决算数与预算数</w:t>
      </w:r>
      <w:r>
        <w:rPr>
          <w:rFonts w:hint="eastAsia" w:ascii="仿宋_GB2312" w:hAnsi="仿宋_GB2312" w:eastAsia="仿宋_GB2312" w:cs="仿宋_GB2312"/>
          <w:sz w:val="32"/>
          <w:szCs w:val="32"/>
          <w:highlight w:val="none"/>
          <w:lang w:eastAsia="zh-CN"/>
        </w:rPr>
        <w:t>不存在差异。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万元。具体情况如下：</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color w:val="auto"/>
          <w:sz w:val="32"/>
          <w:szCs w:val="32"/>
          <w:highlight w:val="none"/>
        </w:rPr>
        <w:t>决算数与预算数不存在差异。因公出国（境）团组数0个，因公出国（境）人次数0人。</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cs="仿宋_GB2312"/>
          <w:color w:val="auto"/>
          <w:sz w:val="32"/>
          <w:szCs w:val="32"/>
          <w:highlight w:val="none"/>
          <w:lang w:val="en-US" w:eastAsia="zh-CN"/>
        </w:rPr>
        <w:t>预算为0万元，支出决算为0万元。</w:t>
      </w:r>
      <w:r>
        <w:rPr>
          <w:rFonts w:hint="eastAsia" w:ascii="仿宋_GB2312" w:hAnsi="仿宋_GB2312" w:eastAsia="仿宋_GB2312" w:cs="仿宋_GB2312"/>
          <w:color w:val="auto"/>
          <w:sz w:val="32"/>
          <w:szCs w:val="32"/>
          <w:highlight w:val="none"/>
        </w:rPr>
        <w:t>2021年度“三公”经费支出决算数与预算数不存在差异。</w:t>
      </w:r>
      <w:r>
        <w:rPr>
          <w:rFonts w:hint="eastAsia" w:ascii="仿宋_GB2312" w:hAnsi="仿宋_GB2312" w:eastAsia="仿宋_GB2312" w:cs="仿宋_GB2312"/>
          <w:color w:val="auto"/>
          <w:sz w:val="32"/>
          <w:szCs w:val="32"/>
          <w:highlight w:val="none"/>
          <w:lang w:val="en-US" w:eastAsia="zh-CN"/>
        </w:rPr>
        <w:t>其中：</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0万元，购置车辆0辆。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0万元。2021年期末，单位开支财政拨款的公务用车保有量为0辆。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不存在差异</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万元。2021年共接待国（境）外来访团组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万元。2021年共接待国内来访团组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2021年度政府性基金预算财政拨款支出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不存在项目年末结转和结余资金数额较大。情况说明：我</w:t>
      </w:r>
      <w:r>
        <w:rPr>
          <w:rFonts w:hint="eastAsia" w:ascii="仿宋_GB2312" w:hAnsi="仿宋_GB2312" w:eastAsia="仿宋_GB2312" w:cs="仿宋_GB2312"/>
          <w:sz w:val="32"/>
          <w:szCs w:val="32"/>
          <w:highlight w:val="none"/>
          <w:lang w:val="en-US" w:eastAsia="zh-CN"/>
        </w:rPr>
        <w:t>单位2021年度没有政府性基金收入，也没有使用政府性基金安排的支出。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10.27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8.49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82.67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节俭开支</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sz w:val="32"/>
          <w:szCs w:val="32"/>
          <w:highlight w:val="none"/>
        </w:rPr>
        <w:t>2021年期末，我单位共有车辆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许昌市人民政府关于全面实施预算绩效管理的实施意见》（许发〔2021〕13号）文件要求，对本单位整体支出和项目支出开展全过程预算绩效管理。2021年我单位严格履行预算绩效管理主体责任，以绩效目标为导向，做好绩效运行监控，提升绩效自评质量，不断提高绩效管理工作水平，充分发挥财政资金使用效益。加强组织领导，完善管理制度建设，规范工作程序，明确分阶段工作任务，强化绩效在预算编制、执行中的全过程管理。积极参加市财政局举办的绩效监控培训，学习绩效监控重点及监控操作流程，宣传事前绩效评估及绩效目标管理课件，组织相关人员学习课件内容。</w:t>
      </w:r>
    </w:p>
    <w:p>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lang w:val="en-US" w:eastAsia="zh-CN"/>
        </w:rPr>
        <w:t>我单位积极履职，强化管理，较好的完成了年度工作目标。资金使用严格执行财务制度，预算编制、预算执行、预算管理、资产管理、绩效评价目标实现较为理想，达到预期目标。</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60" w:lineRule="exact"/>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宋体" w:eastAsia="黑体" w:cs="宋体"/>
          <w:kern w:val="0"/>
          <w:sz w:val="28"/>
          <w:szCs w:val="28"/>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8"/>
          <w:szCs w:val="48"/>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 w:hAnsi="仿宋" w:eastAsia="仿宋" w:cs="仿宋"/>
          <w:sz w:val="32"/>
          <w:szCs w:val="32"/>
          <w:highlight w:val="none"/>
          <w:lang w:eastAsia="zh-CN"/>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E9794"/>
    <w:multiLevelType w:val="singleLevel"/>
    <w:tmpl w:val="89CE9794"/>
    <w:lvl w:ilvl="0" w:tentative="0">
      <w:start w:val="1"/>
      <w:numFmt w:val="decimal"/>
      <w:suff w:val="nothing"/>
      <w:lvlText w:val="%1．"/>
      <w:lvlJc w:val="left"/>
      <w:rPr>
        <w:rFonts w:hint="default"/>
        <w:b/>
        <w:bCs/>
      </w:rPr>
    </w:lvl>
  </w:abstractNum>
  <w:abstractNum w:abstractNumId="1">
    <w:nsid w:val="CCA6FC1A"/>
    <w:multiLevelType w:val="singleLevel"/>
    <w:tmpl w:val="CCA6FC1A"/>
    <w:lvl w:ilvl="0" w:tentative="0">
      <w:start w:val="1"/>
      <w:numFmt w:val="chineseCounting"/>
      <w:suff w:val="space"/>
      <w:lvlText w:val="第%1部分"/>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C3D0E"/>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AE02AD"/>
    <w:rsid w:val="03C75F80"/>
    <w:rsid w:val="0478364D"/>
    <w:rsid w:val="04CA442F"/>
    <w:rsid w:val="053D4C0D"/>
    <w:rsid w:val="0557532E"/>
    <w:rsid w:val="06867B11"/>
    <w:rsid w:val="06F46766"/>
    <w:rsid w:val="0799329C"/>
    <w:rsid w:val="08397436"/>
    <w:rsid w:val="086F16A7"/>
    <w:rsid w:val="0A0F7225"/>
    <w:rsid w:val="0A2B7D82"/>
    <w:rsid w:val="0A450EDC"/>
    <w:rsid w:val="0ADC40E9"/>
    <w:rsid w:val="0AE607F4"/>
    <w:rsid w:val="0B386127"/>
    <w:rsid w:val="0B451598"/>
    <w:rsid w:val="0BEC73F4"/>
    <w:rsid w:val="0C392698"/>
    <w:rsid w:val="0E5A3E47"/>
    <w:rsid w:val="104F5DD0"/>
    <w:rsid w:val="10BD36F6"/>
    <w:rsid w:val="11BF0649"/>
    <w:rsid w:val="120459C1"/>
    <w:rsid w:val="123E3E08"/>
    <w:rsid w:val="133212F4"/>
    <w:rsid w:val="136726E9"/>
    <w:rsid w:val="13D22E22"/>
    <w:rsid w:val="158B68BB"/>
    <w:rsid w:val="161C2DFF"/>
    <w:rsid w:val="16373578"/>
    <w:rsid w:val="169D77ED"/>
    <w:rsid w:val="16C52B7E"/>
    <w:rsid w:val="16D3336B"/>
    <w:rsid w:val="17200028"/>
    <w:rsid w:val="17806C36"/>
    <w:rsid w:val="17A74F62"/>
    <w:rsid w:val="18A47774"/>
    <w:rsid w:val="1A8D28EB"/>
    <w:rsid w:val="1A9F2D78"/>
    <w:rsid w:val="1B2E6FD8"/>
    <w:rsid w:val="1B777CF1"/>
    <w:rsid w:val="1B877D21"/>
    <w:rsid w:val="1C4319A9"/>
    <w:rsid w:val="1D407E46"/>
    <w:rsid w:val="1E443B4B"/>
    <w:rsid w:val="1E994F4A"/>
    <w:rsid w:val="1EAF0224"/>
    <w:rsid w:val="1F2230A4"/>
    <w:rsid w:val="20210932"/>
    <w:rsid w:val="202448E0"/>
    <w:rsid w:val="20F614FE"/>
    <w:rsid w:val="21302EEA"/>
    <w:rsid w:val="22376FB5"/>
    <w:rsid w:val="23804629"/>
    <w:rsid w:val="23E152D7"/>
    <w:rsid w:val="23EB7030"/>
    <w:rsid w:val="23EE2489"/>
    <w:rsid w:val="240C1F13"/>
    <w:rsid w:val="24F74F10"/>
    <w:rsid w:val="255D43C8"/>
    <w:rsid w:val="26714EF8"/>
    <w:rsid w:val="26876BDD"/>
    <w:rsid w:val="2714632A"/>
    <w:rsid w:val="27503D7F"/>
    <w:rsid w:val="27541E73"/>
    <w:rsid w:val="27B0539E"/>
    <w:rsid w:val="29365CF8"/>
    <w:rsid w:val="299469B3"/>
    <w:rsid w:val="2A805789"/>
    <w:rsid w:val="2ADC0D75"/>
    <w:rsid w:val="2B4A0E52"/>
    <w:rsid w:val="2C975890"/>
    <w:rsid w:val="2CCC3355"/>
    <w:rsid w:val="2D5B41DB"/>
    <w:rsid w:val="2DD52FF2"/>
    <w:rsid w:val="2DE966DA"/>
    <w:rsid w:val="2DEF21BB"/>
    <w:rsid w:val="2E4A2F05"/>
    <w:rsid w:val="2EBB7CD0"/>
    <w:rsid w:val="2ECC1061"/>
    <w:rsid w:val="2EFD3826"/>
    <w:rsid w:val="2F8456B9"/>
    <w:rsid w:val="2FA476AD"/>
    <w:rsid w:val="303F7540"/>
    <w:rsid w:val="31DD00BF"/>
    <w:rsid w:val="3293174C"/>
    <w:rsid w:val="32BB38D4"/>
    <w:rsid w:val="32C9376D"/>
    <w:rsid w:val="33780472"/>
    <w:rsid w:val="33AF0905"/>
    <w:rsid w:val="34613ED5"/>
    <w:rsid w:val="355932F4"/>
    <w:rsid w:val="35611882"/>
    <w:rsid w:val="36746FC3"/>
    <w:rsid w:val="368763AE"/>
    <w:rsid w:val="37F96774"/>
    <w:rsid w:val="395D59E7"/>
    <w:rsid w:val="39A93932"/>
    <w:rsid w:val="3A915562"/>
    <w:rsid w:val="3B6620EF"/>
    <w:rsid w:val="3B8D4765"/>
    <w:rsid w:val="3C000DBA"/>
    <w:rsid w:val="3C095452"/>
    <w:rsid w:val="3CB12230"/>
    <w:rsid w:val="3DC045D3"/>
    <w:rsid w:val="3E504FFB"/>
    <w:rsid w:val="3E615CD0"/>
    <w:rsid w:val="3E896B0F"/>
    <w:rsid w:val="3E9C47F6"/>
    <w:rsid w:val="3EBD5A23"/>
    <w:rsid w:val="3F8B0112"/>
    <w:rsid w:val="3FAB3095"/>
    <w:rsid w:val="3FE45947"/>
    <w:rsid w:val="41242965"/>
    <w:rsid w:val="42DF747D"/>
    <w:rsid w:val="435671EA"/>
    <w:rsid w:val="440809E9"/>
    <w:rsid w:val="442407A6"/>
    <w:rsid w:val="44805EA1"/>
    <w:rsid w:val="45110506"/>
    <w:rsid w:val="45710696"/>
    <w:rsid w:val="46142B1B"/>
    <w:rsid w:val="47E60DD0"/>
    <w:rsid w:val="480906D3"/>
    <w:rsid w:val="48735039"/>
    <w:rsid w:val="4902607D"/>
    <w:rsid w:val="492C684B"/>
    <w:rsid w:val="49500594"/>
    <w:rsid w:val="49DC3B81"/>
    <w:rsid w:val="49E7604E"/>
    <w:rsid w:val="4BF67CDD"/>
    <w:rsid w:val="4D173441"/>
    <w:rsid w:val="4D603DD6"/>
    <w:rsid w:val="4D624C80"/>
    <w:rsid w:val="4E807DFC"/>
    <w:rsid w:val="4EBF010F"/>
    <w:rsid w:val="4F471EB0"/>
    <w:rsid w:val="51331326"/>
    <w:rsid w:val="51740A7F"/>
    <w:rsid w:val="517558EC"/>
    <w:rsid w:val="51A5541E"/>
    <w:rsid w:val="51C96242"/>
    <w:rsid w:val="51D5124B"/>
    <w:rsid w:val="533E01FD"/>
    <w:rsid w:val="53906AE1"/>
    <w:rsid w:val="54F46F60"/>
    <w:rsid w:val="55A37BEA"/>
    <w:rsid w:val="55B41744"/>
    <w:rsid w:val="56251918"/>
    <w:rsid w:val="562C7AA3"/>
    <w:rsid w:val="56362CD2"/>
    <w:rsid w:val="5784687B"/>
    <w:rsid w:val="57846959"/>
    <w:rsid w:val="578E6A87"/>
    <w:rsid w:val="58707A31"/>
    <w:rsid w:val="5A054012"/>
    <w:rsid w:val="5AC2203A"/>
    <w:rsid w:val="5BE07775"/>
    <w:rsid w:val="5CBB3334"/>
    <w:rsid w:val="5D115FAF"/>
    <w:rsid w:val="5FF23C52"/>
    <w:rsid w:val="62811722"/>
    <w:rsid w:val="62E75A72"/>
    <w:rsid w:val="62F32512"/>
    <w:rsid w:val="635E6171"/>
    <w:rsid w:val="64571880"/>
    <w:rsid w:val="649125B6"/>
    <w:rsid w:val="652F4C1A"/>
    <w:rsid w:val="666D37F1"/>
    <w:rsid w:val="67087D8F"/>
    <w:rsid w:val="671F687E"/>
    <w:rsid w:val="673A5207"/>
    <w:rsid w:val="67C824AA"/>
    <w:rsid w:val="67F415F8"/>
    <w:rsid w:val="682640D1"/>
    <w:rsid w:val="684B73E5"/>
    <w:rsid w:val="69280027"/>
    <w:rsid w:val="6A047A2A"/>
    <w:rsid w:val="6BB76408"/>
    <w:rsid w:val="6BBC04D0"/>
    <w:rsid w:val="6EFB7548"/>
    <w:rsid w:val="6F3831C3"/>
    <w:rsid w:val="6F3B1E81"/>
    <w:rsid w:val="6F837C51"/>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9F14CCA"/>
    <w:rsid w:val="7A7D0F99"/>
    <w:rsid w:val="7D691792"/>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27</Pages>
  <Words>7835</Words>
  <Characters>9285</Characters>
  <Lines>60</Lines>
  <Paragraphs>16</Paragraphs>
  <TotalTime>3</TotalTime>
  <ScaleCrop>false</ScaleCrop>
  <LinksUpToDate>false</LinksUpToDate>
  <CharactersWithSpaces>9367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安伯伯</cp:lastModifiedBy>
  <cp:lastPrinted>2023-02-20T02:22:00Z</cp:lastPrinted>
  <dcterms:modified xsi:type="dcterms:W3CDTF">2023-05-09T08:24:27Z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A2B661170800479F8E547D18031561D2</vt:lpwstr>
  </property>
</Properties>
</file>