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中共许昌市委老干部局（本级）</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中共许昌市委老干部局（本级）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中共许昌市委老干部局</w:t>
      </w:r>
    </w:p>
    <w:p>
      <w:pPr>
        <w:widowControl/>
        <w:numPr>
          <w:ilvl w:val="0"/>
          <w:numId w:val="0"/>
        </w:numPr>
        <w:ind w:firstLine="3360" w:firstLineChars="7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（一）贯彻落实党中央、国务院及省、市关于老干部工作的方针、政策和规定。</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（二）做好老干部的医疗保健工作，参与研究制定老干部医疗保健工作的规定和办法。</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（三）做好外地老干部来许参观考察的接待和我市老干部外出参观、考察、慰问看望等活动的组织服务工作。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（四）管理市干休所、市老干部活动中心、市老干部大学、市关心下一代委员会办公室。</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中共许昌市委老干部局（本级）内设机构4个，包括：办公室、市直工作科、研究室、医疗保健和待遇落实科。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中共许昌市委老干部局（本级）</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1.中共许昌市委老干部局（本级）</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36"/>
        <w:gridCol w:w="656"/>
        <w:gridCol w:w="876"/>
        <w:gridCol w:w="3516"/>
        <w:gridCol w:w="656"/>
        <w:gridCol w:w="4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3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53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870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5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453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45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
        <w:gridCol w:w="325"/>
        <w:gridCol w:w="437"/>
        <w:gridCol w:w="4228"/>
        <w:gridCol w:w="1176"/>
        <w:gridCol w:w="1176"/>
        <w:gridCol w:w="1245"/>
        <w:gridCol w:w="1262"/>
        <w:gridCol w:w="1243"/>
        <w:gridCol w:w="1296"/>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5"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7"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2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6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4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6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15" w:type="dxa"/>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6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4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66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1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1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2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2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2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22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22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22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418.31</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418.31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300.67</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300.67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276.47</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276.47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218.45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218.45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58.02</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103.94</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103.94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84.50</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84.50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71.01</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71.01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临时救助</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19.44</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临时救助支出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19.44</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2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5"/>
        <w:gridCol w:w="1008"/>
        <w:gridCol w:w="3096"/>
        <w:gridCol w:w="1539"/>
        <w:gridCol w:w="1375"/>
        <w:gridCol w:w="1483"/>
        <w:gridCol w:w="1603"/>
        <w:gridCol w:w="1380"/>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0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09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53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7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8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0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8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4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3" w:type="dxa"/>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1539"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7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8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0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8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4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5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3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3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5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5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5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5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466.28</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390.23</w:t>
            </w: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76.06</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338.38</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282.93</w:t>
            </w: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314.18</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258.73</w:t>
            </w: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241.90</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241.90</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72.28</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16.82</w:t>
            </w: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114.20</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80.11</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80.11</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临时救助</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3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临时救助支出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3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30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5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13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14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6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0"/>
        <w:gridCol w:w="570"/>
        <w:gridCol w:w="876"/>
        <w:gridCol w:w="3715"/>
        <w:gridCol w:w="570"/>
        <w:gridCol w:w="876"/>
        <w:gridCol w:w="1357"/>
        <w:gridCol w:w="1483"/>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0" w:type="dxa"/>
            <w:tcBorders>
              <w:top w:val="nil"/>
              <w:left w:val="nil"/>
              <w:bottom w:val="nil"/>
              <w:right w:val="nil"/>
            </w:tcBorders>
            <w:noWrap w:val="0"/>
            <w:vAlign w:val="bottom"/>
          </w:tcPr>
          <w:p>
            <w:pPr>
              <w:rPr>
                <w:rFonts w:hint="eastAsia" w:ascii="Arial" w:hAnsi="Arial" w:cs="Arial"/>
                <w:i w:val="0"/>
                <w:iCs w:val="0"/>
                <w:color w:val="000000"/>
                <w:sz w:val="20"/>
                <w:szCs w:val="20"/>
                <w:highlight w:val="none"/>
                <w:u w:val="none"/>
              </w:rPr>
            </w:pPr>
          </w:p>
        </w:tc>
        <w:tc>
          <w:tcPr>
            <w:tcW w:w="570"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3715"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570"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357"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483"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52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3580" w:type="dxa"/>
            <w:gridSpan w:val="2"/>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876"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3715"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570"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357"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483" w:type="dxa"/>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52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952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7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3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4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7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7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418.31</w:t>
            </w: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338.38</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338.38</w:t>
            </w: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bookmarkStart w:id="0" w:name="_GoBack"/>
            <w:bookmarkEnd w:id="0"/>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114.20</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114.20</w:t>
            </w: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418.31</w:t>
            </w: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47.97</w:t>
            </w: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47.97</w:t>
            </w:r>
          </w:p>
        </w:tc>
        <w:tc>
          <w:tcPr>
            <w:tcW w:w="371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371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none"/>
                <w:u w:val="none"/>
              </w:rPr>
            </w:pP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8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3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570"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3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5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87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466.28</w:t>
            </w:r>
          </w:p>
        </w:tc>
        <w:tc>
          <w:tcPr>
            <w:tcW w:w="148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5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7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464" w:type="pct"/>
        <w:tblInd w:w="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
        <w:gridCol w:w="331"/>
        <w:gridCol w:w="959"/>
        <w:gridCol w:w="36"/>
        <w:gridCol w:w="4617"/>
        <w:gridCol w:w="86"/>
        <w:gridCol w:w="1536"/>
        <w:gridCol w:w="279"/>
        <w:gridCol w:w="1706"/>
        <w:gridCol w:w="753"/>
        <w:gridCol w:w="3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5000" w:type="pct"/>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 w:type="pct"/>
            <w:tcBorders>
              <w:top w:val="nil"/>
              <w:left w:val="nil"/>
              <w:bottom w:val="nil"/>
              <w:right w:val="nil"/>
            </w:tcBorders>
            <w:noWrap w:val="0"/>
            <w:vAlign w:val="bottom"/>
          </w:tcPr>
          <w:p>
            <w:pPr>
              <w:rPr>
                <w:rFonts w:hint="eastAsia" w:ascii="Arial" w:hAnsi="Arial" w:cs="Arial"/>
                <w:i w:val="0"/>
                <w:iCs w:val="0"/>
                <w:color w:val="000000"/>
                <w:sz w:val="20"/>
                <w:szCs w:val="20"/>
                <w:highlight w:val="none"/>
                <w:u w:val="none"/>
              </w:rPr>
            </w:pPr>
          </w:p>
        </w:tc>
        <w:tc>
          <w:tcPr>
            <w:tcW w:w="119" w:type="pct"/>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344" w:type="pct"/>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700" w:type="pct"/>
            <w:gridSpan w:val="3"/>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551" w:type="pct"/>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712" w:type="pct"/>
            <w:gridSpan w:val="2"/>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490" w:type="pct"/>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211" w:type="pct"/>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682" w:type="pct"/>
            <w:gridSpan w:val="3"/>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882" w:type="pct"/>
            <w:gridSpan w:val="2"/>
            <w:tcBorders>
              <w:top w:val="nil"/>
              <w:left w:val="nil"/>
              <w:bottom w:val="nil"/>
              <w:right w:val="nil"/>
            </w:tcBorders>
            <w:noWrap w:val="0"/>
            <w:vAlign w:val="bottom"/>
          </w:tcPr>
          <w:p>
            <w:pPr>
              <w:rPr>
                <w:rFonts w:hint="default" w:ascii="Arial" w:hAnsi="Arial" w:cs="Arial"/>
                <w:i w:val="0"/>
                <w:iCs w:val="0"/>
                <w:color w:val="000000"/>
                <w:sz w:val="20"/>
                <w:szCs w:val="20"/>
                <w:highlight w:val="none"/>
                <w:u w:val="none"/>
              </w:rPr>
            </w:pPr>
          </w:p>
        </w:tc>
        <w:tc>
          <w:tcPr>
            <w:tcW w:w="1222" w:type="pct"/>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788"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6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682" w:type="pct"/>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882"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22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55"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682"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82"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2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682" w:type="pct"/>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82"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2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211"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211" w:type="pct"/>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466.28</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390.23</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338.38</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282.93</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314.18</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258.73</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241.90</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241.90</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2013202</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72.28</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16.82</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其他共产党事务支出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2013601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22.95</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114.20</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93.60</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80.11</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80.11</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13.49</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临时救助</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882" w:type="pct"/>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2082001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临时救助支出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882" w:type="pct"/>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c>
          <w:tcPr>
            <w:tcW w:w="1222" w:type="pct"/>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13.70</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7.02</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55"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1656" w:type="pc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68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88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6.68</w:t>
            </w:r>
          </w:p>
        </w:tc>
        <w:tc>
          <w:tcPr>
            <w:tcW w:w="1222" w:type="pct"/>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9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2710"/>
        <w:gridCol w:w="1006"/>
        <w:gridCol w:w="1108"/>
        <w:gridCol w:w="2318"/>
        <w:gridCol w:w="1074"/>
        <w:gridCol w:w="1108"/>
        <w:gridCol w:w="2455"/>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w:t>
            </w:r>
            <w:r>
              <w:rPr>
                <w:rFonts w:hint="eastAsia" w:ascii="宋体" w:hAnsi="宋体" w:cs="宋体"/>
                <w:i w:val="0"/>
                <w:iCs w:val="0"/>
                <w:color w:val="000000"/>
                <w:kern w:val="0"/>
                <w:sz w:val="30"/>
                <w:szCs w:val="30"/>
                <w:highlight w:val="none"/>
                <w:u w:val="none"/>
                <w:lang w:val="en-US" w:eastAsia="zh-CN" w:bidi="ar"/>
              </w:rPr>
              <w:t>明细</w:t>
            </w:r>
            <w:r>
              <w:rPr>
                <w:rFonts w:hint="eastAsia" w:ascii="宋体" w:hAnsi="宋体" w:eastAsia="宋体" w:cs="宋体"/>
                <w:i w:val="0"/>
                <w:iCs w:val="0"/>
                <w:color w:val="000000"/>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7"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271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0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31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917" w:type="dxa"/>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100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31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40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9009"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7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11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3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11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245.55</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52.28</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55.21</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10.92</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40.36</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0.53</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109.53</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12.63</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0.45</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7.22</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6.88</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13.59</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0.43</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92.04</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18.34</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70.11</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0.08</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16.82</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0.47</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11.66</w:t>
            </w:r>
          </w:p>
        </w:tc>
        <w:tc>
          <w:tcPr>
            <w:tcW w:w="11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27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7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3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3.82</w:t>
            </w:r>
          </w:p>
        </w:tc>
        <w:tc>
          <w:tcPr>
            <w:tcW w:w="11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4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10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337.59</w:t>
            </w:r>
          </w:p>
        </w:tc>
        <w:tc>
          <w:tcPr>
            <w:tcW w:w="806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9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0"/>
        <w:gridCol w:w="1398"/>
        <w:gridCol w:w="1125"/>
        <w:gridCol w:w="1244"/>
        <w:gridCol w:w="1142"/>
        <w:gridCol w:w="920"/>
        <w:gridCol w:w="1091"/>
        <w:gridCol w:w="1125"/>
        <w:gridCol w:w="1023"/>
        <w:gridCol w:w="1124"/>
        <w:gridCol w:w="1314"/>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0"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139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24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4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91"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2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2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117" w:type="dxa"/>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114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2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91"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2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2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576"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3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51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9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0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46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8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9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3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8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13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9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0.40</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0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112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5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222"/>
        <w:gridCol w:w="222"/>
        <w:gridCol w:w="1096"/>
        <w:gridCol w:w="1400"/>
        <w:gridCol w:w="1216"/>
        <w:gridCol w:w="1110"/>
        <w:gridCol w:w="1400"/>
        <w:gridCol w:w="1235"/>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：中共许昌市委老干部局（本级）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2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37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24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2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4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highlight w:val="none"/>
        </w:rPr>
        <w:t>466.28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highlight w:val="none"/>
        </w:rPr>
        <w:t>95.3</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rPr>
        <w:t>16.97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树立过紧日子思想，压缩公用经费和项目经费等各项支出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highlight w:val="none"/>
          <w:lang w:val="en-US"/>
        </w:rPr>
        <w:t>418.31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highlight w:val="none"/>
          <w:lang w:val="en-US"/>
        </w:rPr>
        <w:t>418.31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上级补助收入0万元；事业收入0万元；经营收入0万元；附属单位上缴收入0万元；其他收入0万元。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highlight w:val="none"/>
          <w:lang w:val="en-US"/>
        </w:rPr>
        <w:t>466.28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highlight w:val="none"/>
          <w:lang w:val="en-US"/>
        </w:rPr>
        <w:t>390.23</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highlight w:val="none"/>
          <w:lang w:val="en-US"/>
        </w:rPr>
        <w:t>83.69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highlight w:val="none"/>
          <w:lang w:val="en-US"/>
        </w:rPr>
        <w:t>76.06万元，占16.31%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上缴上级支出0万元；经营支出0万元；对附属单位补助支出0万元。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highlight w:val="none"/>
          <w:lang w:val="en-US"/>
        </w:rPr>
        <w:t>466.28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highlight w:val="none"/>
          <w:lang w:val="en-US"/>
        </w:rPr>
        <w:t>95.3</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lang w:val="en-US"/>
        </w:rPr>
        <w:t>16.97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树立过紧日子思想，压缩公用经费和项目经费等各项支出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highlight w:val="none"/>
          <w:lang w:val="en-US"/>
        </w:rPr>
        <w:t>466.28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highlight w:val="none"/>
          <w:lang w:val="en-US"/>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highlight w:val="none"/>
          <w:lang w:val="en-US"/>
        </w:rPr>
        <w:t>34.32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highlight w:val="none"/>
          <w:lang w:val="en-US"/>
        </w:rPr>
        <w:t>6.86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树立过紧日子思想，压缩公用经费和项目经费等各项支出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highlight w:val="none"/>
          <w:lang w:val="en-US"/>
        </w:rPr>
        <w:t>466.28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338.38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72.57</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114.2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24.49</w:t>
      </w:r>
      <w:r>
        <w:rPr>
          <w:rFonts w:hint="eastAsia" w:ascii="仿宋_GB2312" w:hAnsi="仿宋_GB2312" w:eastAsia="仿宋_GB2312" w:cs="仿宋_GB2312"/>
          <w:sz w:val="32"/>
          <w:szCs w:val="32"/>
          <w:highlight w:val="none"/>
        </w:rPr>
        <w:t>%；卫生健康支出（类）支出</w:t>
      </w:r>
      <w:r>
        <w:rPr>
          <w:rFonts w:hint="eastAsia" w:ascii="仿宋_GB2312" w:hAnsi="仿宋_GB2312" w:eastAsia="仿宋_GB2312" w:cs="仿宋_GB2312"/>
          <w:sz w:val="32"/>
          <w:szCs w:val="32"/>
          <w:highlight w:val="none"/>
          <w:lang w:val="en-US" w:eastAsia="zh-CN"/>
        </w:rPr>
        <w:t>13.70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highlight w:val="none"/>
          <w:lang w:val="en-US"/>
        </w:rPr>
        <w:t>344.08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lang w:val="en-US"/>
        </w:rPr>
        <w:t>466.28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highlight w:val="none"/>
          <w:lang w:val="en-US"/>
        </w:rPr>
        <w:t>135.52</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年初预算为1.25万元，支出决算为1.25万元，完成年初预算的100%。决算数与年初预算数不存在差异。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shd w:val="clear" w:color="auto" w:fill="auto"/>
          <w:lang w:val="en-US" w:eastAsia="zh-CN"/>
        </w:rPr>
        <w:t>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shd w:val="clear" w:color="auto" w:fill="auto"/>
          <w:lang w:val="en-US" w:eastAsia="zh-CN"/>
        </w:rPr>
        <w:t>（类）组织事务（款）行政运行（项）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年初预算为243.13万元，支出决算为241.9万元，完成年初预算的99.49%。决算数与年初预算数存在差异的主要原因是树立过紧日子思想，节俭开支。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3．一般公共服务支出（类）组织事务（款）一般行政管理事务（项）。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年初预算为0万元，支出决算为72.28万元。决算数与年初预算数存在差异的主要原因是春节慰问经费及困难离休干部帮扶金为追加的项目经费。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4．一般公共服务支出（类）其他共产党事务支出（款）行政运行</w:t>
      </w:r>
      <w:r>
        <w:rPr>
          <w:rFonts w:hint="eastAsia" w:ascii="仿宋_GB2312" w:eastAsia="仿宋_GB2312"/>
          <w:b/>
          <w:bCs/>
          <w:color w:val="auto"/>
          <w:sz w:val="32"/>
          <w:szCs w:val="32"/>
          <w:highlight w:val="none"/>
          <w:lang w:val="en-US" w:eastAsia="zh-CN"/>
        </w:rPr>
        <w:t>（项）。</w:t>
      </w:r>
      <w:r>
        <w:rPr>
          <w:rFonts w:hint="eastAsia" w:ascii="仿宋_GB2312" w:eastAsia="仿宋_GB2312"/>
          <w:color w:val="auto"/>
          <w:sz w:val="32"/>
          <w:szCs w:val="32"/>
          <w:highlight w:val="none"/>
          <w:lang w:val="en-US" w:eastAsia="zh-CN"/>
        </w:rPr>
        <w:t>年初预算为0万元，支出决算为22.95万元。决算数与年初预算数存在差异的主要原因是决算数与年初预算数存在差异的主要原因是</w:t>
      </w:r>
      <w:r>
        <w:rPr>
          <w:rFonts w:hint="eastAsia" w:ascii="仿宋_GB2312" w:eastAsia="仿宋_GB2312"/>
          <w:color w:val="auto"/>
          <w:sz w:val="32"/>
          <w:szCs w:val="32"/>
          <w:highlight w:val="none"/>
          <w:lang w:eastAsia="zh-CN"/>
        </w:rPr>
        <w:t>年中追加项目经费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仿宋_GB2312" w:eastAsia="仿宋_GB2312"/>
          <w:sz w:val="32"/>
          <w:szCs w:val="32"/>
          <w:highlight w:val="none"/>
          <w:lang w:eastAsia="zh-CN"/>
        </w:rPr>
      </w:pPr>
      <w:r>
        <w:rPr>
          <w:rFonts w:hint="eastAsia" w:ascii="仿宋_GB2312" w:hAnsi="宋体" w:eastAsia="仿宋_GB2312" w:cs="Courier New"/>
          <w:b/>
          <w:bCs/>
          <w:sz w:val="32"/>
          <w:szCs w:val="32"/>
          <w:highlight w:val="none"/>
          <w:lang w:val="en-US" w:eastAsia="zh-CN"/>
        </w:rPr>
        <w:t>5.社会</w:t>
      </w:r>
      <w:r>
        <w:rPr>
          <w:rFonts w:hint="eastAsia" w:ascii="仿宋_GB2312" w:hAnsi="宋体" w:eastAsia="仿宋_GB2312" w:cs="Courier New"/>
          <w:b/>
          <w:bCs/>
          <w:sz w:val="32"/>
          <w:szCs w:val="32"/>
          <w:highlight w:val="none"/>
        </w:rPr>
        <w:t>保障和就业</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宋体" w:eastAsia="仿宋_GB2312" w:cs="Courier New"/>
          <w:b/>
          <w:bCs/>
          <w:sz w:val="32"/>
          <w:szCs w:val="32"/>
          <w:highlight w:val="none"/>
        </w:rPr>
        <w:t>（类）</w:t>
      </w:r>
      <w:r>
        <w:rPr>
          <w:rFonts w:hint="eastAsia" w:ascii="仿宋_GB2312" w:eastAsia="仿宋_GB2312"/>
          <w:b/>
          <w:sz w:val="32"/>
          <w:szCs w:val="32"/>
          <w:highlight w:val="none"/>
        </w:rPr>
        <w:t>行政事业单位</w:t>
      </w:r>
      <w:r>
        <w:rPr>
          <w:rFonts w:hint="eastAsia" w:ascii="仿宋_GB2312" w:eastAsia="仿宋_GB2312"/>
          <w:b/>
          <w:color w:val="auto"/>
          <w:sz w:val="32"/>
          <w:szCs w:val="32"/>
          <w:highlight w:val="none"/>
          <w:lang w:val="en-US" w:eastAsia="zh-CN"/>
        </w:rPr>
        <w:t>养老支出</w:t>
      </w:r>
      <w:r>
        <w:rPr>
          <w:rFonts w:hint="eastAsia" w:ascii="仿宋_GB2312" w:eastAsia="仿宋_GB2312"/>
          <w:b/>
          <w:sz w:val="32"/>
          <w:szCs w:val="32"/>
          <w:highlight w:val="none"/>
        </w:rPr>
        <w:t>（款）行政单位离退休（项）。</w:t>
      </w:r>
      <w:r>
        <w:rPr>
          <w:rFonts w:hint="eastAsia" w:ascii="仿宋_GB2312" w:eastAsia="仿宋_GB2312"/>
          <w:sz w:val="32"/>
          <w:szCs w:val="32"/>
          <w:highlight w:val="none"/>
        </w:rPr>
        <w:t>年初预算为</w:t>
      </w:r>
      <w:r>
        <w:rPr>
          <w:rFonts w:hint="eastAsia" w:ascii="仿宋_GB2312" w:eastAsia="仿宋_GB2312"/>
          <w:sz w:val="32"/>
          <w:szCs w:val="32"/>
          <w:highlight w:val="none"/>
          <w:lang w:val="en-US" w:eastAsia="zh-CN"/>
        </w:rPr>
        <w:t>69.60</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80.11</w:t>
      </w:r>
      <w:r>
        <w:rPr>
          <w:rFonts w:hint="eastAsia" w:ascii="仿宋_GB2312" w:eastAsia="仿宋_GB2312"/>
          <w:sz w:val="32"/>
          <w:szCs w:val="32"/>
          <w:highlight w:val="none"/>
        </w:rPr>
        <w:t>万元，完成年初预算</w:t>
      </w:r>
      <w:r>
        <w:rPr>
          <w:rFonts w:hint="eastAsia" w:ascii="仿宋_GB2312" w:eastAsia="仿宋_GB2312"/>
          <w:sz w:val="32"/>
          <w:szCs w:val="32"/>
          <w:highlight w:val="none"/>
          <w:lang w:val="en-US" w:eastAsia="zh-CN"/>
        </w:rPr>
        <w:t>115.10</w:t>
      </w:r>
      <w:r>
        <w:rPr>
          <w:rFonts w:hint="eastAsia" w:ascii="仿宋_GB2312" w:eastAsia="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ascii="仿宋_GB2312" w:eastAsia="仿宋_GB2312"/>
          <w:sz w:val="32"/>
          <w:szCs w:val="32"/>
          <w:highlight w:val="none"/>
        </w:rPr>
        <w:t>的主要原因</w:t>
      </w:r>
      <w:r>
        <w:rPr>
          <w:rFonts w:hint="eastAsia" w:ascii="仿宋_GB2312" w:eastAsia="仿宋_GB2312"/>
          <w:sz w:val="32"/>
          <w:szCs w:val="32"/>
          <w:highlight w:val="none"/>
          <w:lang w:eastAsia="zh-CN"/>
        </w:rPr>
        <w:t>是离退休人员增加。</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6.社会保障和就业</w:t>
      </w:r>
      <w:r>
        <w:rPr>
          <w:rFonts w:hint="eastAsia" w:ascii="仿宋_GB2312" w:hAnsi="仿宋_GB2312" w:eastAsia="仿宋_GB2312" w:cs="仿宋_GB2312"/>
          <w:b/>
          <w:bCs/>
          <w:color w:val="auto"/>
          <w:sz w:val="32"/>
          <w:szCs w:val="32"/>
          <w:highlight w:val="none"/>
          <w:lang w:val="en-US" w:eastAsia="zh-CN"/>
        </w:rPr>
        <w:t>支出（类）行政事业单位养老支出（款）机关事业单位基本养老保险缴费支出（项）</w:t>
      </w:r>
      <w:r>
        <w:rPr>
          <w:rFonts w:hint="eastAsia" w:ascii="仿宋_GB2312" w:eastAsia="仿宋_GB2312"/>
          <w:b/>
          <w:sz w:val="32"/>
          <w:szCs w:val="32"/>
          <w:highlight w:val="none"/>
        </w:rPr>
        <w:t>。</w:t>
      </w:r>
      <w:r>
        <w:rPr>
          <w:rFonts w:hint="eastAsia" w:ascii="仿宋_GB2312" w:eastAsia="仿宋_GB2312"/>
          <w:sz w:val="32"/>
          <w:szCs w:val="32"/>
          <w:highlight w:val="none"/>
        </w:rPr>
        <w:t>年初预算为</w:t>
      </w:r>
      <w:r>
        <w:rPr>
          <w:rFonts w:hint="eastAsia" w:ascii="仿宋_GB2312" w:eastAsia="仿宋_GB2312"/>
          <w:sz w:val="32"/>
          <w:szCs w:val="32"/>
          <w:highlight w:val="none"/>
          <w:lang w:val="en-US" w:eastAsia="zh-CN"/>
        </w:rPr>
        <w:t xml:space="preserve"> 14.93</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13.49</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90.35</w:t>
      </w:r>
      <w:r>
        <w:rPr>
          <w:rFonts w:hint="eastAsia" w:ascii="仿宋_GB2312" w:eastAsia="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ascii="仿宋_GB2312" w:eastAsia="仿宋_GB2312"/>
          <w:sz w:val="32"/>
          <w:szCs w:val="32"/>
          <w:highlight w:val="none"/>
        </w:rPr>
        <w:t>的主要原因</w:t>
      </w:r>
      <w:r>
        <w:rPr>
          <w:rFonts w:hint="eastAsia" w:ascii="仿宋_GB2312" w:eastAsia="仿宋_GB2312"/>
          <w:sz w:val="32"/>
          <w:szCs w:val="32"/>
          <w:highlight w:val="none"/>
          <w:lang w:eastAsia="zh-CN"/>
        </w:rPr>
        <w:t>是</w:t>
      </w:r>
      <w:r>
        <w:rPr>
          <w:rFonts w:hint="eastAsia" w:ascii="仿宋_GB2312" w:eastAsia="仿宋_GB2312"/>
          <w:sz w:val="32"/>
          <w:szCs w:val="32"/>
          <w:highlight w:val="none"/>
          <w:lang w:val="en-US" w:eastAsia="zh-CN"/>
        </w:rPr>
        <w:t>2021年调出一人，社保费支出减少</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7.社会保障和就业</w:t>
      </w:r>
      <w:r>
        <w:rPr>
          <w:rFonts w:hint="eastAsia" w:ascii="仿宋_GB2312" w:hAnsi="仿宋_GB2312" w:eastAsia="仿宋_GB2312" w:cs="仿宋_GB2312"/>
          <w:b/>
          <w:bCs/>
          <w:color w:val="auto"/>
          <w:sz w:val="32"/>
          <w:szCs w:val="32"/>
          <w:highlight w:val="none"/>
          <w:lang w:val="en-US" w:eastAsia="zh-CN"/>
        </w:rPr>
        <w:t>支出（类）临时救助（款）临时救助支出（项）。</w:t>
      </w:r>
      <w:r>
        <w:rPr>
          <w:rFonts w:hint="eastAsia" w:ascii="仿宋_GB2312" w:eastAsia="仿宋_GB2312"/>
          <w:sz w:val="32"/>
          <w:szCs w:val="32"/>
          <w:highlight w:val="none"/>
        </w:rPr>
        <w:t>年初预算为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20.6</w:t>
      </w:r>
      <w:r>
        <w:rPr>
          <w:rFonts w:hint="eastAsia" w:ascii="仿宋_GB2312" w:eastAsia="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w:t>
      </w:r>
      <w:r>
        <w:rPr>
          <w:rFonts w:hint="eastAsia" w:ascii="仿宋_GB2312" w:eastAsia="仿宋_GB2312"/>
          <w:sz w:val="32"/>
          <w:szCs w:val="32"/>
          <w:highlight w:val="none"/>
        </w:rPr>
        <w:t>的主要原因</w:t>
      </w:r>
      <w:r>
        <w:rPr>
          <w:rFonts w:hint="eastAsia" w:ascii="仿宋_GB2312" w:eastAsia="仿宋_GB2312"/>
          <w:sz w:val="32"/>
          <w:szCs w:val="32"/>
          <w:highlight w:val="none"/>
          <w:lang w:eastAsia="zh-CN"/>
        </w:rPr>
        <w:t>是临时救助为追加经费，预算当中没有安排。</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jc w:val="both"/>
        <w:textAlignment w:val="auto"/>
        <w:rPr>
          <w:rFonts w:hint="eastAsia" w:ascii="仿宋_GB2312" w:eastAsia="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8.卫生健康支出（类）行政事业单位医疗（款）行政单位医疗（项）。</w:t>
      </w:r>
      <w:r>
        <w:rPr>
          <w:rFonts w:hint="eastAsia" w:eastAsia="仿宋_GB2312"/>
          <w:sz w:val="32"/>
          <w:szCs w:val="32"/>
          <w:highlight w:val="none"/>
        </w:rPr>
        <w:t>年</w:t>
      </w:r>
      <w:r>
        <w:rPr>
          <w:rFonts w:hint="eastAsia" w:ascii="仿宋_GB2312" w:eastAsia="仿宋_GB2312"/>
          <w:sz w:val="32"/>
          <w:szCs w:val="32"/>
          <w:highlight w:val="none"/>
        </w:rPr>
        <w:t>初预算为</w:t>
      </w:r>
      <w:r>
        <w:rPr>
          <w:rFonts w:hint="eastAsia" w:ascii="仿宋_GB2312" w:eastAsia="仿宋_GB2312"/>
          <w:sz w:val="32"/>
          <w:szCs w:val="32"/>
          <w:highlight w:val="none"/>
          <w:lang w:val="en-US" w:eastAsia="zh-CN"/>
        </w:rPr>
        <w:t>7.77万元</w:t>
      </w:r>
      <w:r>
        <w:rPr>
          <w:rFonts w:hint="eastAsia" w:ascii="仿宋_GB2312" w:eastAsia="仿宋_GB2312"/>
          <w:sz w:val="32"/>
          <w:szCs w:val="32"/>
          <w:highlight w:val="none"/>
        </w:rPr>
        <w:t>，支出决算为</w:t>
      </w:r>
      <w:r>
        <w:rPr>
          <w:rFonts w:hint="eastAsia" w:ascii="仿宋_GB2312" w:eastAsia="仿宋_GB2312"/>
          <w:sz w:val="32"/>
          <w:szCs w:val="32"/>
          <w:highlight w:val="none"/>
          <w:lang w:val="en-US" w:eastAsia="zh-CN"/>
        </w:rPr>
        <w:t>7.02</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90.35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算数与年初预算数存在差异</w:t>
      </w:r>
      <w:r>
        <w:rPr>
          <w:rFonts w:hint="eastAsia" w:ascii="仿宋_GB2312" w:eastAsia="仿宋_GB2312"/>
          <w:sz w:val="32"/>
          <w:szCs w:val="32"/>
          <w:highlight w:val="none"/>
        </w:rPr>
        <w:t>的主要原因</w:t>
      </w:r>
      <w:r>
        <w:rPr>
          <w:rFonts w:hint="eastAsia" w:ascii="仿宋_GB2312" w:eastAsia="仿宋_GB2312"/>
          <w:sz w:val="32"/>
          <w:szCs w:val="32"/>
          <w:highlight w:val="none"/>
          <w:lang w:eastAsia="zh-CN"/>
        </w:rPr>
        <w:t>是</w:t>
      </w:r>
      <w:r>
        <w:rPr>
          <w:rFonts w:hint="eastAsia" w:ascii="仿宋_GB2312" w:eastAsia="仿宋_GB2312"/>
          <w:sz w:val="32"/>
          <w:szCs w:val="32"/>
          <w:highlight w:val="none"/>
          <w:lang w:val="en-US" w:eastAsia="zh-CN"/>
        </w:rPr>
        <w:t>2021年调出一人，社保费支出减少</w:t>
      </w:r>
      <w:r>
        <w:rPr>
          <w:rFonts w:hint="eastAsia" w:ascii="仿宋_GB2312" w:eastAsia="仿宋_GB2312"/>
          <w:sz w:val="32"/>
          <w:szCs w:val="32"/>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9.卫生健康支出（类）行政事业单位医疗（款）公务员医疗补助（项）。</w:t>
      </w:r>
      <w:r>
        <w:rPr>
          <w:rFonts w:hint="eastAsia" w:ascii="仿宋_GB2312" w:eastAsia="仿宋_GB2312"/>
          <w:sz w:val="32"/>
          <w:szCs w:val="32"/>
          <w:highlight w:val="none"/>
          <w:lang w:val="en-US" w:eastAsia="zh-CN"/>
        </w:rPr>
        <w:t>年初预算为7.40万元，支出决算为6.68万元，完成年初预算的90.27%。算数与年初预算数存在差异的主要原因是2021年调出一人，社保费支出减少。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390.23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highlight w:val="none"/>
          <w:lang w:val="en-US"/>
        </w:rPr>
        <w:t>337.59</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基本工资、津贴补贴、奖金、机关事业单位基本养老保险缴费、职工基本医疗保险缴费、公务员医疗补助缴费、住房公积金、离休费、退休费等；</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highlight w:val="none"/>
          <w:lang w:val="en-US"/>
        </w:rPr>
        <w:t>52.64</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办公费、差旅费、劳务费、委托业务费、工会经费、福利费、公务用车运行维护费、其他交通费用、其他商品和服务支出等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highlight w:val="none"/>
          <w:lang w:val="en-US"/>
        </w:rPr>
        <w:t>2.84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highlight w:val="none"/>
          <w:lang w:val="en-US"/>
        </w:rPr>
        <w:t>91.5</w:t>
      </w:r>
      <w:r>
        <w:rPr>
          <w:rFonts w:hint="eastAsia" w:ascii="仿宋_GB2312" w:hAnsi="仿宋_GB2312" w:eastAsia="仿宋_GB2312"/>
          <w:sz w:val="32"/>
          <w:szCs w:val="24"/>
          <w:highlight w:val="none"/>
          <w:lang w:val="en-US" w:eastAsia="zh-CN"/>
        </w:rPr>
        <w:t>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严格贯彻中央八项规定精神，节俭开支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sz w:val="32"/>
          <w:szCs w:val="24"/>
          <w:highlight w:val="none"/>
          <w:lang w:val="en-US"/>
        </w:rPr>
        <w:t>2.44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rPr>
        <w:t>占93.8</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%；公务接待费支出决算0.16万元，完成预算的40%，占6.1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0万元，支出决算为0万元。决算数与预算数不存在差异。因公出国（境）团组数0个，因公出国（境）人次数0人。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2.44万元，支出决算为2.44万元，完成预算的100%。决算与预算不存在差异。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0万元，购置车辆0台</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highlight w:val="none"/>
          <w:lang w:val="en-US"/>
        </w:rPr>
        <w:t>2.44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服务老干部及公务办理。2021年期末，单位开支财政拨款的公务用车保有量为1辆。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highlight w:val="none"/>
          <w:lang w:val="en-US"/>
        </w:rPr>
        <w:t>0.4</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lang w:val="en-US"/>
        </w:rPr>
        <w:t>0.16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highlight w:val="none"/>
          <w:lang w:val="en-US"/>
        </w:rPr>
        <w:t>40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贯彻中央八项规定精神，节俭开支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sz w:val="32"/>
          <w:szCs w:val="24"/>
          <w:highlight w:val="none"/>
          <w:lang w:val="en-US"/>
        </w:rPr>
        <w:t>0.16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外地市老干部局来访参观考察。2021年共接待国内来访团组1个、来宾10人次（不包括陪同人员）</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0万元，支出决算为0万元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不存在项目年末结转和结余资金金额较大。</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32.56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lang w:val="en-US"/>
        </w:rPr>
        <w:t>52.64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161.67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 xml:space="preserve">春节慰问经费等项目支出为年中追加项目经费。                                                                                                                                                                                                                                                                                                                                                                                        </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highlight w:val="none"/>
        </w:rPr>
        <w:t>辆，其中：</w:t>
      </w:r>
      <w:r>
        <w:rPr>
          <w:rFonts w:hint="eastAsia" w:ascii="仿宋_GB2312" w:hAnsi="仿宋_GB2312" w:eastAsia="仿宋_GB2312" w:cs="仿宋_GB2312"/>
          <w:color w:val="auto"/>
          <w:sz w:val="32"/>
          <w:szCs w:val="32"/>
          <w:highlight w:val="none"/>
          <w:lang w:val="en-US" w:eastAsia="zh-CN"/>
        </w:rPr>
        <w:t>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高度重视绩效管理工作，事前进行绩效评估，年终围绕2021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我单位紧紧围绕本单位的工作职能和职责，严格按照资金使用内容和用途，及时将离休干部帮扶金拨付到位。二是项目绩效自评情况，我单位按项目支出绩效目标，对标对表，根据单位实际运行情况，基本完成了绩效目标。我单位3个项目批复了绩效目标，项目金额76.06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2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05ECE"/>
    <w:multiLevelType w:val="singleLevel"/>
    <w:tmpl w:val="EB705ECE"/>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69cdf07f-f56b-4138-9c74-ea5df49d5258"/>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9939F3"/>
    <w:rsid w:val="01DC6F05"/>
    <w:rsid w:val="02401497"/>
    <w:rsid w:val="02A3489A"/>
    <w:rsid w:val="02CA138D"/>
    <w:rsid w:val="033646FC"/>
    <w:rsid w:val="03C75F80"/>
    <w:rsid w:val="0478364D"/>
    <w:rsid w:val="053D4C0D"/>
    <w:rsid w:val="0557532E"/>
    <w:rsid w:val="06922673"/>
    <w:rsid w:val="0799329C"/>
    <w:rsid w:val="08397436"/>
    <w:rsid w:val="086F16A7"/>
    <w:rsid w:val="08962BB3"/>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4B0CDB"/>
    <w:rsid w:val="2A805789"/>
    <w:rsid w:val="2ADC0D75"/>
    <w:rsid w:val="2B4A0E52"/>
    <w:rsid w:val="2C975890"/>
    <w:rsid w:val="2DEF21BB"/>
    <w:rsid w:val="2E4A2F05"/>
    <w:rsid w:val="2ECC1061"/>
    <w:rsid w:val="2F0E07F9"/>
    <w:rsid w:val="2FA476AD"/>
    <w:rsid w:val="303E62AE"/>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1EE4178"/>
    <w:rsid w:val="435671EA"/>
    <w:rsid w:val="440809E9"/>
    <w:rsid w:val="442407A6"/>
    <w:rsid w:val="44805EA1"/>
    <w:rsid w:val="45710696"/>
    <w:rsid w:val="46142B1B"/>
    <w:rsid w:val="46AA2C67"/>
    <w:rsid w:val="47E60DD0"/>
    <w:rsid w:val="48735039"/>
    <w:rsid w:val="492C684B"/>
    <w:rsid w:val="49500594"/>
    <w:rsid w:val="498363C9"/>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3E1481"/>
    <w:rsid w:val="5A7E6421"/>
    <w:rsid w:val="5AC2203A"/>
    <w:rsid w:val="5C326355"/>
    <w:rsid w:val="5CBB3334"/>
    <w:rsid w:val="5D115FAF"/>
    <w:rsid w:val="5FCB6ECD"/>
    <w:rsid w:val="5FF1E455"/>
    <w:rsid w:val="62811722"/>
    <w:rsid w:val="62E75A72"/>
    <w:rsid w:val="64571880"/>
    <w:rsid w:val="649125B6"/>
    <w:rsid w:val="652F4C1A"/>
    <w:rsid w:val="666D37F1"/>
    <w:rsid w:val="67087D8F"/>
    <w:rsid w:val="671F687E"/>
    <w:rsid w:val="67F415F8"/>
    <w:rsid w:val="682640D1"/>
    <w:rsid w:val="684B73E5"/>
    <w:rsid w:val="686A0EC5"/>
    <w:rsid w:val="6A047A2A"/>
    <w:rsid w:val="6EF500ED"/>
    <w:rsid w:val="6EFB7548"/>
    <w:rsid w:val="6F3831C3"/>
    <w:rsid w:val="6F8B71C1"/>
    <w:rsid w:val="6FB46AB9"/>
    <w:rsid w:val="6FEF7CCF"/>
    <w:rsid w:val="70074EE3"/>
    <w:rsid w:val="70753482"/>
    <w:rsid w:val="707B522A"/>
    <w:rsid w:val="73194D05"/>
    <w:rsid w:val="73A83B0E"/>
    <w:rsid w:val="744D3EF9"/>
    <w:rsid w:val="74794411"/>
    <w:rsid w:val="75867C40"/>
    <w:rsid w:val="75B10B26"/>
    <w:rsid w:val="760029C6"/>
    <w:rsid w:val="76432199"/>
    <w:rsid w:val="76F44829"/>
    <w:rsid w:val="77736049"/>
    <w:rsid w:val="77A267C0"/>
    <w:rsid w:val="78882278"/>
    <w:rsid w:val="78B118A6"/>
    <w:rsid w:val="79135044"/>
    <w:rsid w:val="7A7D0F99"/>
    <w:rsid w:val="7E4A0E7C"/>
    <w:rsid w:val="7EFD449D"/>
    <w:rsid w:val="7FCA3B38"/>
    <w:rsid w:val="EFF789E4"/>
    <w:rsid w:val="F9F62AA0"/>
    <w:rsid w:val="FEE7D087"/>
    <w:rsid w:val="FF5FCC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8260</Words>
  <Characters>10106</Characters>
  <Lines>60</Lines>
  <Paragraphs>16</Paragraphs>
  <TotalTime>124</TotalTime>
  <ScaleCrop>false</ScaleCrop>
  <LinksUpToDate>false</LinksUpToDate>
  <CharactersWithSpaces>10716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Administrator</cp:lastModifiedBy>
  <cp:lastPrinted>2018-07-25T18:50:00Z</cp:lastPrinted>
  <dcterms:modified xsi:type="dcterms:W3CDTF">2023-05-19T02:00:09Z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1DBFDABF5B444050BC86EDC5130E607A</vt:lpwstr>
  </property>
</Properties>
</file>