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color w:val="auto"/>
          <w:kern w:val="0"/>
          <w:sz w:val="28"/>
          <w:szCs w:val="28"/>
          <w:highlight w:val="none"/>
        </w:rPr>
      </w:pPr>
      <w:bookmarkStart w:id="0" w:name="_GoBack"/>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rPr>
          <w:rFonts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ascii="黑体" w:hAnsi="黑体" w:eastAsia="黑体" w:cs="黑体"/>
          <w:color w:val="auto"/>
          <w:sz w:val="52"/>
          <w:szCs w:val="52"/>
          <w:highlight w:val="none"/>
        </w:rPr>
      </w:pPr>
      <w:r>
        <w:rPr>
          <w:rFonts w:hint="eastAsia" w:ascii="黑体" w:hAnsi="黑体" w:eastAsia="黑体" w:cs="黑体"/>
          <w:color w:val="auto"/>
          <w:sz w:val="52"/>
          <w:szCs w:val="52"/>
          <w:highlight w:val="none"/>
        </w:rPr>
        <w:t>许昌市</w:t>
      </w:r>
      <w:r>
        <w:rPr>
          <w:rFonts w:hint="eastAsia" w:ascii="黑体" w:hAnsi="黑体" w:eastAsia="黑体" w:cs="黑体"/>
          <w:color w:val="auto"/>
          <w:sz w:val="52"/>
          <w:szCs w:val="52"/>
          <w:highlight w:val="none"/>
          <w:lang w:eastAsia="zh-CN"/>
        </w:rPr>
        <w:t>物业</w:t>
      </w:r>
      <w:r>
        <w:rPr>
          <w:rFonts w:hint="eastAsia" w:ascii="黑体" w:hAnsi="黑体" w:eastAsia="黑体" w:cs="黑体"/>
          <w:color w:val="auto"/>
          <w:sz w:val="52"/>
          <w:szCs w:val="52"/>
          <w:highlight w:val="none"/>
        </w:rPr>
        <w:t>管理中心</w:t>
      </w:r>
      <w:r>
        <w:rPr>
          <w:rFonts w:hint="eastAsia" w:ascii="黑体" w:hAnsi="黑体" w:eastAsia="黑体" w:cs="黑体"/>
          <w:color w:val="auto"/>
          <w:sz w:val="52"/>
          <w:szCs w:val="52"/>
          <w:highlight w:val="none"/>
          <w:lang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32"/>
          <w:szCs w:val="32"/>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color w:val="auto"/>
          <w:sz w:val="32"/>
          <w:szCs w:val="32"/>
          <w:highlight w:val="none"/>
        </w:rPr>
        <w:t>二〇二二年九月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许昌市</w:t>
      </w:r>
      <w:r>
        <w:rPr>
          <w:rFonts w:hint="eastAsia" w:ascii="黑体" w:hAnsi="黑体" w:eastAsia="黑体" w:cs="黑体"/>
          <w:color w:val="auto"/>
          <w:sz w:val="32"/>
          <w:szCs w:val="32"/>
          <w:highlight w:val="none"/>
          <w:lang w:eastAsia="zh-CN"/>
        </w:rPr>
        <w:t>物业</w:t>
      </w:r>
      <w:r>
        <w:rPr>
          <w:rFonts w:hint="eastAsia" w:ascii="黑体" w:hAnsi="黑体" w:eastAsia="黑体" w:cs="黑体"/>
          <w:color w:val="auto"/>
          <w:sz w:val="32"/>
          <w:szCs w:val="32"/>
          <w:highlight w:val="none"/>
        </w:rPr>
        <w:t>管理中心概况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ascii="黑体" w:hAnsi="宋体" w:eastAsia="黑体" w:cs="宋体"/>
          <w:color w:val="auto"/>
          <w:kern w:val="0"/>
          <w:sz w:val="48"/>
          <w:szCs w:val="48"/>
          <w:highlight w:val="none"/>
        </w:rPr>
      </w:pPr>
      <w:r>
        <w:rPr>
          <w:rFonts w:hint="eastAsia" w:ascii="黑体" w:hAnsi="黑体" w:eastAsia="黑体" w:cs="黑体"/>
          <w:color w:val="auto"/>
          <w:sz w:val="48"/>
          <w:szCs w:val="48"/>
          <w:highlight w:val="none"/>
        </w:rPr>
        <w:t>第一部分  许昌市</w:t>
      </w:r>
      <w:r>
        <w:rPr>
          <w:rFonts w:hint="eastAsia" w:ascii="黑体" w:hAnsi="黑体" w:eastAsia="黑体" w:cs="黑体"/>
          <w:color w:val="auto"/>
          <w:sz w:val="48"/>
          <w:szCs w:val="48"/>
          <w:highlight w:val="none"/>
          <w:lang w:eastAsia="zh-CN"/>
        </w:rPr>
        <w:t>物业</w:t>
      </w:r>
      <w:r>
        <w:rPr>
          <w:rFonts w:hint="eastAsia" w:ascii="黑体" w:hAnsi="黑体" w:eastAsia="黑体" w:cs="黑体"/>
          <w:color w:val="auto"/>
          <w:sz w:val="48"/>
          <w:szCs w:val="48"/>
          <w:highlight w:val="none"/>
        </w:rPr>
        <w:t>管理中心概况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（一）负责物业服务小区精细化管理考核工作，建立完善全市物业服务企业信用档案管理系统；</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（二）全市物业管理从业人员培训工作；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（三）示范住宅小区的初审及初验工作；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（四）市区居民住宅小区住宅专项维修资金的交存、管理和使用工作。</w:t>
      </w:r>
    </w:p>
    <w:p>
      <w:pPr>
        <w:widowControl/>
        <w:ind w:firstLine="640" w:firstLineChars="200"/>
        <w:jc w:val="left"/>
        <w:outlineLvl w:val="1"/>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许昌市物业管理中心内设机构4个，包括：综合办公室、维修资金管理科、维修工程管理科、企业管理科。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从决算单位构成看，许昌市物业管理中心</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决算包括：本级决算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纳入本</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202</w:t>
      </w:r>
      <w:r>
        <w:rPr>
          <w:rFonts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rPr>
        <w:t>年度</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决算编制范围的单位共1个，具体是：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许昌市物业管理中心</w:t>
      </w:r>
    </w:p>
    <w:p>
      <w:pPr>
        <w:spacing w:line="540" w:lineRule="exact"/>
        <w:ind w:firstLine="640" w:firstLineChars="200"/>
        <w:rPr>
          <w:rFonts w:ascii="仿宋_GB2312" w:hAnsi="仿宋_GB2312" w:eastAsia="仿宋_GB2312" w:cs="仿宋_GB2312"/>
          <w:color w:val="auto"/>
          <w:sz w:val="32"/>
          <w:szCs w:val="32"/>
          <w:highlight w:val="none"/>
        </w:rPr>
      </w:pPr>
    </w:p>
    <w:p>
      <w:pPr>
        <w:widowControl/>
        <w:ind w:firstLine="640" w:firstLineChars="200"/>
        <w:jc w:val="left"/>
        <w:rPr>
          <w:rFonts w:ascii="仿宋_GB2312" w:hAnsi="仿宋_GB2312" w:eastAsia="仿宋_GB2312" w:cs="仿宋_GB2312"/>
          <w:color w:val="auto"/>
          <w:kern w:val="0"/>
          <w:sz w:val="32"/>
          <w:szCs w:val="32"/>
          <w:highlight w:val="none"/>
        </w:rPr>
      </w:pPr>
    </w:p>
    <w:p>
      <w:pPr>
        <w:widowControl/>
        <w:jc w:val="left"/>
        <w:rPr>
          <w:rFonts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000" w:type="dxa"/>
        <w:tblInd w:w="91" w:type="dxa"/>
        <w:tblLayout w:type="fixed"/>
        <w:tblCellMar>
          <w:top w:w="0" w:type="dxa"/>
          <w:left w:w="108" w:type="dxa"/>
          <w:bottom w:w="0" w:type="dxa"/>
          <w:right w:w="108" w:type="dxa"/>
        </w:tblCellMar>
      </w:tblPr>
      <w:tblGrid>
        <w:gridCol w:w="4265"/>
        <w:gridCol w:w="761"/>
        <w:gridCol w:w="1736"/>
        <w:gridCol w:w="4508"/>
        <w:gridCol w:w="1100"/>
        <w:gridCol w:w="1630"/>
      </w:tblGrid>
      <w:tr>
        <w:tblPrEx>
          <w:tblCellMar>
            <w:top w:w="0" w:type="dxa"/>
            <w:left w:w="108" w:type="dxa"/>
            <w:bottom w:w="0" w:type="dxa"/>
            <w:right w:w="108" w:type="dxa"/>
          </w:tblCellMar>
        </w:tblPrEx>
        <w:trPr>
          <w:trHeight w:val="619" w:hRule="atLeast"/>
        </w:trPr>
        <w:tc>
          <w:tcPr>
            <w:tcW w:w="14000" w:type="dxa"/>
            <w:gridSpan w:val="6"/>
            <w:tcBorders>
              <w:top w:val="nil"/>
              <w:left w:val="nil"/>
              <w:bottom w:val="nil"/>
              <w:right w:val="nil"/>
            </w:tcBorders>
            <w:noWrap/>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rPr>
              <w:t>收入支出决算总表</w:t>
            </w:r>
          </w:p>
        </w:tc>
      </w:tr>
      <w:tr>
        <w:tblPrEx>
          <w:tblCellMar>
            <w:top w:w="0" w:type="dxa"/>
            <w:left w:w="108" w:type="dxa"/>
            <w:bottom w:w="0" w:type="dxa"/>
            <w:right w:w="108" w:type="dxa"/>
          </w:tblCellMar>
        </w:tblPrEx>
        <w:trPr>
          <w:trHeight w:val="283" w:hRule="atLeast"/>
        </w:trPr>
        <w:tc>
          <w:tcPr>
            <w:tcW w:w="4265" w:type="dxa"/>
            <w:tcBorders>
              <w:top w:val="nil"/>
              <w:left w:val="nil"/>
              <w:bottom w:val="nil"/>
              <w:right w:val="nil"/>
            </w:tcBorders>
            <w:noWrap/>
            <w:vAlign w:val="bottom"/>
          </w:tcPr>
          <w:p>
            <w:pPr>
              <w:rPr>
                <w:rFonts w:ascii="Arial" w:hAnsi="Arial" w:cs="Arial"/>
                <w:color w:val="auto"/>
                <w:sz w:val="20"/>
                <w:szCs w:val="20"/>
                <w:highlight w:val="none"/>
              </w:rPr>
            </w:pPr>
          </w:p>
        </w:tc>
        <w:tc>
          <w:tcPr>
            <w:tcW w:w="761" w:type="dxa"/>
            <w:tcBorders>
              <w:top w:val="nil"/>
              <w:left w:val="nil"/>
              <w:bottom w:val="nil"/>
              <w:right w:val="nil"/>
            </w:tcBorders>
            <w:noWrap/>
            <w:vAlign w:val="bottom"/>
          </w:tcPr>
          <w:p>
            <w:pPr>
              <w:rPr>
                <w:rFonts w:ascii="Arial" w:hAnsi="Arial" w:cs="Arial"/>
                <w:color w:val="auto"/>
                <w:sz w:val="20"/>
                <w:szCs w:val="20"/>
                <w:highlight w:val="none"/>
              </w:rPr>
            </w:pPr>
          </w:p>
        </w:tc>
        <w:tc>
          <w:tcPr>
            <w:tcW w:w="1736" w:type="dxa"/>
            <w:tcBorders>
              <w:top w:val="nil"/>
              <w:left w:val="nil"/>
              <w:bottom w:val="nil"/>
              <w:right w:val="nil"/>
            </w:tcBorders>
            <w:noWrap/>
            <w:vAlign w:val="bottom"/>
          </w:tcPr>
          <w:p>
            <w:pPr>
              <w:rPr>
                <w:rFonts w:ascii="Arial" w:hAnsi="Arial" w:cs="Arial"/>
                <w:color w:val="auto"/>
                <w:sz w:val="20"/>
                <w:szCs w:val="20"/>
                <w:highlight w:val="none"/>
              </w:rPr>
            </w:pPr>
          </w:p>
        </w:tc>
        <w:tc>
          <w:tcPr>
            <w:tcW w:w="4508" w:type="dxa"/>
            <w:tcBorders>
              <w:top w:val="nil"/>
              <w:left w:val="nil"/>
              <w:bottom w:val="nil"/>
              <w:right w:val="nil"/>
            </w:tcBorders>
            <w:noWrap/>
            <w:vAlign w:val="bottom"/>
          </w:tcPr>
          <w:p>
            <w:pPr>
              <w:rPr>
                <w:rFonts w:ascii="Arial" w:hAnsi="Arial" w:cs="Arial"/>
                <w:color w:val="auto"/>
                <w:sz w:val="20"/>
                <w:szCs w:val="20"/>
                <w:highlight w:val="none"/>
              </w:rPr>
            </w:pPr>
          </w:p>
        </w:tc>
        <w:tc>
          <w:tcPr>
            <w:tcW w:w="2730" w:type="dxa"/>
            <w:gridSpan w:val="2"/>
            <w:tcBorders>
              <w:top w:val="nil"/>
              <w:left w:val="nil"/>
              <w:bottom w:val="nil"/>
              <w:right w:val="nil"/>
            </w:tcBorders>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rPr>
              <w:t>公开01表</w:t>
            </w:r>
          </w:p>
        </w:tc>
      </w:tr>
      <w:tr>
        <w:tblPrEx>
          <w:tblCellMar>
            <w:top w:w="0" w:type="dxa"/>
            <w:left w:w="108" w:type="dxa"/>
            <w:bottom w:w="0" w:type="dxa"/>
            <w:right w:w="108" w:type="dxa"/>
          </w:tblCellMar>
        </w:tblPrEx>
        <w:trPr>
          <w:trHeight w:val="283" w:hRule="atLeast"/>
        </w:trPr>
        <w:tc>
          <w:tcPr>
            <w:tcW w:w="4265" w:type="dxa"/>
            <w:tcBorders>
              <w:top w:val="nil"/>
              <w:left w:val="nil"/>
              <w:bottom w:val="nil"/>
              <w:right w:val="nil"/>
            </w:tcBorders>
            <w:noWrap/>
            <w:vAlign w:val="bottom"/>
          </w:tcPr>
          <w:p>
            <w:pPr>
              <w:widowControl/>
              <w:jc w:val="lef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lang w:eastAsia="zh-CN"/>
              </w:rPr>
              <w:t>单位</w:t>
            </w:r>
            <w:r>
              <w:rPr>
                <w:rFonts w:hint="eastAsia" w:ascii="宋体" w:hAnsi="宋体" w:cs="宋体"/>
                <w:color w:val="auto"/>
                <w:kern w:val="0"/>
                <w:sz w:val="18"/>
                <w:szCs w:val="18"/>
                <w:highlight w:val="none"/>
              </w:rPr>
              <w:t>：许昌市</w:t>
            </w:r>
            <w:r>
              <w:rPr>
                <w:rFonts w:hint="eastAsia" w:ascii="宋体" w:hAnsi="宋体" w:cs="宋体"/>
                <w:color w:val="auto"/>
                <w:kern w:val="0"/>
                <w:sz w:val="18"/>
                <w:szCs w:val="18"/>
                <w:highlight w:val="none"/>
                <w:lang w:eastAsia="zh-CN"/>
              </w:rPr>
              <w:t>物业</w:t>
            </w:r>
            <w:r>
              <w:rPr>
                <w:rFonts w:hint="eastAsia" w:ascii="宋体" w:hAnsi="宋体" w:cs="宋体"/>
                <w:color w:val="auto"/>
                <w:kern w:val="0"/>
                <w:sz w:val="18"/>
                <w:szCs w:val="18"/>
                <w:highlight w:val="none"/>
              </w:rPr>
              <w:t>管理中心</w:t>
            </w:r>
          </w:p>
        </w:tc>
        <w:tc>
          <w:tcPr>
            <w:tcW w:w="761" w:type="dxa"/>
            <w:tcBorders>
              <w:top w:val="nil"/>
              <w:left w:val="nil"/>
              <w:bottom w:val="nil"/>
              <w:right w:val="nil"/>
            </w:tcBorders>
            <w:noWrap/>
            <w:vAlign w:val="bottom"/>
          </w:tcPr>
          <w:p>
            <w:pPr>
              <w:rPr>
                <w:rFonts w:ascii="Arial" w:hAnsi="Arial" w:cs="Arial"/>
                <w:color w:val="auto"/>
                <w:sz w:val="20"/>
                <w:szCs w:val="20"/>
                <w:highlight w:val="none"/>
              </w:rPr>
            </w:pPr>
          </w:p>
        </w:tc>
        <w:tc>
          <w:tcPr>
            <w:tcW w:w="1736" w:type="dxa"/>
            <w:tcBorders>
              <w:top w:val="nil"/>
              <w:left w:val="nil"/>
              <w:bottom w:val="nil"/>
              <w:right w:val="nil"/>
            </w:tcBorders>
            <w:noWrap/>
            <w:vAlign w:val="bottom"/>
          </w:tcPr>
          <w:p>
            <w:pPr>
              <w:rPr>
                <w:rFonts w:ascii="Arial" w:hAnsi="Arial" w:cs="Arial"/>
                <w:color w:val="auto"/>
                <w:sz w:val="20"/>
                <w:szCs w:val="20"/>
                <w:highlight w:val="none"/>
              </w:rPr>
            </w:pPr>
          </w:p>
        </w:tc>
        <w:tc>
          <w:tcPr>
            <w:tcW w:w="4508" w:type="dxa"/>
            <w:tcBorders>
              <w:top w:val="nil"/>
              <w:left w:val="nil"/>
              <w:bottom w:val="nil"/>
              <w:right w:val="nil"/>
            </w:tcBorders>
            <w:noWrap/>
            <w:vAlign w:val="bottom"/>
          </w:tcPr>
          <w:p>
            <w:pPr>
              <w:rPr>
                <w:rFonts w:ascii="Arial" w:hAnsi="Arial" w:cs="Arial"/>
                <w:color w:val="auto"/>
                <w:sz w:val="20"/>
                <w:szCs w:val="20"/>
                <w:highlight w:val="none"/>
              </w:rPr>
            </w:pPr>
          </w:p>
        </w:tc>
        <w:tc>
          <w:tcPr>
            <w:tcW w:w="2730" w:type="dxa"/>
            <w:gridSpan w:val="2"/>
            <w:tcBorders>
              <w:top w:val="nil"/>
              <w:left w:val="nil"/>
              <w:bottom w:val="nil"/>
              <w:right w:val="nil"/>
            </w:tcBorders>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rPr>
              <w:t>金额单位：万元</w:t>
            </w:r>
          </w:p>
        </w:tc>
      </w:tr>
      <w:tr>
        <w:tblPrEx>
          <w:tblCellMar>
            <w:top w:w="0" w:type="dxa"/>
            <w:left w:w="108" w:type="dxa"/>
            <w:bottom w:w="0" w:type="dxa"/>
            <w:right w:w="108" w:type="dxa"/>
          </w:tblCellMar>
        </w:tblPrEx>
        <w:trPr>
          <w:trHeight w:val="425" w:hRule="atLeast"/>
        </w:trPr>
        <w:tc>
          <w:tcPr>
            <w:tcW w:w="6762"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收入</w:t>
            </w:r>
          </w:p>
        </w:tc>
        <w:tc>
          <w:tcPr>
            <w:tcW w:w="7238" w:type="dxa"/>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支出</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项目</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行次</w:t>
            </w:r>
          </w:p>
        </w:tc>
        <w:tc>
          <w:tcPr>
            <w:tcW w:w="173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金额</w:t>
            </w:r>
          </w:p>
        </w:tc>
        <w:tc>
          <w:tcPr>
            <w:tcW w:w="4508"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项目</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行次</w:t>
            </w:r>
          </w:p>
        </w:tc>
        <w:tc>
          <w:tcPr>
            <w:tcW w:w="163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金额</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栏次</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173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1</w:t>
            </w:r>
          </w:p>
        </w:tc>
        <w:tc>
          <w:tcPr>
            <w:tcW w:w="4508"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栏次</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163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2</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一、一般公共预算财政拨款收入</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1</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ajorEastAsia" w:hAnsiTheme="majorEastAsia" w:eastAsiaTheme="majorEastAsia"/>
                <w:color w:val="auto"/>
                <w:sz w:val="22"/>
                <w:highlight w:val="none"/>
                <w:lang w:val="en-US" w:eastAsia="zh-CN"/>
              </w:rPr>
            </w:pPr>
            <w:r>
              <w:rPr>
                <w:rFonts w:hint="eastAsia" w:cs="宋体" w:asciiTheme="majorEastAsia" w:hAnsiTheme="majorEastAsia" w:eastAsiaTheme="majorEastAsia"/>
                <w:color w:val="auto"/>
                <w:kern w:val="0"/>
                <w:sz w:val="22"/>
                <w:highlight w:val="none"/>
                <w:lang w:val="en-US" w:eastAsia="zh-CN"/>
              </w:rPr>
              <w:t>124.55</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一、一般公共服务支出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32</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ajorEastAsia" w:hAnsiTheme="majorEastAsia" w:eastAsiaTheme="majorEastAsia"/>
                <w:color w:val="auto"/>
                <w:sz w:val="22"/>
                <w:highlight w:val="none"/>
                <w:lang w:val="en-US" w:eastAsia="zh-CN"/>
              </w:rPr>
            </w:pPr>
            <w:r>
              <w:rPr>
                <w:rFonts w:hint="eastAsia" w:cs="宋体" w:asciiTheme="majorEastAsia" w:hAnsiTheme="majorEastAsia" w:eastAsiaTheme="majorEastAsia"/>
                <w:color w:val="auto"/>
                <w:kern w:val="0"/>
                <w:sz w:val="22"/>
                <w:highlight w:val="none"/>
                <w:lang w:val="en-US" w:eastAsia="zh-CN"/>
              </w:rPr>
              <w:t>0.52</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二、政府性基金预算财政拨款收入</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2</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二、外交支出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33</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三、国有资本经营预算财政拨款收入</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3</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三、国防支出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34</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四、上级补助收入</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4</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四、公共安全支出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35</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五、事业收入</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5</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五、教育支出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36</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六、经营收入</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6</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六、科学技术支出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37</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七、附属单位上缴收入</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7</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七、文化旅游体育与传媒支出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38</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八、其他收入</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8</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八、社会保障和就业支出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39</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ajorEastAsia" w:hAnsiTheme="majorEastAsia" w:eastAsiaTheme="majorEastAsia"/>
                <w:color w:val="auto"/>
                <w:sz w:val="22"/>
                <w:highlight w:val="none"/>
                <w:lang w:val="en-US" w:eastAsia="zh-CN"/>
              </w:rPr>
            </w:pPr>
            <w:r>
              <w:rPr>
                <w:rFonts w:hint="eastAsia" w:cs="宋体" w:asciiTheme="majorEastAsia" w:hAnsiTheme="majorEastAsia" w:eastAsiaTheme="majorEastAsia"/>
                <w:color w:val="auto"/>
                <w:kern w:val="0"/>
                <w:sz w:val="22"/>
                <w:highlight w:val="none"/>
                <w:lang w:val="en-US" w:eastAsia="zh-CN"/>
              </w:rPr>
              <w:t>7.21</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9</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九、卫生健康支出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40</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ajorEastAsia" w:hAnsiTheme="majorEastAsia" w:eastAsiaTheme="majorEastAsia"/>
                <w:color w:val="auto"/>
                <w:sz w:val="22"/>
                <w:highlight w:val="none"/>
                <w:lang w:val="en-US" w:eastAsia="zh-CN"/>
              </w:rPr>
            </w:pPr>
            <w:r>
              <w:rPr>
                <w:rFonts w:hint="eastAsia" w:cs="宋体" w:asciiTheme="majorEastAsia" w:hAnsiTheme="majorEastAsia" w:eastAsiaTheme="majorEastAsia"/>
                <w:color w:val="auto"/>
                <w:kern w:val="0"/>
                <w:sz w:val="22"/>
                <w:highlight w:val="none"/>
                <w:lang w:val="en-US" w:eastAsia="zh-CN"/>
              </w:rPr>
              <w:t>3.34</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10</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十、节能环保支出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41</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11</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十一、城乡社区支出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42</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ajorEastAsia" w:hAnsiTheme="majorEastAsia" w:eastAsiaTheme="majorEastAsia"/>
                <w:color w:val="auto"/>
                <w:sz w:val="22"/>
                <w:highlight w:val="none"/>
                <w:lang w:val="en-US" w:eastAsia="zh-CN"/>
              </w:rPr>
            </w:pPr>
            <w:r>
              <w:rPr>
                <w:rFonts w:hint="eastAsia" w:cs="宋体" w:asciiTheme="majorEastAsia" w:hAnsiTheme="majorEastAsia" w:eastAsiaTheme="majorEastAsia"/>
                <w:color w:val="auto"/>
                <w:kern w:val="0"/>
                <w:sz w:val="22"/>
                <w:highlight w:val="none"/>
                <w:lang w:val="en-US" w:eastAsia="zh-CN"/>
              </w:rPr>
              <w:t>117.13</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12</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十二、农林水支出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43</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13</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十三、交通运输支出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44</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r>
      <w:tr>
        <w:tblPrEx>
          <w:tblCellMar>
            <w:top w:w="0" w:type="dxa"/>
            <w:left w:w="108" w:type="dxa"/>
            <w:bottom w:w="0" w:type="dxa"/>
            <w:right w:w="108" w:type="dxa"/>
          </w:tblCellMar>
        </w:tblPrEx>
        <w:trPr>
          <w:trHeight w:val="425" w:hRule="atLeast"/>
        </w:trPr>
        <w:tc>
          <w:tcPr>
            <w:tcW w:w="426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761"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14</w:t>
            </w:r>
          </w:p>
        </w:tc>
        <w:tc>
          <w:tcPr>
            <w:tcW w:w="1736" w:type="dxa"/>
            <w:tcBorders>
              <w:top w:val="single" w:color="000000" w:sz="4" w:space="0"/>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4508" w:type="dxa"/>
            <w:tcBorders>
              <w:top w:val="single" w:color="000000" w:sz="4" w:space="0"/>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十四、资源勘探工业信息等支出</w:t>
            </w:r>
          </w:p>
        </w:tc>
        <w:tc>
          <w:tcPr>
            <w:tcW w:w="110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45</w:t>
            </w:r>
          </w:p>
        </w:tc>
        <w:tc>
          <w:tcPr>
            <w:tcW w:w="1630" w:type="dxa"/>
            <w:tcBorders>
              <w:top w:val="single" w:color="000000" w:sz="4" w:space="0"/>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15</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十五、商业服务业等支出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46</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16</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十六、金融支出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47</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17</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十七、援助其他地区支出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48</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18</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十八、自然资源海洋气象等支出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49</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19</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十九、住房保障支出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50</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20</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二十、粮油物资储备支出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51</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21</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二十一、国有资本经营预算支出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52</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22</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二十二、灾害防治及应急管理支出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53</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23</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二十三、其他支出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54</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b/>
                <w:bCs/>
                <w:color w:val="auto"/>
                <w:sz w:val="22"/>
                <w:highlight w:val="none"/>
              </w:rPr>
            </w:pPr>
            <w:r>
              <w:rPr>
                <w:rFonts w:hint="eastAsia" w:cs="宋体" w:asciiTheme="majorEastAsia" w:hAnsiTheme="majorEastAsia" w:eastAsiaTheme="majorEastAsia"/>
                <w:b/>
                <w:bCs/>
                <w:color w:val="auto"/>
                <w:kern w:val="0"/>
                <w:sz w:val="22"/>
                <w:highlight w:val="none"/>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24</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二十四、债务还本支出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55</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25</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二十五、债务付息支出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56</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26</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二十六、抗疫特别国债安排的支出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57</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b/>
                <w:bCs/>
                <w:color w:val="auto"/>
                <w:sz w:val="22"/>
                <w:highlight w:val="none"/>
              </w:rPr>
            </w:pPr>
            <w:r>
              <w:rPr>
                <w:rFonts w:hint="eastAsia" w:cs="宋体" w:asciiTheme="majorEastAsia" w:hAnsiTheme="majorEastAsia" w:eastAsiaTheme="majorEastAsia"/>
                <w:b/>
                <w:bCs/>
                <w:color w:val="auto"/>
                <w:kern w:val="0"/>
                <w:sz w:val="22"/>
                <w:highlight w:val="none"/>
              </w:rPr>
              <w:t>本年收入合计</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27</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ajorEastAsia" w:hAnsiTheme="majorEastAsia" w:eastAsiaTheme="majorEastAsia"/>
                <w:color w:val="auto"/>
                <w:sz w:val="22"/>
                <w:highlight w:val="none"/>
                <w:lang w:val="en-US" w:eastAsia="zh-CN"/>
              </w:rPr>
            </w:pPr>
            <w:r>
              <w:rPr>
                <w:rFonts w:hint="eastAsia" w:cs="宋体" w:asciiTheme="majorEastAsia" w:hAnsiTheme="majorEastAsia" w:eastAsiaTheme="majorEastAsia"/>
                <w:color w:val="auto"/>
                <w:kern w:val="0"/>
                <w:sz w:val="22"/>
                <w:highlight w:val="none"/>
                <w:lang w:val="en-US" w:eastAsia="zh-CN"/>
              </w:rPr>
              <w:t>124.55</w:t>
            </w:r>
          </w:p>
        </w:tc>
        <w:tc>
          <w:tcPr>
            <w:tcW w:w="4508"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b/>
                <w:bCs/>
                <w:color w:val="auto"/>
                <w:sz w:val="22"/>
                <w:highlight w:val="none"/>
              </w:rPr>
            </w:pPr>
            <w:r>
              <w:rPr>
                <w:rFonts w:hint="eastAsia" w:cs="宋体" w:asciiTheme="majorEastAsia" w:hAnsiTheme="majorEastAsia" w:eastAsiaTheme="majorEastAsia"/>
                <w:b/>
                <w:bCs/>
                <w:color w:val="auto"/>
                <w:kern w:val="0"/>
                <w:sz w:val="22"/>
                <w:highlight w:val="none"/>
              </w:rPr>
              <w:t>本年支出合计</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58</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ajorEastAsia" w:hAnsiTheme="majorEastAsia" w:eastAsiaTheme="majorEastAsia"/>
                <w:color w:val="auto"/>
                <w:sz w:val="22"/>
                <w:highlight w:val="none"/>
                <w:lang w:val="en-US" w:eastAsia="zh-CN"/>
              </w:rPr>
            </w:pPr>
            <w:r>
              <w:rPr>
                <w:rFonts w:hint="eastAsia" w:cs="宋体" w:asciiTheme="majorEastAsia" w:hAnsiTheme="majorEastAsia" w:eastAsiaTheme="majorEastAsia"/>
                <w:color w:val="auto"/>
                <w:kern w:val="0"/>
                <w:sz w:val="22"/>
                <w:highlight w:val="none"/>
                <w:lang w:val="en-US" w:eastAsia="zh-CN"/>
              </w:rPr>
              <w:t>128.20</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使用非财政拨款结余</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28</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结余分配</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59</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年初结转和结余</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29</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ajorEastAsia" w:hAnsiTheme="majorEastAsia" w:eastAsiaTheme="majorEastAsia"/>
                <w:color w:val="auto"/>
                <w:sz w:val="22"/>
                <w:highlight w:val="none"/>
                <w:lang w:val="en-US" w:eastAsia="zh-CN"/>
              </w:rPr>
            </w:pPr>
            <w:r>
              <w:rPr>
                <w:rFonts w:hint="eastAsia" w:cs="宋体" w:asciiTheme="majorEastAsia" w:hAnsiTheme="majorEastAsia" w:eastAsiaTheme="majorEastAsia"/>
                <w:color w:val="auto"/>
                <w:kern w:val="0"/>
                <w:sz w:val="22"/>
                <w:highlight w:val="none"/>
                <w:lang w:val="en-US" w:eastAsia="zh-CN"/>
              </w:rPr>
              <w:t>3.65</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年末结转和结余</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60</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30</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61</w:t>
            </w:r>
          </w:p>
        </w:tc>
        <w:tc>
          <w:tcPr>
            <w:tcW w:w="1630"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b/>
                <w:bCs/>
                <w:color w:val="auto"/>
                <w:sz w:val="22"/>
                <w:highlight w:val="none"/>
              </w:rPr>
            </w:pPr>
            <w:r>
              <w:rPr>
                <w:rFonts w:hint="eastAsia" w:cs="宋体" w:asciiTheme="majorEastAsia" w:hAnsiTheme="majorEastAsia" w:eastAsiaTheme="majorEastAsia"/>
                <w:b/>
                <w:bCs/>
                <w:color w:val="auto"/>
                <w:kern w:val="0"/>
                <w:sz w:val="22"/>
                <w:highlight w:val="none"/>
              </w:rPr>
              <w:t>总计</w:t>
            </w:r>
          </w:p>
        </w:tc>
        <w:tc>
          <w:tcPr>
            <w:tcW w:w="761" w:type="dxa"/>
            <w:tcBorders>
              <w:top w:val="nil"/>
              <w:left w:val="nil"/>
              <w:bottom w:val="single" w:color="000000" w:sz="8"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31</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ajorEastAsia" w:hAnsiTheme="majorEastAsia" w:eastAsiaTheme="majorEastAsia"/>
                <w:color w:val="auto"/>
                <w:sz w:val="22"/>
                <w:highlight w:val="none"/>
                <w:lang w:val="en-US" w:eastAsia="zh-CN"/>
              </w:rPr>
            </w:pPr>
            <w:r>
              <w:rPr>
                <w:rFonts w:hint="eastAsia" w:cs="宋体" w:asciiTheme="majorEastAsia" w:hAnsiTheme="majorEastAsia" w:eastAsiaTheme="majorEastAsia"/>
                <w:color w:val="auto"/>
                <w:kern w:val="0"/>
                <w:sz w:val="22"/>
                <w:highlight w:val="none"/>
                <w:lang w:val="en-US" w:eastAsia="zh-CN"/>
              </w:rPr>
              <w:t>128.20</w:t>
            </w:r>
          </w:p>
        </w:tc>
        <w:tc>
          <w:tcPr>
            <w:tcW w:w="4508"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b/>
                <w:bCs/>
                <w:color w:val="auto"/>
                <w:sz w:val="22"/>
                <w:highlight w:val="none"/>
              </w:rPr>
            </w:pPr>
            <w:r>
              <w:rPr>
                <w:rFonts w:hint="eastAsia" w:cs="宋体" w:asciiTheme="majorEastAsia" w:hAnsiTheme="majorEastAsia" w:eastAsiaTheme="majorEastAsia"/>
                <w:b/>
                <w:bCs/>
                <w:color w:val="auto"/>
                <w:kern w:val="0"/>
                <w:sz w:val="22"/>
                <w:highlight w:val="none"/>
              </w:rPr>
              <w:t>总计</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62</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ajorEastAsia" w:hAnsiTheme="majorEastAsia" w:eastAsiaTheme="majorEastAsia"/>
                <w:color w:val="auto"/>
                <w:sz w:val="22"/>
                <w:highlight w:val="none"/>
                <w:lang w:val="en-US" w:eastAsia="zh-CN"/>
              </w:rPr>
            </w:pPr>
            <w:r>
              <w:rPr>
                <w:rFonts w:hint="eastAsia" w:cs="宋体" w:asciiTheme="majorEastAsia" w:hAnsiTheme="majorEastAsia" w:eastAsiaTheme="majorEastAsia"/>
                <w:color w:val="auto"/>
                <w:kern w:val="0"/>
                <w:sz w:val="22"/>
                <w:highlight w:val="none"/>
                <w:lang w:val="en-US" w:eastAsia="zh-CN"/>
              </w:rPr>
              <w:t>128.20</w:t>
            </w:r>
          </w:p>
        </w:tc>
      </w:tr>
      <w:tr>
        <w:tblPrEx>
          <w:tblCellMar>
            <w:top w:w="0" w:type="dxa"/>
            <w:left w:w="108" w:type="dxa"/>
            <w:bottom w:w="0" w:type="dxa"/>
            <w:right w:w="108" w:type="dxa"/>
          </w:tblCellMar>
        </w:tblPrEx>
        <w:trPr>
          <w:trHeight w:val="425" w:hRule="atLeast"/>
        </w:trPr>
        <w:tc>
          <w:tcPr>
            <w:tcW w:w="14000" w:type="dxa"/>
            <w:gridSpan w:val="6"/>
            <w:tcBorders>
              <w:top w:val="nil"/>
              <w:left w:val="nil"/>
              <w:bottom w:val="nil"/>
              <w:right w:val="nil"/>
            </w:tcBorders>
            <w:noWrap/>
            <w:vAlign w:val="center"/>
          </w:tcPr>
          <w:p>
            <w:pPr>
              <w:widowControl/>
              <w:jc w:val="left"/>
              <w:textAlignment w:val="center"/>
              <w:rPr>
                <w:rFonts w:cs="宋体" w:asciiTheme="majorEastAsia" w:hAnsiTheme="majorEastAsia" w:eastAsiaTheme="majorEastAsia"/>
                <w:color w:val="auto"/>
                <w:sz w:val="22"/>
                <w:highlight w:val="none"/>
              </w:rPr>
            </w:pPr>
            <w:r>
              <w:rPr>
                <w:rFonts w:hint="eastAsia" w:cs="宋体" w:asciiTheme="majorEastAsia" w:hAnsiTheme="majorEastAsia" w:eastAsiaTheme="majorEastAsia"/>
                <w:color w:val="auto"/>
                <w:kern w:val="0"/>
                <w:sz w:val="22"/>
                <w:highlight w:val="none"/>
              </w:rPr>
              <w:t>注：本表反映</w:t>
            </w:r>
            <w:r>
              <w:rPr>
                <w:rFonts w:hint="eastAsia" w:cs="宋体" w:asciiTheme="majorEastAsia" w:hAnsiTheme="majorEastAsia" w:eastAsiaTheme="majorEastAsia"/>
                <w:color w:val="auto"/>
                <w:kern w:val="0"/>
                <w:sz w:val="22"/>
                <w:highlight w:val="none"/>
                <w:lang w:eastAsia="zh-CN"/>
              </w:rPr>
              <w:t>单位</w:t>
            </w:r>
            <w:r>
              <w:rPr>
                <w:rFonts w:hint="eastAsia" w:cs="宋体" w:asciiTheme="majorEastAsia" w:hAnsiTheme="majorEastAsia" w:eastAsiaTheme="majorEastAsia"/>
                <w:color w:val="auto"/>
                <w:kern w:val="0"/>
                <w:sz w:val="22"/>
                <w:highlight w:val="none"/>
              </w:rPr>
              <w:t>本年度的总收支和年末结转结余情况。本表金额转换为万元时，因四舍五入可能存在尾差。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1803" w:right="1440" w:bottom="1803" w:left="1440" w:header="720" w:footer="720" w:gutter="0"/>
          <w:pgBorders>
            <w:top w:val="none" w:sz="0" w:space="0"/>
            <w:left w:val="none" w:sz="0" w:space="0"/>
            <w:bottom w:val="none" w:sz="0" w:space="0"/>
            <w:right w:val="none" w:sz="0" w:space="0"/>
          </w:pgBorders>
          <w:pgNumType w:fmt="numberInDash"/>
          <w:cols w:space="0" w:num="1"/>
          <w:rtlGutter w:val="0"/>
          <w:docGrid w:linePitch="312" w:charSpace="0"/>
        </w:sectPr>
      </w:pPr>
    </w:p>
    <w:tbl>
      <w:tblPr>
        <w:tblStyle w:val="5"/>
        <w:tblW w:w="13969" w:type="dxa"/>
        <w:tblInd w:w="91" w:type="dxa"/>
        <w:tblLayout w:type="fixed"/>
        <w:tblCellMar>
          <w:top w:w="0" w:type="dxa"/>
          <w:left w:w="108" w:type="dxa"/>
          <w:bottom w:w="0" w:type="dxa"/>
          <w:right w:w="108" w:type="dxa"/>
        </w:tblCellMar>
      </w:tblPr>
      <w:tblGrid>
        <w:gridCol w:w="1264"/>
        <w:gridCol w:w="4022"/>
        <w:gridCol w:w="1155"/>
        <w:gridCol w:w="1153"/>
        <w:gridCol w:w="1560"/>
        <w:gridCol w:w="1140"/>
        <w:gridCol w:w="1170"/>
        <w:gridCol w:w="1305"/>
        <w:gridCol w:w="1200"/>
      </w:tblGrid>
      <w:tr>
        <w:tblPrEx>
          <w:tblCellMar>
            <w:top w:w="0" w:type="dxa"/>
            <w:left w:w="108" w:type="dxa"/>
            <w:bottom w:w="0" w:type="dxa"/>
            <w:right w:w="108" w:type="dxa"/>
          </w:tblCellMar>
        </w:tblPrEx>
        <w:trPr>
          <w:trHeight w:val="390" w:hRule="atLeast"/>
        </w:trPr>
        <w:tc>
          <w:tcPr>
            <w:tcW w:w="13969" w:type="dxa"/>
            <w:gridSpan w:val="9"/>
            <w:tcBorders>
              <w:top w:val="nil"/>
              <w:left w:val="nil"/>
              <w:bottom w:val="nil"/>
              <w:right w:val="nil"/>
            </w:tcBorders>
            <w:noWrap/>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rPr>
              <w:t>收入决算表</w:t>
            </w:r>
          </w:p>
        </w:tc>
      </w:tr>
      <w:tr>
        <w:tblPrEx>
          <w:tblCellMar>
            <w:top w:w="0" w:type="dxa"/>
            <w:left w:w="108" w:type="dxa"/>
            <w:bottom w:w="0" w:type="dxa"/>
            <w:right w:w="108" w:type="dxa"/>
          </w:tblCellMar>
        </w:tblPrEx>
        <w:trPr>
          <w:trHeight w:val="255" w:hRule="atLeast"/>
        </w:trPr>
        <w:tc>
          <w:tcPr>
            <w:tcW w:w="5286" w:type="dxa"/>
            <w:gridSpan w:val="2"/>
            <w:tcBorders>
              <w:top w:val="nil"/>
              <w:left w:val="nil"/>
              <w:bottom w:val="nil"/>
              <w:right w:val="nil"/>
            </w:tcBorders>
            <w:noWrap/>
            <w:vAlign w:val="bottom"/>
          </w:tcPr>
          <w:p>
            <w:pPr>
              <w:rPr>
                <w:rFonts w:ascii="Arial" w:hAnsi="Arial" w:cs="Arial"/>
                <w:color w:val="auto"/>
                <w:sz w:val="18"/>
                <w:szCs w:val="18"/>
                <w:highlight w:val="none"/>
              </w:rPr>
            </w:pPr>
          </w:p>
        </w:tc>
        <w:tc>
          <w:tcPr>
            <w:tcW w:w="1155" w:type="dxa"/>
            <w:tcBorders>
              <w:top w:val="nil"/>
              <w:left w:val="nil"/>
              <w:bottom w:val="nil"/>
              <w:right w:val="nil"/>
            </w:tcBorders>
            <w:noWrap/>
            <w:vAlign w:val="bottom"/>
          </w:tcPr>
          <w:p>
            <w:pPr>
              <w:rPr>
                <w:rFonts w:ascii="Arial" w:hAnsi="Arial" w:cs="Arial"/>
                <w:color w:val="auto"/>
                <w:sz w:val="18"/>
                <w:szCs w:val="18"/>
                <w:highlight w:val="none"/>
              </w:rPr>
            </w:pPr>
          </w:p>
        </w:tc>
        <w:tc>
          <w:tcPr>
            <w:tcW w:w="1153" w:type="dxa"/>
            <w:tcBorders>
              <w:top w:val="nil"/>
              <w:left w:val="nil"/>
              <w:bottom w:val="nil"/>
              <w:right w:val="nil"/>
            </w:tcBorders>
            <w:noWrap/>
            <w:vAlign w:val="bottom"/>
          </w:tcPr>
          <w:p>
            <w:pPr>
              <w:rPr>
                <w:rFonts w:ascii="Arial" w:hAnsi="Arial" w:cs="Arial"/>
                <w:color w:val="auto"/>
                <w:sz w:val="18"/>
                <w:szCs w:val="18"/>
                <w:highlight w:val="none"/>
              </w:rPr>
            </w:pPr>
          </w:p>
        </w:tc>
        <w:tc>
          <w:tcPr>
            <w:tcW w:w="1560" w:type="dxa"/>
            <w:tcBorders>
              <w:top w:val="nil"/>
              <w:left w:val="nil"/>
              <w:bottom w:val="nil"/>
              <w:right w:val="nil"/>
            </w:tcBorders>
            <w:noWrap/>
            <w:vAlign w:val="bottom"/>
          </w:tcPr>
          <w:p>
            <w:pPr>
              <w:rPr>
                <w:rFonts w:ascii="Arial" w:hAnsi="Arial" w:cs="Arial"/>
                <w:color w:val="auto"/>
                <w:sz w:val="18"/>
                <w:szCs w:val="18"/>
                <w:highlight w:val="none"/>
              </w:rPr>
            </w:pPr>
          </w:p>
        </w:tc>
        <w:tc>
          <w:tcPr>
            <w:tcW w:w="1140" w:type="dxa"/>
            <w:tcBorders>
              <w:top w:val="nil"/>
              <w:left w:val="nil"/>
              <w:bottom w:val="nil"/>
              <w:right w:val="nil"/>
            </w:tcBorders>
            <w:noWrap/>
            <w:vAlign w:val="bottom"/>
          </w:tcPr>
          <w:p>
            <w:pPr>
              <w:rPr>
                <w:rFonts w:ascii="Arial" w:hAnsi="Arial" w:cs="Arial"/>
                <w:color w:val="auto"/>
                <w:sz w:val="18"/>
                <w:szCs w:val="18"/>
                <w:highlight w:val="none"/>
              </w:rPr>
            </w:pPr>
          </w:p>
        </w:tc>
        <w:tc>
          <w:tcPr>
            <w:tcW w:w="1170" w:type="dxa"/>
            <w:tcBorders>
              <w:top w:val="nil"/>
              <w:left w:val="nil"/>
              <w:bottom w:val="nil"/>
              <w:right w:val="nil"/>
            </w:tcBorders>
            <w:noWrap/>
            <w:vAlign w:val="bottom"/>
          </w:tcPr>
          <w:p>
            <w:pPr>
              <w:rPr>
                <w:rFonts w:ascii="Arial" w:hAnsi="Arial" w:cs="Arial"/>
                <w:color w:val="auto"/>
                <w:sz w:val="18"/>
                <w:szCs w:val="18"/>
                <w:highlight w:val="none"/>
              </w:rPr>
            </w:pPr>
          </w:p>
        </w:tc>
        <w:tc>
          <w:tcPr>
            <w:tcW w:w="2505" w:type="dxa"/>
            <w:gridSpan w:val="2"/>
            <w:tcBorders>
              <w:top w:val="nil"/>
              <w:left w:val="nil"/>
              <w:bottom w:val="nil"/>
              <w:right w:val="nil"/>
            </w:tcBorders>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rPr>
              <w:t>公开02表</w:t>
            </w:r>
          </w:p>
        </w:tc>
      </w:tr>
      <w:tr>
        <w:tblPrEx>
          <w:tblCellMar>
            <w:top w:w="0" w:type="dxa"/>
            <w:left w:w="108" w:type="dxa"/>
            <w:bottom w:w="0" w:type="dxa"/>
            <w:right w:w="108" w:type="dxa"/>
          </w:tblCellMar>
        </w:tblPrEx>
        <w:trPr>
          <w:trHeight w:val="255" w:hRule="atLeast"/>
        </w:trPr>
        <w:tc>
          <w:tcPr>
            <w:tcW w:w="5286" w:type="dxa"/>
            <w:gridSpan w:val="2"/>
            <w:tcBorders>
              <w:top w:val="nil"/>
              <w:left w:val="nil"/>
              <w:bottom w:val="nil"/>
              <w:right w:val="nil"/>
            </w:tcBorders>
            <w:noWrap/>
            <w:vAlign w:val="bottom"/>
          </w:tcPr>
          <w:p>
            <w:pPr>
              <w:widowControl/>
              <w:jc w:val="lef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lang w:eastAsia="zh-CN"/>
              </w:rPr>
              <w:t>单位</w:t>
            </w:r>
            <w:r>
              <w:rPr>
                <w:rFonts w:hint="eastAsia" w:ascii="宋体" w:hAnsi="宋体" w:cs="宋体"/>
                <w:color w:val="auto"/>
                <w:kern w:val="0"/>
                <w:sz w:val="18"/>
                <w:szCs w:val="18"/>
                <w:highlight w:val="none"/>
              </w:rPr>
              <w:t>：许昌市</w:t>
            </w:r>
            <w:r>
              <w:rPr>
                <w:rFonts w:hint="eastAsia" w:ascii="宋体" w:hAnsi="宋体" w:cs="宋体"/>
                <w:color w:val="auto"/>
                <w:kern w:val="0"/>
                <w:sz w:val="18"/>
                <w:szCs w:val="18"/>
                <w:highlight w:val="none"/>
                <w:lang w:eastAsia="zh-CN"/>
              </w:rPr>
              <w:t>物业</w:t>
            </w:r>
            <w:r>
              <w:rPr>
                <w:rFonts w:hint="eastAsia" w:ascii="宋体" w:hAnsi="宋体" w:cs="宋体"/>
                <w:color w:val="auto"/>
                <w:kern w:val="0"/>
                <w:sz w:val="18"/>
                <w:szCs w:val="18"/>
                <w:highlight w:val="none"/>
              </w:rPr>
              <w:t>管理中心</w:t>
            </w:r>
          </w:p>
        </w:tc>
        <w:tc>
          <w:tcPr>
            <w:tcW w:w="1155" w:type="dxa"/>
            <w:tcBorders>
              <w:top w:val="nil"/>
              <w:left w:val="nil"/>
              <w:bottom w:val="nil"/>
              <w:right w:val="nil"/>
            </w:tcBorders>
            <w:noWrap/>
            <w:vAlign w:val="bottom"/>
          </w:tcPr>
          <w:p>
            <w:pPr>
              <w:rPr>
                <w:rFonts w:ascii="Arial" w:hAnsi="Arial" w:cs="Arial"/>
                <w:color w:val="auto"/>
                <w:sz w:val="18"/>
                <w:szCs w:val="18"/>
                <w:highlight w:val="none"/>
              </w:rPr>
            </w:pPr>
          </w:p>
        </w:tc>
        <w:tc>
          <w:tcPr>
            <w:tcW w:w="1153" w:type="dxa"/>
            <w:tcBorders>
              <w:top w:val="nil"/>
              <w:left w:val="nil"/>
              <w:bottom w:val="nil"/>
              <w:right w:val="nil"/>
            </w:tcBorders>
            <w:noWrap/>
            <w:vAlign w:val="bottom"/>
          </w:tcPr>
          <w:p>
            <w:pPr>
              <w:rPr>
                <w:rFonts w:ascii="Arial" w:hAnsi="Arial" w:cs="Arial"/>
                <w:color w:val="auto"/>
                <w:sz w:val="18"/>
                <w:szCs w:val="18"/>
                <w:highlight w:val="none"/>
              </w:rPr>
            </w:pPr>
          </w:p>
        </w:tc>
        <w:tc>
          <w:tcPr>
            <w:tcW w:w="1560" w:type="dxa"/>
            <w:tcBorders>
              <w:top w:val="nil"/>
              <w:left w:val="nil"/>
              <w:bottom w:val="nil"/>
              <w:right w:val="nil"/>
            </w:tcBorders>
            <w:noWrap/>
            <w:vAlign w:val="bottom"/>
          </w:tcPr>
          <w:p>
            <w:pPr>
              <w:rPr>
                <w:rFonts w:ascii="Arial" w:hAnsi="Arial" w:cs="Arial"/>
                <w:color w:val="auto"/>
                <w:sz w:val="18"/>
                <w:szCs w:val="18"/>
                <w:highlight w:val="none"/>
              </w:rPr>
            </w:pPr>
          </w:p>
        </w:tc>
        <w:tc>
          <w:tcPr>
            <w:tcW w:w="1140" w:type="dxa"/>
            <w:tcBorders>
              <w:top w:val="nil"/>
              <w:left w:val="nil"/>
              <w:bottom w:val="nil"/>
              <w:right w:val="nil"/>
            </w:tcBorders>
            <w:noWrap/>
            <w:vAlign w:val="bottom"/>
          </w:tcPr>
          <w:p>
            <w:pPr>
              <w:rPr>
                <w:rFonts w:ascii="Arial" w:hAnsi="Arial" w:cs="Arial"/>
                <w:color w:val="auto"/>
                <w:sz w:val="18"/>
                <w:szCs w:val="18"/>
                <w:highlight w:val="none"/>
              </w:rPr>
            </w:pPr>
          </w:p>
        </w:tc>
        <w:tc>
          <w:tcPr>
            <w:tcW w:w="1170" w:type="dxa"/>
            <w:tcBorders>
              <w:top w:val="nil"/>
              <w:left w:val="nil"/>
              <w:bottom w:val="nil"/>
              <w:right w:val="nil"/>
            </w:tcBorders>
            <w:noWrap/>
            <w:vAlign w:val="bottom"/>
          </w:tcPr>
          <w:p>
            <w:pPr>
              <w:rPr>
                <w:rFonts w:ascii="Arial" w:hAnsi="Arial" w:cs="Arial"/>
                <w:color w:val="auto"/>
                <w:sz w:val="18"/>
                <w:szCs w:val="18"/>
                <w:highlight w:val="none"/>
              </w:rPr>
            </w:pPr>
          </w:p>
        </w:tc>
        <w:tc>
          <w:tcPr>
            <w:tcW w:w="2505" w:type="dxa"/>
            <w:gridSpan w:val="2"/>
            <w:tcBorders>
              <w:top w:val="nil"/>
              <w:left w:val="nil"/>
              <w:bottom w:val="nil"/>
              <w:right w:val="nil"/>
            </w:tcBorders>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rPr>
              <w:t>金额单位：万元</w:t>
            </w:r>
          </w:p>
        </w:tc>
      </w:tr>
      <w:tr>
        <w:tblPrEx>
          <w:tblCellMar>
            <w:top w:w="0" w:type="dxa"/>
            <w:left w:w="108" w:type="dxa"/>
            <w:bottom w:w="0" w:type="dxa"/>
            <w:right w:w="108" w:type="dxa"/>
          </w:tblCellMar>
        </w:tblPrEx>
        <w:trPr>
          <w:trHeight w:val="419" w:hRule="atLeast"/>
        </w:trPr>
        <w:tc>
          <w:tcPr>
            <w:tcW w:w="528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项目</w:t>
            </w:r>
          </w:p>
        </w:tc>
        <w:tc>
          <w:tcPr>
            <w:tcW w:w="1155"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kern w:val="0"/>
                <w:sz w:val="22"/>
                <w:highlight w:val="none"/>
              </w:rPr>
            </w:pPr>
            <w:r>
              <w:rPr>
                <w:rFonts w:hint="eastAsia" w:cs="宋体" w:asciiTheme="minorEastAsia" w:hAnsiTheme="minorEastAsia" w:eastAsiaTheme="minorEastAsia"/>
                <w:color w:val="auto"/>
                <w:kern w:val="0"/>
                <w:sz w:val="22"/>
                <w:highlight w:val="none"/>
              </w:rPr>
              <w:t>本年收入</w:t>
            </w:r>
          </w:p>
          <w:p>
            <w:pPr>
              <w:widowControl/>
              <w:jc w:val="center"/>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合计</w:t>
            </w:r>
          </w:p>
        </w:tc>
        <w:tc>
          <w:tcPr>
            <w:tcW w:w="1153"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kern w:val="0"/>
                <w:sz w:val="22"/>
                <w:highlight w:val="none"/>
              </w:rPr>
            </w:pPr>
            <w:r>
              <w:rPr>
                <w:rFonts w:hint="eastAsia" w:cs="宋体" w:asciiTheme="minorEastAsia" w:hAnsiTheme="minorEastAsia" w:eastAsiaTheme="minorEastAsia"/>
                <w:color w:val="auto"/>
                <w:kern w:val="0"/>
                <w:sz w:val="22"/>
                <w:highlight w:val="none"/>
              </w:rPr>
              <w:t>财政拨款</w:t>
            </w:r>
          </w:p>
          <w:p>
            <w:pPr>
              <w:widowControl/>
              <w:jc w:val="center"/>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收入</w:t>
            </w:r>
          </w:p>
        </w:tc>
        <w:tc>
          <w:tcPr>
            <w:tcW w:w="156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上级补助收入</w:t>
            </w:r>
          </w:p>
        </w:tc>
        <w:tc>
          <w:tcPr>
            <w:tcW w:w="114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事业收入</w:t>
            </w:r>
          </w:p>
        </w:tc>
        <w:tc>
          <w:tcPr>
            <w:tcW w:w="117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经营收入</w:t>
            </w:r>
          </w:p>
        </w:tc>
        <w:tc>
          <w:tcPr>
            <w:tcW w:w="1305"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附属单位上缴收入</w:t>
            </w:r>
          </w:p>
        </w:tc>
        <w:tc>
          <w:tcPr>
            <w:tcW w:w="120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其他收入</w:t>
            </w:r>
          </w:p>
        </w:tc>
      </w:tr>
      <w:tr>
        <w:tblPrEx>
          <w:tblCellMar>
            <w:top w:w="0" w:type="dxa"/>
            <w:left w:w="108" w:type="dxa"/>
            <w:bottom w:w="0" w:type="dxa"/>
            <w:right w:w="108" w:type="dxa"/>
          </w:tblCellMar>
        </w:tblPrEx>
        <w:trPr>
          <w:trHeight w:val="312" w:hRule="atLeast"/>
        </w:trPr>
        <w:tc>
          <w:tcPr>
            <w:tcW w:w="1264"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功能分类科目编码</w:t>
            </w:r>
          </w:p>
        </w:tc>
        <w:tc>
          <w:tcPr>
            <w:tcW w:w="4022" w:type="dxa"/>
            <w:vMerge w:val="restart"/>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科目名称</w:t>
            </w:r>
          </w:p>
        </w:tc>
        <w:tc>
          <w:tcPr>
            <w:tcW w:w="115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highlight w:val="none"/>
              </w:rPr>
            </w:pPr>
          </w:p>
        </w:tc>
        <w:tc>
          <w:tcPr>
            <w:tcW w:w="1153"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highlight w:val="none"/>
              </w:rPr>
            </w:pPr>
          </w:p>
        </w:tc>
        <w:tc>
          <w:tcPr>
            <w:tcW w:w="1560"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highlight w:val="none"/>
              </w:rPr>
            </w:pPr>
          </w:p>
        </w:tc>
        <w:tc>
          <w:tcPr>
            <w:tcW w:w="1140"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highlight w:val="none"/>
              </w:rPr>
            </w:pPr>
          </w:p>
        </w:tc>
        <w:tc>
          <w:tcPr>
            <w:tcW w:w="1170"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highlight w:val="none"/>
              </w:rPr>
            </w:pPr>
          </w:p>
        </w:tc>
        <w:tc>
          <w:tcPr>
            <w:tcW w:w="130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highlight w:val="none"/>
              </w:rPr>
            </w:pPr>
          </w:p>
        </w:tc>
        <w:tc>
          <w:tcPr>
            <w:tcW w:w="1200"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highlight w:val="none"/>
              </w:rPr>
            </w:pPr>
          </w:p>
        </w:tc>
      </w:tr>
      <w:tr>
        <w:tblPrEx>
          <w:tblCellMar>
            <w:top w:w="0" w:type="dxa"/>
            <w:left w:w="108" w:type="dxa"/>
            <w:bottom w:w="0" w:type="dxa"/>
            <w:right w:w="108" w:type="dxa"/>
          </w:tblCellMar>
        </w:tblPrEx>
        <w:trPr>
          <w:trHeight w:val="312" w:hRule="atLeast"/>
        </w:trPr>
        <w:tc>
          <w:tcPr>
            <w:tcW w:w="1264" w:type="dxa"/>
            <w:vMerge w:val="continue"/>
            <w:tcBorders>
              <w:top w:val="nil"/>
              <w:left w:val="single" w:color="000000" w:sz="4" w:space="0"/>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highlight w:val="none"/>
              </w:rPr>
            </w:pPr>
          </w:p>
        </w:tc>
        <w:tc>
          <w:tcPr>
            <w:tcW w:w="4022" w:type="dxa"/>
            <w:vMerge w:val="continue"/>
            <w:tcBorders>
              <w:top w:val="nil"/>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highlight w:val="none"/>
              </w:rPr>
            </w:pPr>
          </w:p>
        </w:tc>
        <w:tc>
          <w:tcPr>
            <w:tcW w:w="115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highlight w:val="none"/>
              </w:rPr>
            </w:pPr>
          </w:p>
        </w:tc>
        <w:tc>
          <w:tcPr>
            <w:tcW w:w="1153"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highlight w:val="none"/>
              </w:rPr>
            </w:pPr>
          </w:p>
        </w:tc>
        <w:tc>
          <w:tcPr>
            <w:tcW w:w="1560"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highlight w:val="none"/>
              </w:rPr>
            </w:pPr>
          </w:p>
        </w:tc>
        <w:tc>
          <w:tcPr>
            <w:tcW w:w="1140"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highlight w:val="none"/>
              </w:rPr>
            </w:pPr>
          </w:p>
        </w:tc>
        <w:tc>
          <w:tcPr>
            <w:tcW w:w="1170"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highlight w:val="none"/>
              </w:rPr>
            </w:pPr>
          </w:p>
        </w:tc>
        <w:tc>
          <w:tcPr>
            <w:tcW w:w="130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highlight w:val="none"/>
              </w:rPr>
            </w:pPr>
          </w:p>
        </w:tc>
        <w:tc>
          <w:tcPr>
            <w:tcW w:w="1200"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highlight w:val="none"/>
              </w:rPr>
            </w:pPr>
          </w:p>
        </w:tc>
      </w:tr>
      <w:tr>
        <w:tblPrEx>
          <w:tblCellMar>
            <w:top w:w="0" w:type="dxa"/>
            <w:left w:w="108" w:type="dxa"/>
            <w:bottom w:w="0" w:type="dxa"/>
            <w:right w:w="108" w:type="dxa"/>
          </w:tblCellMar>
        </w:tblPrEx>
        <w:trPr>
          <w:trHeight w:val="312" w:hRule="atLeast"/>
        </w:trPr>
        <w:tc>
          <w:tcPr>
            <w:tcW w:w="1264" w:type="dxa"/>
            <w:vMerge w:val="continue"/>
            <w:tcBorders>
              <w:top w:val="nil"/>
              <w:left w:val="single" w:color="000000" w:sz="4" w:space="0"/>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highlight w:val="none"/>
              </w:rPr>
            </w:pPr>
          </w:p>
        </w:tc>
        <w:tc>
          <w:tcPr>
            <w:tcW w:w="4022" w:type="dxa"/>
            <w:vMerge w:val="continue"/>
            <w:tcBorders>
              <w:top w:val="nil"/>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highlight w:val="none"/>
              </w:rPr>
            </w:pPr>
          </w:p>
        </w:tc>
        <w:tc>
          <w:tcPr>
            <w:tcW w:w="115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highlight w:val="none"/>
              </w:rPr>
            </w:pPr>
          </w:p>
        </w:tc>
        <w:tc>
          <w:tcPr>
            <w:tcW w:w="1153"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highlight w:val="none"/>
              </w:rPr>
            </w:pPr>
          </w:p>
        </w:tc>
        <w:tc>
          <w:tcPr>
            <w:tcW w:w="1560"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highlight w:val="none"/>
              </w:rPr>
            </w:pPr>
          </w:p>
        </w:tc>
        <w:tc>
          <w:tcPr>
            <w:tcW w:w="1140"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highlight w:val="none"/>
              </w:rPr>
            </w:pPr>
          </w:p>
        </w:tc>
        <w:tc>
          <w:tcPr>
            <w:tcW w:w="1170"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highlight w:val="none"/>
              </w:rPr>
            </w:pPr>
          </w:p>
        </w:tc>
        <w:tc>
          <w:tcPr>
            <w:tcW w:w="130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highlight w:val="none"/>
              </w:rPr>
            </w:pPr>
          </w:p>
        </w:tc>
        <w:tc>
          <w:tcPr>
            <w:tcW w:w="1200"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auto"/>
                <w:sz w:val="22"/>
                <w:highlight w:val="none"/>
              </w:rPr>
            </w:pPr>
          </w:p>
        </w:tc>
      </w:tr>
      <w:tr>
        <w:tblPrEx>
          <w:tblCellMar>
            <w:top w:w="0" w:type="dxa"/>
            <w:left w:w="108" w:type="dxa"/>
            <w:bottom w:w="0" w:type="dxa"/>
            <w:right w:w="108" w:type="dxa"/>
          </w:tblCellMar>
        </w:tblPrEx>
        <w:trPr>
          <w:trHeight w:val="386" w:hRule="atLeast"/>
        </w:trPr>
        <w:tc>
          <w:tcPr>
            <w:tcW w:w="5286"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栏次</w:t>
            </w:r>
          </w:p>
        </w:tc>
        <w:tc>
          <w:tcPr>
            <w:tcW w:w="1155"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1</w:t>
            </w:r>
          </w:p>
        </w:tc>
        <w:tc>
          <w:tcPr>
            <w:tcW w:w="1153"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2</w:t>
            </w:r>
          </w:p>
        </w:tc>
        <w:tc>
          <w:tcPr>
            <w:tcW w:w="156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3</w:t>
            </w:r>
          </w:p>
        </w:tc>
        <w:tc>
          <w:tcPr>
            <w:tcW w:w="114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4</w:t>
            </w:r>
          </w:p>
        </w:tc>
        <w:tc>
          <w:tcPr>
            <w:tcW w:w="117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5</w:t>
            </w:r>
          </w:p>
        </w:tc>
        <w:tc>
          <w:tcPr>
            <w:tcW w:w="1305"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6</w:t>
            </w:r>
          </w:p>
        </w:tc>
        <w:tc>
          <w:tcPr>
            <w:tcW w:w="12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7</w:t>
            </w:r>
          </w:p>
        </w:tc>
      </w:tr>
      <w:tr>
        <w:tblPrEx>
          <w:tblCellMar>
            <w:top w:w="0" w:type="dxa"/>
            <w:left w:w="108" w:type="dxa"/>
            <w:bottom w:w="0" w:type="dxa"/>
            <w:right w:w="108" w:type="dxa"/>
          </w:tblCellMar>
        </w:tblPrEx>
        <w:trPr>
          <w:trHeight w:val="386" w:hRule="atLeast"/>
        </w:trPr>
        <w:tc>
          <w:tcPr>
            <w:tcW w:w="5286"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合计</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inorEastAsia" w:hAnsiTheme="minorEastAsia" w:eastAsiaTheme="minorEastAsia"/>
                <w:b/>
                <w:bCs/>
                <w:color w:val="auto"/>
                <w:sz w:val="22"/>
                <w:highlight w:val="none"/>
                <w:lang w:val="en-US" w:eastAsia="zh-CN"/>
              </w:rPr>
            </w:pPr>
            <w:r>
              <w:rPr>
                <w:rFonts w:hint="eastAsia" w:cs="宋体" w:asciiTheme="minorEastAsia" w:hAnsiTheme="minorEastAsia" w:eastAsiaTheme="minorEastAsia"/>
                <w:b/>
                <w:bCs/>
                <w:color w:val="auto"/>
                <w:kern w:val="0"/>
                <w:sz w:val="22"/>
                <w:highlight w:val="none"/>
                <w:lang w:val="en-US" w:eastAsia="zh-CN"/>
              </w:rPr>
              <w:t>124.55</w:t>
            </w:r>
          </w:p>
        </w:tc>
        <w:tc>
          <w:tcPr>
            <w:tcW w:w="1153"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inorEastAsia" w:hAnsiTheme="minorEastAsia" w:eastAsiaTheme="minorEastAsia"/>
                <w:b/>
                <w:bCs/>
                <w:color w:val="auto"/>
                <w:sz w:val="22"/>
                <w:highlight w:val="none"/>
                <w:lang w:val="en-US" w:eastAsia="zh-CN"/>
              </w:rPr>
            </w:pPr>
            <w:r>
              <w:rPr>
                <w:rFonts w:hint="eastAsia" w:cs="宋体" w:asciiTheme="minorEastAsia" w:hAnsiTheme="minorEastAsia" w:eastAsiaTheme="minorEastAsia"/>
                <w:b/>
                <w:bCs/>
                <w:color w:val="auto"/>
                <w:kern w:val="0"/>
                <w:sz w:val="22"/>
                <w:highlight w:val="none"/>
                <w:lang w:val="en-US" w:eastAsia="zh-CN"/>
              </w:rPr>
              <w:t>124.55</w:t>
            </w:r>
          </w:p>
        </w:tc>
        <w:tc>
          <w:tcPr>
            <w:tcW w:w="156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auto"/>
                <w:sz w:val="22"/>
                <w:highlight w:val="none"/>
              </w:rPr>
            </w:pPr>
            <w:r>
              <w:rPr>
                <w:rFonts w:hint="eastAsia" w:cs="宋体" w:asciiTheme="minorEastAsia" w:hAnsiTheme="minorEastAsia" w:eastAsiaTheme="minorEastAsia"/>
                <w:b/>
                <w:bCs/>
                <w:color w:val="auto"/>
                <w:kern w:val="0"/>
                <w:sz w:val="22"/>
                <w:highlight w:val="none"/>
              </w:rPr>
              <w:t>　</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auto"/>
                <w:sz w:val="22"/>
                <w:highlight w:val="none"/>
              </w:rPr>
            </w:pPr>
            <w:r>
              <w:rPr>
                <w:rFonts w:hint="eastAsia" w:cs="宋体" w:asciiTheme="minorEastAsia" w:hAnsiTheme="minorEastAsia" w:eastAsiaTheme="minorEastAsia"/>
                <w:b/>
                <w:bCs/>
                <w:color w:val="auto"/>
                <w:kern w:val="0"/>
                <w:sz w:val="22"/>
                <w:highlight w:val="none"/>
              </w:rPr>
              <w:t>　</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auto"/>
                <w:sz w:val="22"/>
                <w:highlight w:val="none"/>
              </w:rPr>
            </w:pPr>
            <w:r>
              <w:rPr>
                <w:rFonts w:hint="eastAsia" w:cs="宋体" w:asciiTheme="minorEastAsia" w:hAnsiTheme="minorEastAsia" w:eastAsiaTheme="minorEastAsia"/>
                <w:b/>
                <w:bCs/>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auto"/>
                <w:sz w:val="22"/>
                <w:highlight w:val="none"/>
              </w:rPr>
            </w:pPr>
            <w:r>
              <w:rPr>
                <w:rFonts w:hint="eastAsia" w:cs="宋体" w:asciiTheme="minorEastAsia" w:hAnsiTheme="minorEastAsia" w:eastAsiaTheme="minorEastAsia"/>
                <w:b/>
                <w:bCs/>
                <w:color w:val="auto"/>
                <w:kern w:val="0"/>
                <w:sz w:val="22"/>
                <w:highlight w:val="none"/>
              </w:rPr>
              <w:t>　</w:t>
            </w:r>
          </w:p>
        </w:tc>
        <w:tc>
          <w:tcPr>
            <w:tcW w:w="120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auto"/>
                <w:sz w:val="22"/>
                <w:highlight w:val="none"/>
              </w:rPr>
            </w:pPr>
            <w:r>
              <w:rPr>
                <w:rFonts w:hint="eastAsia" w:cs="宋体" w:asciiTheme="minorEastAsia" w:hAnsiTheme="minorEastAsia" w:eastAsiaTheme="minorEastAsia"/>
                <w:b/>
                <w:bCs/>
                <w:color w:val="auto"/>
                <w:kern w:val="0"/>
                <w:sz w:val="22"/>
                <w:highlight w:val="none"/>
              </w:rPr>
              <w:t>　</w:t>
            </w:r>
          </w:p>
        </w:tc>
      </w:tr>
      <w:tr>
        <w:tblPrEx>
          <w:tblCellMar>
            <w:top w:w="0" w:type="dxa"/>
            <w:left w:w="108" w:type="dxa"/>
            <w:bottom w:w="0" w:type="dxa"/>
            <w:right w:w="108" w:type="dxa"/>
          </w:tblCellMar>
        </w:tblPrEx>
        <w:trPr>
          <w:trHeight w:val="386" w:hRule="atLeast"/>
        </w:trPr>
        <w:tc>
          <w:tcPr>
            <w:tcW w:w="126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201</w:t>
            </w:r>
          </w:p>
        </w:tc>
        <w:tc>
          <w:tcPr>
            <w:tcW w:w="4022"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一般公共服务支出</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inorEastAsia" w:hAnsiTheme="minorEastAsia" w:eastAsiaTheme="minorEastAsia"/>
                <w:color w:val="auto"/>
                <w:sz w:val="22"/>
                <w:highlight w:val="none"/>
                <w:lang w:val="en-US" w:eastAsia="zh-CN"/>
              </w:rPr>
            </w:pPr>
            <w:r>
              <w:rPr>
                <w:rFonts w:hint="eastAsia" w:cs="宋体" w:asciiTheme="minorEastAsia" w:hAnsiTheme="minorEastAsia" w:eastAsiaTheme="minorEastAsia"/>
                <w:color w:val="auto"/>
                <w:kern w:val="0"/>
                <w:sz w:val="22"/>
                <w:highlight w:val="none"/>
                <w:lang w:val="en-US" w:eastAsia="zh-CN"/>
              </w:rPr>
              <w:t>0.52</w:t>
            </w:r>
          </w:p>
        </w:tc>
        <w:tc>
          <w:tcPr>
            <w:tcW w:w="1153"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inorEastAsia" w:hAnsiTheme="minorEastAsia" w:eastAsiaTheme="minorEastAsia"/>
                <w:color w:val="auto"/>
                <w:sz w:val="22"/>
                <w:highlight w:val="none"/>
                <w:lang w:val="en-US" w:eastAsia="zh-CN"/>
              </w:rPr>
            </w:pPr>
            <w:r>
              <w:rPr>
                <w:rFonts w:hint="eastAsia" w:cs="宋体" w:asciiTheme="minorEastAsia" w:hAnsiTheme="minorEastAsia" w:eastAsiaTheme="minorEastAsia"/>
                <w:color w:val="auto"/>
                <w:kern w:val="0"/>
                <w:sz w:val="22"/>
                <w:highlight w:val="none"/>
                <w:lang w:val="en-US" w:eastAsia="zh-CN"/>
              </w:rPr>
              <w:t>0.52</w:t>
            </w:r>
          </w:p>
        </w:tc>
        <w:tc>
          <w:tcPr>
            <w:tcW w:w="156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20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r>
      <w:tr>
        <w:tblPrEx>
          <w:tblCellMar>
            <w:top w:w="0" w:type="dxa"/>
            <w:left w:w="108" w:type="dxa"/>
            <w:bottom w:w="0" w:type="dxa"/>
            <w:right w:w="108" w:type="dxa"/>
          </w:tblCellMar>
        </w:tblPrEx>
        <w:trPr>
          <w:trHeight w:val="386" w:hRule="atLeast"/>
        </w:trPr>
        <w:tc>
          <w:tcPr>
            <w:tcW w:w="126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20129</w:t>
            </w:r>
          </w:p>
        </w:tc>
        <w:tc>
          <w:tcPr>
            <w:tcW w:w="4022"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群众团体事务</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inorEastAsia" w:hAnsiTheme="minorEastAsia" w:eastAsiaTheme="minorEastAsia"/>
                <w:color w:val="auto"/>
                <w:sz w:val="22"/>
                <w:highlight w:val="none"/>
                <w:lang w:val="en-US" w:eastAsia="zh-CN"/>
              </w:rPr>
            </w:pPr>
            <w:r>
              <w:rPr>
                <w:rFonts w:hint="eastAsia" w:cs="宋体" w:asciiTheme="minorEastAsia" w:hAnsiTheme="minorEastAsia" w:eastAsiaTheme="minorEastAsia"/>
                <w:color w:val="auto"/>
                <w:kern w:val="0"/>
                <w:sz w:val="22"/>
                <w:highlight w:val="none"/>
                <w:lang w:val="en-US" w:eastAsia="zh-CN"/>
              </w:rPr>
              <w:t>0.52</w:t>
            </w:r>
          </w:p>
        </w:tc>
        <w:tc>
          <w:tcPr>
            <w:tcW w:w="1153"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inorEastAsia" w:hAnsiTheme="minorEastAsia" w:eastAsiaTheme="minorEastAsia"/>
                <w:color w:val="auto"/>
                <w:sz w:val="22"/>
                <w:highlight w:val="none"/>
                <w:lang w:val="en-US" w:eastAsia="zh-CN"/>
              </w:rPr>
            </w:pPr>
            <w:r>
              <w:rPr>
                <w:rFonts w:hint="eastAsia" w:cs="宋体" w:asciiTheme="minorEastAsia" w:hAnsiTheme="minorEastAsia" w:eastAsiaTheme="minorEastAsia"/>
                <w:color w:val="auto"/>
                <w:kern w:val="0"/>
                <w:sz w:val="22"/>
                <w:highlight w:val="none"/>
                <w:lang w:val="en-US" w:eastAsia="zh-CN"/>
              </w:rPr>
              <w:t>0.52</w:t>
            </w:r>
          </w:p>
        </w:tc>
        <w:tc>
          <w:tcPr>
            <w:tcW w:w="156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20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r>
      <w:tr>
        <w:tblPrEx>
          <w:tblCellMar>
            <w:top w:w="0" w:type="dxa"/>
            <w:left w:w="108" w:type="dxa"/>
            <w:bottom w:w="0" w:type="dxa"/>
            <w:right w:w="108" w:type="dxa"/>
          </w:tblCellMar>
        </w:tblPrEx>
        <w:trPr>
          <w:trHeight w:val="386" w:hRule="atLeast"/>
        </w:trPr>
        <w:tc>
          <w:tcPr>
            <w:tcW w:w="126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2012906</w:t>
            </w:r>
          </w:p>
        </w:tc>
        <w:tc>
          <w:tcPr>
            <w:tcW w:w="4022"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xml:space="preserve">  工会事务</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inorEastAsia" w:hAnsiTheme="minorEastAsia" w:eastAsiaTheme="minorEastAsia"/>
                <w:color w:val="auto"/>
                <w:sz w:val="22"/>
                <w:highlight w:val="none"/>
                <w:lang w:val="en-US" w:eastAsia="zh-CN"/>
              </w:rPr>
            </w:pPr>
            <w:r>
              <w:rPr>
                <w:rFonts w:hint="eastAsia" w:cs="宋体" w:asciiTheme="minorEastAsia" w:hAnsiTheme="minorEastAsia" w:eastAsiaTheme="minorEastAsia"/>
                <w:color w:val="auto"/>
                <w:kern w:val="0"/>
                <w:sz w:val="22"/>
                <w:highlight w:val="none"/>
                <w:lang w:val="en-US" w:eastAsia="zh-CN"/>
              </w:rPr>
              <w:t>0.52</w:t>
            </w:r>
          </w:p>
        </w:tc>
        <w:tc>
          <w:tcPr>
            <w:tcW w:w="1153"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inorEastAsia" w:hAnsiTheme="minorEastAsia" w:eastAsiaTheme="minorEastAsia"/>
                <w:color w:val="auto"/>
                <w:sz w:val="22"/>
                <w:highlight w:val="none"/>
                <w:lang w:val="en-US" w:eastAsia="zh-CN"/>
              </w:rPr>
            </w:pPr>
            <w:r>
              <w:rPr>
                <w:rFonts w:hint="eastAsia" w:cs="宋体" w:asciiTheme="minorEastAsia" w:hAnsiTheme="minorEastAsia" w:eastAsiaTheme="minorEastAsia"/>
                <w:color w:val="auto"/>
                <w:kern w:val="0"/>
                <w:sz w:val="22"/>
                <w:highlight w:val="none"/>
                <w:lang w:val="en-US" w:eastAsia="zh-CN"/>
              </w:rPr>
              <w:t>0.52</w:t>
            </w:r>
          </w:p>
        </w:tc>
        <w:tc>
          <w:tcPr>
            <w:tcW w:w="156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20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r>
      <w:tr>
        <w:tblPrEx>
          <w:tblCellMar>
            <w:top w:w="0" w:type="dxa"/>
            <w:left w:w="108" w:type="dxa"/>
            <w:bottom w:w="0" w:type="dxa"/>
            <w:right w:w="108" w:type="dxa"/>
          </w:tblCellMar>
        </w:tblPrEx>
        <w:trPr>
          <w:trHeight w:val="386" w:hRule="atLeast"/>
        </w:trPr>
        <w:tc>
          <w:tcPr>
            <w:tcW w:w="126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default" w:cs="宋体" w:asciiTheme="minorEastAsia" w:hAnsiTheme="minorEastAsia" w:eastAsiaTheme="minorEastAsia"/>
                <w:color w:val="auto"/>
                <w:sz w:val="22"/>
                <w:highlight w:val="none"/>
                <w:lang w:val="en-US" w:eastAsia="zh-CN"/>
              </w:rPr>
            </w:pPr>
            <w:r>
              <w:rPr>
                <w:rFonts w:hint="eastAsia" w:cs="宋体" w:asciiTheme="minorEastAsia" w:hAnsiTheme="minorEastAsia" w:eastAsiaTheme="minorEastAsia"/>
                <w:color w:val="auto"/>
                <w:sz w:val="22"/>
                <w:highlight w:val="none"/>
                <w:lang w:val="en-US" w:eastAsia="zh-CN"/>
              </w:rPr>
              <w:t>208</w:t>
            </w:r>
          </w:p>
        </w:tc>
        <w:tc>
          <w:tcPr>
            <w:tcW w:w="4022"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社会保障和就业支出</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6.75</w:t>
            </w:r>
          </w:p>
        </w:tc>
        <w:tc>
          <w:tcPr>
            <w:tcW w:w="115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6.75</w:t>
            </w:r>
          </w:p>
        </w:tc>
        <w:tc>
          <w:tcPr>
            <w:tcW w:w="156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20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r>
      <w:tr>
        <w:tblPrEx>
          <w:tblCellMar>
            <w:top w:w="0" w:type="dxa"/>
            <w:left w:w="108" w:type="dxa"/>
            <w:bottom w:w="0" w:type="dxa"/>
            <w:right w:w="108" w:type="dxa"/>
          </w:tblCellMar>
        </w:tblPrEx>
        <w:trPr>
          <w:trHeight w:val="386" w:hRule="atLeast"/>
        </w:trPr>
        <w:tc>
          <w:tcPr>
            <w:tcW w:w="126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default" w:cs="宋体" w:asciiTheme="minorEastAsia" w:hAnsiTheme="minorEastAsia" w:eastAsiaTheme="minorEastAsia"/>
                <w:color w:val="auto"/>
                <w:sz w:val="22"/>
                <w:highlight w:val="none"/>
                <w:lang w:val="en-US" w:eastAsia="zh-CN"/>
              </w:rPr>
            </w:pPr>
            <w:r>
              <w:rPr>
                <w:rFonts w:hint="eastAsia" w:cs="宋体" w:asciiTheme="minorEastAsia" w:hAnsiTheme="minorEastAsia" w:eastAsiaTheme="minorEastAsia"/>
                <w:color w:val="auto"/>
                <w:kern w:val="0"/>
                <w:sz w:val="22"/>
                <w:highlight w:val="none"/>
                <w:lang w:val="en-US" w:eastAsia="zh-CN"/>
              </w:rPr>
              <w:t>20805</w:t>
            </w:r>
          </w:p>
        </w:tc>
        <w:tc>
          <w:tcPr>
            <w:tcW w:w="4022"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行政事业单位养老支出</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6.75</w:t>
            </w:r>
          </w:p>
        </w:tc>
        <w:tc>
          <w:tcPr>
            <w:tcW w:w="115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6.75</w:t>
            </w:r>
          </w:p>
        </w:tc>
        <w:tc>
          <w:tcPr>
            <w:tcW w:w="156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20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r>
      <w:tr>
        <w:tblPrEx>
          <w:tblCellMar>
            <w:top w:w="0" w:type="dxa"/>
            <w:left w:w="108" w:type="dxa"/>
            <w:bottom w:w="0" w:type="dxa"/>
            <w:right w:w="108" w:type="dxa"/>
          </w:tblCellMar>
        </w:tblPrEx>
        <w:trPr>
          <w:trHeight w:val="386" w:hRule="atLeast"/>
        </w:trPr>
        <w:tc>
          <w:tcPr>
            <w:tcW w:w="126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default" w:cs="宋体" w:asciiTheme="minorEastAsia" w:hAnsiTheme="minorEastAsia" w:eastAsiaTheme="minorEastAsia"/>
                <w:color w:val="auto"/>
                <w:sz w:val="22"/>
                <w:highlight w:val="none"/>
                <w:lang w:val="en-US" w:eastAsia="zh-CN"/>
              </w:rPr>
            </w:pPr>
            <w:r>
              <w:rPr>
                <w:rFonts w:hint="eastAsia" w:cs="宋体" w:asciiTheme="minorEastAsia" w:hAnsiTheme="minorEastAsia" w:eastAsiaTheme="minorEastAsia"/>
                <w:color w:val="auto"/>
                <w:kern w:val="0"/>
                <w:sz w:val="22"/>
                <w:highlight w:val="none"/>
                <w:lang w:val="en-US" w:eastAsia="zh-CN"/>
              </w:rPr>
              <w:t>2080505</w:t>
            </w:r>
          </w:p>
        </w:tc>
        <w:tc>
          <w:tcPr>
            <w:tcW w:w="4022"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 xml:space="preserve">  机关事业单位基本养老保险缴费支出</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6.75</w:t>
            </w:r>
          </w:p>
        </w:tc>
        <w:tc>
          <w:tcPr>
            <w:tcW w:w="115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6.75</w:t>
            </w:r>
          </w:p>
        </w:tc>
        <w:tc>
          <w:tcPr>
            <w:tcW w:w="156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20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r>
      <w:tr>
        <w:tblPrEx>
          <w:tblCellMar>
            <w:top w:w="0" w:type="dxa"/>
            <w:left w:w="108" w:type="dxa"/>
            <w:bottom w:w="0" w:type="dxa"/>
            <w:right w:w="108" w:type="dxa"/>
          </w:tblCellMar>
        </w:tblPrEx>
        <w:trPr>
          <w:trHeight w:val="386" w:hRule="atLeast"/>
        </w:trPr>
        <w:tc>
          <w:tcPr>
            <w:tcW w:w="126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highlight w:val="none"/>
                <w:lang w:bidi="ar"/>
              </w:rPr>
              <w:t>210</w:t>
            </w:r>
          </w:p>
        </w:tc>
        <w:tc>
          <w:tcPr>
            <w:tcW w:w="402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highlight w:val="none"/>
                <w:lang w:bidi="ar"/>
              </w:rPr>
              <w:t>卫生健康支出</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highlight w:val="none"/>
                <w:lang w:bidi="ar"/>
              </w:rPr>
              <w:t>3.13</w:t>
            </w:r>
          </w:p>
        </w:tc>
        <w:tc>
          <w:tcPr>
            <w:tcW w:w="11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highlight w:val="none"/>
                <w:lang w:bidi="ar"/>
              </w:rPr>
              <w:t>3.13</w:t>
            </w:r>
          </w:p>
        </w:tc>
        <w:tc>
          <w:tcPr>
            <w:tcW w:w="1560" w:type="dxa"/>
            <w:tcBorders>
              <w:top w:val="nil"/>
              <w:left w:val="nil"/>
              <w:bottom w:val="single" w:color="000000" w:sz="4" w:space="0"/>
              <w:right w:val="single" w:color="000000" w:sz="4" w:space="0"/>
            </w:tcBorders>
            <w:noWrap/>
            <w:vAlign w:val="center"/>
          </w:tcPr>
          <w:p>
            <w:pPr>
              <w:widowControl/>
              <w:jc w:val="right"/>
              <w:textAlignment w:val="center"/>
              <w:rPr>
                <w:rFonts w:hint="eastAsia" w:cs="宋体" w:asciiTheme="minorEastAsia" w:hAnsiTheme="minorEastAsia" w:eastAsiaTheme="minorEastAsia"/>
                <w:color w:val="auto"/>
                <w:kern w:val="0"/>
                <w:sz w:val="22"/>
                <w:highlight w:val="none"/>
              </w:rPr>
            </w:pP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hint="eastAsia" w:cs="宋体" w:asciiTheme="minorEastAsia" w:hAnsiTheme="minorEastAsia" w:eastAsiaTheme="minorEastAsia"/>
                <w:color w:val="auto"/>
                <w:kern w:val="0"/>
                <w:sz w:val="22"/>
                <w:highlight w:val="none"/>
              </w:rPr>
            </w:pP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hint="eastAsia" w:cs="宋体" w:asciiTheme="minorEastAsia" w:hAnsiTheme="minorEastAsia" w:eastAsiaTheme="minorEastAsia"/>
                <w:color w:val="auto"/>
                <w:kern w:val="0"/>
                <w:sz w:val="22"/>
                <w:highlight w:val="none"/>
              </w:rPr>
            </w:pP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hint="eastAsia" w:cs="宋体" w:asciiTheme="minorEastAsia" w:hAnsiTheme="minorEastAsia" w:eastAsiaTheme="minorEastAsia"/>
                <w:color w:val="auto"/>
                <w:kern w:val="0"/>
                <w:sz w:val="22"/>
                <w:highlight w:val="none"/>
              </w:rPr>
            </w:pPr>
          </w:p>
        </w:tc>
        <w:tc>
          <w:tcPr>
            <w:tcW w:w="1200" w:type="dxa"/>
            <w:tcBorders>
              <w:top w:val="nil"/>
              <w:left w:val="nil"/>
              <w:bottom w:val="single" w:color="000000" w:sz="4" w:space="0"/>
              <w:right w:val="single" w:color="000000" w:sz="4" w:space="0"/>
            </w:tcBorders>
            <w:noWrap/>
            <w:vAlign w:val="center"/>
          </w:tcPr>
          <w:p>
            <w:pPr>
              <w:widowControl/>
              <w:jc w:val="right"/>
              <w:textAlignment w:val="center"/>
              <w:rPr>
                <w:rFonts w:hint="eastAsia" w:cs="宋体" w:asciiTheme="minorEastAsia" w:hAnsiTheme="minorEastAsia" w:eastAsiaTheme="minorEastAsia"/>
                <w:color w:val="auto"/>
                <w:kern w:val="0"/>
                <w:sz w:val="22"/>
                <w:highlight w:val="none"/>
              </w:rPr>
            </w:pPr>
          </w:p>
        </w:tc>
      </w:tr>
      <w:tr>
        <w:tblPrEx>
          <w:tblCellMar>
            <w:top w:w="0" w:type="dxa"/>
            <w:left w:w="108" w:type="dxa"/>
            <w:bottom w:w="0" w:type="dxa"/>
            <w:right w:w="108" w:type="dxa"/>
          </w:tblCellMar>
        </w:tblPrEx>
        <w:trPr>
          <w:trHeight w:val="386" w:hRule="atLeast"/>
        </w:trPr>
        <w:tc>
          <w:tcPr>
            <w:tcW w:w="126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highlight w:val="none"/>
                <w:lang w:bidi="ar"/>
              </w:rPr>
              <w:t>21011</w:t>
            </w:r>
          </w:p>
        </w:tc>
        <w:tc>
          <w:tcPr>
            <w:tcW w:w="402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highlight w:val="none"/>
                <w:lang w:bidi="ar"/>
              </w:rPr>
              <w:t>行政事业单位医疗</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highlight w:val="none"/>
                <w:lang w:bidi="ar"/>
              </w:rPr>
              <w:t>3.13</w:t>
            </w:r>
          </w:p>
        </w:tc>
        <w:tc>
          <w:tcPr>
            <w:tcW w:w="11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highlight w:val="none"/>
                <w:lang w:bidi="ar"/>
              </w:rPr>
              <w:t>3.13</w:t>
            </w:r>
          </w:p>
        </w:tc>
        <w:tc>
          <w:tcPr>
            <w:tcW w:w="156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20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r>
      <w:tr>
        <w:tblPrEx>
          <w:tblCellMar>
            <w:top w:w="0" w:type="dxa"/>
            <w:left w:w="108" w:type="dxa"/>
            <w:bottom w:w="0" w:type="dxa"/>
            <w:right w:w="108" w:type="dxa"/>
          </w:tblCellMar>
        </w:tblPrEx>
        <w:trPr>
          <w:trHeight w:val="386" w:hRule="atLeast"/>
        </w:trPr>
        <w:tc>
          <w:tcPr>
            <w:tcW w:w="126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highlight w:val="none"/>
                <w:lang w:bidi="ar"/>
              </w:rPr>
              <w:t>2101102</w:t>
            </w:r>
          </w:p>
        </w:tc>
        <w:tc>
          <w:tcPr>
            <w:tcW w:w="402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highlight w:val="none"/>
                <w:lang w:bidi="ar"/>
              </w:rPr>
              <w:t xml:space="preserve">  事业单位医疗</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highlight w:val="none"/>
                <w:lang w:bidi="ar"/>
              </w:rPr>
              <w:t>3.13</w:t>
            </w:r>
          </w:p>
        </w:tc>
        <w:tc>
          <w:tcPr>
            <w:tcW w:w="11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highlight w:val="none"/>
                <w:lang w:bidi="ar"/>
              </w:rPr>
              <w:t>3.13</w:t>
            </w:r>
          </w:p>
        </w:tc>
        <w:tc>
          <w:tcPr>
            <w:tcW w:w="1560" w:type="dxa"/>
            <w:tcBorders>
              <w:top w:val="nil"/>
              <w:left w:val="nil"/>
              <w:bottom w:val="single" w:color="000000" w:sz="4" w:space="0"/>
              <w:right w:val="single" w:color="000000" w:sz="4" w:space="0"/>
            </w:tcBorders>
            <w:noWrap/>
            <w:vAlign w:val="center"/>
          </w:tcPr>
          <w:p>
            <w:pPr>
              <w:widowControl/>
              <w:jc w:val="right"/>
              <w:textAlignment w:val="center"/>
              <w:rPr>
                <w:rFonts w:hint="eastAsia" w:cs="宋体" w:asciiTheme="minorEastAsia" w:hAnsiTheme="minorEastAsia" w:eastAsiaTheme="minorEastAsia"/>
                <w:color w:val="auto"/>
                <w:kern w:val="0"/>
                <w:sz w:val="22"/>
                <w:highlight w:val="none"/>
              </w:rPr>
            </w:pP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hint="eastAsia" w:cs="宋体" w:asciiTheme="minorEastAsia" w:hAnsiTheme="minorEastAsia" w:eastAsiaTheme="minorEastAsia"/>
                <w:color w:val="auto"/>
                <w:kern w:val="0"/>
                <w:sz w:val="22"/>
                <w:highlight w:val="none"/>
              </w:rPr>
            </w:pP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hint="eastAsia" w:cs="宋体" w:asciiTheme="minorEastAsia" w:hAnsiTheme="minorEastAsia" w:eastAsiaTheme="minorEastAsia"/>
                <w:color w:val="auto"/>
                <w:kern w:val="0"/>
                <w:sz w:val="22"/>
                <w:highlight w:val="none"/>
              </w:rPr>
            </w:pP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hint="eastAsia" w:cs="宋体" w:asciiTheme="minorEastAsia" w:hAnsiTheme="minorEastAsia" w:eastAsiaTheme="minorEastAsia"/>
                <w:color w:val="auto"/>
                <w:kern w:val="0"/>
                <w:sz w:val="22"/>
                <w:highlight w:val="none"/>
              </w:rPr>
            </w:pPr>
          </w:p>
        </w:tc>
        <w:tc>
          <w:tcPr>
            <w:tcW w:w="1200" w:type="dxa"/>
            <w:tcBorders>
              <w:top w:val="nil"/>
              <w:left w:val="nil"/>
              <w:bottom w:val="single" w:color="000000" w:sz="4" w:space="0"/>
              <w:right w:val="single" w:color="000000" w:sz="4" w:space="0"/>
            </w:tcBorders>
            <w:noWrap/>
            <w:vAlign w:val="center"/>
          </w:tcPr>
          <w:p>
            <w:pPr>
              <w:widowControl/>
              <w:jc w:val="right"/>
              <w:textAlignment w:val="center"/>
              <w:rPr>
                <w:rFonts w:hint="eastAsia" w:cs="宋体" w:asciiTheme="minorEastAsia" w:hAnsiTheme="minorEastAsia" w:eastAsiaTheme="minorEastAsia"/>
                <w:color w:val="auto"/>
                <w:kern w:val="0"/>
                <w:sz w:val="22"/>
                <w:highlight w:val="none"/>
              </w:rPr>
            </w:pPr>
          </w:p>
        </w:tc>
      </w:tr>
      <w:tr>
        <w:tblPrEx>
          <w:tblCellMar>
            <w:top w:w="0" w:type="dxa"/>
            <w:left w:w="108" w:type="dxa"/>
            <w:bottom w:w="0" w:type="dxa"/>
            <w:right w:w="108" w:type="dxa"/>
          </w:tblCellMar>
        </w:tblPrEx>
        <w:trPr>
          <w:trHeight w:val="386" w:hRule="atLeast"/>
        </w:trPr>
        <w:tc>
          <w:tcPr>
            <w:tcW w:w="126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212</w:t>
            </w:r>
          </w:p>
        </w:tc>
        <w:tc>
          <w:tcPr>
            <w:tcW w:w="4022"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城乡社区支出</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inorEastAsia" w:hAnsiTheme="minorEastAsia" w:eastAsiaTheme="minorEastAsia"/>
                <w:color w:val="auto"/>
                <w:sz w:val="22"/>
                <w:highlight w:val="none"/>
                <w:lang w:val="en-US" w:eastAsia="zh-CN"/>
              </w:rPr>
            </w:pPr>
            <w:r>
              <w:rPr>
                <w:rFonts w:hint="eastAsia" w:cs="宋体" w:asciiTheme="minorEastAsia" w:hAnsiTheme="minorEastAsia" w:eastAsiaTheme="minorEastAsia"/>
                <w:color w:val="auto"/>
                <w:kern w:val="0"/>
                <w:sz w:val="22"/>
                <w:highlight w:val="none"/>
                <w:lang w:val="en-US" w:eastAsia="zh-CN"/>
              </w:rPr>
              <w:t>114.15</w:t>
            </w:r>
          </w:p>
        </w:tc>
        <w:tc>
          <w:tcPr>
            <w:tcW w:w="115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lang w:val="en-US" w:eastAsia="zh-CN"/>
              </w:rPr>
              <w:t>114.15</w:t>
            </w:r>
          </w:p>
        </w:tc>
        <w:tc>
          <w:tcPr>
            <w:tcW w:w="156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20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r>
      <w:tr>
        <w:tblPrEx>
          <w:tblCellMar>
            <w:top w:w="0" w:type="dxa"/>
            <w:left w:w="108" w:type="dxa"/>
            <w:bottom w:w="0" w:type="dxa"/>
            <w:right w:w="108" w:type="dxa"/>
          </w:tblCellMar>
        </w:tblPrEx>
        <w:trPr>
          <w:trHeight w:val="386" w:hRule="atLeast"/>
        </w:trPr>
        <w:tc>
          <w:tcPr>
            <w:tcW w:w="126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21201</w:t>
            </w:r>
          </w:p>
        </w:tc>
        <w:tc>
          <w:tcPr>
            <w:tcW w:w="4022"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城乡社区管理事务</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lang w:val="en-US" w:eastAsia="zh-CN"/>
              </w:rPr>
              <w:t>114.15</w:t>
            </w:r>
          </w:p>
        </w:tc>
        <w:tc>
          <w:tcPr>
            <w:tcW w:w="115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lang w:val="en-US" w:eastAsia="zh-CN"/>
              </w:rPr>
              <w:t>114.15</w:t>
            </w:r>
          </w:p>
        </w:tc>
        <w:tc>
          <w:tcPr>
            <w:tcW w:w="156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20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r>
      <w:tr>
        <w:tblPrEx>
          <w:tblCellMar>
            <w:top w:w="0" w:type="dxa"/>
            <w:left w:w="108" w:type="dxa"/>
            <w:bottom w:w="0" w:type="dxa"/>
            <w:right w:w="108" w:type="dxa"/>
          </w:tblCellMar>
        </w:tblPrEx>
        <w:trPr>
          <w:trHeight w:val="386" w:hRule="atLeast"/>
        </w:trPr>
        <w:tc>
          <w:tcPr>
            <w:tcW w:w="126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2120199</w:t>
            </w:r>
          </w:p>
        </w:tc>
        <w:tc>
          <w:tcPr>
            <w:tcW w:w="4022"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xml:space="preserve">  其他城乡社区管理事务支出</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lang w:val="en-US" w:eastAsia="zh-CN"/>
              </w:rPr>
              <w:t>114.15</w:t>
            </w:r>
          </w:p>
        </w:tc>
        <w:tc>
          <w:tcPr>
            <w:tcW w:w="115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lang w:val="en-US" w:eastAsia="zh-CN"/>
              </w:rPr>
              <w:t>114.15</w:t>
            </w:r>
          </w:p>
        </w:tc>
        <w:tc>
          <w:tcPr>
            <w:tcW w:w="156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c>
          <w:tcPr>
            <w:tcW w:w="120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　</w:t>
            </w:r>
          </w:p>
        </w:tc>
      </w:tr>
      <w:tr>
        <w:tblPrEx>
          <w:tblCellMar>
            <w:top w:w="0" w:type="dxa"/>
            <w:left w:w="108" w:type="dxa"/>
            <w:bottom w:w="0" w:type="dxa"/>
            <w:right w:w="108" w:type="dxa"/>
          </w:tblCellMar>
        </w:tblPrEx>
        <w:trPr>
          <w:trHeight w:val="386" w:hRule="atLeast"/>
        </w:trPr>
        <w:tc>
          <w:tcPr>
            <w:tcW w:w="13969" w:type="dxa"/>
            <w:gridSpan w:val="9"/>
            <w:tcBorders>
              <w:top w:val="nil"/>
              <w:left w:val="nil"/>
              <w:bottom w:val="nil"/>
              <w:right w:val="nil"/>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注：本表反映</w:t>
            </w:r>
            <w:r>
              <w:rPr>
                <w:rFonts w:hint="eastAsia" w:cs="宋体" w:asciiTheme="minorEastAsia" w:hAnsiTheme="minorEastAsia" w:eastAsiaTheme="minorEastAsia"/>
                <w:color w:val="auto"/>
                <w:kern w:val="0"/>
                <w:sz w:val="22"/>
                <w:highlight w:val="none"/>
                <w:lang w:eastAsia="zh-CN"/>
              </w:rPr>
              <w:t>单位</w:t>
            </w:r>
            <w:r>
              <w:rPr>
                <w:rFonts w:hint="eastAsia" w:cs="宋体" w:asciiTheme="minorEastAsia" w:hAnsiTheme="minorEastAsia" w:eastAsiaTheme="minorEastAsia"/>
                <w:color w:val="auto"/>
                <w:kern w:val="0"/>
                <w:sz w:val="22"/>
                <w:highlight w:val="none"/>
              </w:rPr>
              <w:t>本年度取得的各项收入情况。本表金额转换为万元时，因四舍五入可能存在尾差。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1803" w:right="1440" w:bottom="1803" w:left="1440" w:header="720" w:footer="720" w:gutter="0"/>
          <w:pgBorders>
            <w:top w:val="none" w:sz="0" w:space="0"/>
            <w:left w:val="none" w:sz="0" w:space="0"/>
            <w:bottom w:val="none" w:sz="0" w:space="0"/>
            <w:right w:val="none" w:sz="0" w:space="0"/>
          </w:pgBorders>
          <w:pgNumType w:fmt="numberInDash"/>
          <w:cols w:space="0" w:num="1"/>
          <w:rtlGutter w:val="0"/>
          <w:docGrid w:linePitch="312" w:charSpace="0"/>
        </w:sectPr>
      </w:pPr>
    </w:p>
    <w:tbl>
      <w:tblPr>
        <w:tblStyle w:val="5"/>
        <w:tblW w:w="13984" w:type="dxa"/>
        <w:tblInd w:w="91" w:type="dxa"/>
        <w:tblLayout w:type="fixed"/>
        <w:tblCellMar>
          <w:top w:w="0" w:type="dxa"/>
          <w:left w:w="108" w:type="dxa"/>
          <w:bottom w:w="0" w:type="dxa"/>
          <w:right w:w="108" w:type="dxa"/>
        </w:tblCellMar>
      </w:tblPr>
      <w:tblGrid>
        <w:gridCol w:w="1149"/>
        <w:gridCol w:w="4150"/>
        <w:gridCol w:w="1629"/>
        <w:gridCol w:w="1321"/>
        <w:gridCol w:w="1191"/>
        <w:gridCol w:w="1244"/>
        <w:gridCol w:w="1050"/>
        <w:gridCol w:w="2250"/>
      </w:tblGrid>
      <w:tr>
        <w:tblPrEx>
          <w:tblCellMar>
            <w:top w:w="0" w:type="dxa"/>
            <w:left w:w="108" w:type="dxa"/>
            <w:bottom w:w="0" w:type="dxa"/>
            <w:right w:w="108" w:type="dxa"/>
          </w:tblCellMar>
        </w:tblPrEx>
        <w:trPr>
          <w:trHeight w:val="390" w:hRule="atLeast"/>
        </w:trPr>
        <w:tc>
          <w:tcPr>
            <w:tcW w:w="13984" w:type="dxa"/>
            <w:gridSpan w:val="8"/>
            <w:tcBorders>
              <w:top w:val="nil"/>
              <w:left w:val="nil"/>
              <w:bottom w:val="nil"/>
              <w:right w:val="nil"/>
            </w:tcBorders>
            <w:noWrap/>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rPr>
              <w:t>支出决算表</w:t>
            </w:r>
          </w:p>
        </w:tc>
      </w:tr>
      <w:tr>
        <w:tblPrEx>
          <w:tblCellMar>
            <w:top w:w="0" w:type="dxa"/>
            <w:left w:w="108" w:type="dxa"/>
            <w:bottom w:w="0" w:type="dxa"/>
            <w:right w:w="108" w:type="dxa"/>
          </w:tblCellMar>
        </w:tblPrEx>
        <w:trPr>
          <w:trHeight w:val="255" w:hRule="atLeast"/>
        </w:trPr>
        <w:tc>
          <w:tcPr>
            <w:tcW w:w="5299" w:type="dxa"/>
            <w:gridSpan w:val="2"/>
            <w:tcBorders>
              <w:top w:val="nil"/>
              <w:left w:val="nil"/>
              <w:bottom w:val="nil"/>
              <w:right w:val="nil"/>
            </w:tcBorders>
            <w:noWrap/>
            <w:vAlign w:val="bottom"/>
          </w:tcPr>
          <w:p>
            <w:pPr>
              <w:rPr>
                <w:rFonts w:ascii="Arial" w:hAnsi="Arial" w:cs="Arial"/>
                <w:color w:val="auto"/>
                <w:sz w:val="18"/>
                <w:szCs w:val="18"/>
                <w:highlight w:val="none"/>
              </w:rPr>
            </w:pPr>
          </w:p>
        </w:tc>
        <w:tc>
          <w:tcPr>
            <w:tcW w:w="1629" w:type="dxa"/>
            <w:tcBorders>
              <w:top w:val="nil"/>
              <w:left w:val="nil"/>
              <w:bottom w:val="nil"/>
              <w:right w:val="nil"/>
            </w:tcBorders>
            <w:noWrap/>
            <w:vAlign w:val="bottom"/>
          </w:tcPr>
          <w:p>
            <w:pPr>
              <w:rPr>
                <w:rFonts w:ascii="Arial" w:hAnsi="Arial" w:cs="Arial"/>
                <w:color w:val="auto"/>
                <w:sz w:val="18"/>
                <w:szCs w:val="18"/>
                <w:highlight w:val="none"/>
              </w:rPr>
            </w:pPr>
          </w:p>
        </w:tc>
        <w:tc>
          <w:tcPr>
            <w:tcW w:w="1321" w:type="dxa"/>
            <w:tcBorders>
              <w:top w:val="nil"/>
              <w:left w:val="nil"/>
              <w:bottom w:val="nil"/>
              <w:right w:val="nil"/>
            </w:tcBorders>
            <w:noWrap/>
            <w:vAlign w:val="bottom"/>
          </w:tcPr>
          <w:p>
            <w:pPr>
              <w:rPr>
                <w:rFonts w:ascii="Arial" w:hAnsi="Arial" w:cs="Arial"/>
                <w:color w:val="auto"/>
                <w:sz w:val="18"/>
                <w:szCs w:val="18"/>
                <w:highlight w:val="none"/>
              </w:rPr>
            </w:pPr>
          </w:p>
        </w:tc>
        <w:tc>
          <w:tcPr>
            <w:tcW w:w="1191" w:type="dxa"/>
            <w:tcBorders>
              <w:top w:val="nil"/>
              <w:left w:val="nil"/>
              <w:bottom w:val="nil"/>
              <w:right w:val="nil"/>
            </w:tcBorders>
            <w:noWrap/>
            <w:vAlign w:val="bottom"/>
          </w:tcPr>
          <w:p>
            <w:pPr>
              <w:rPr>
                <w:rFonts w:ascii="Arial" w:hAnsi="Arial" w:cs="Arial"/>
                <w:color w:val="auto"/>
                <w:sz w:val="18"/>
                <w:szCs w:val="18"/>
                <w:highlight w:val="none"/>
              </w:rPr>
            </w:pPr>
          </w:p>
        </w:tc>
        <w:tc>
          <w:tcPr>
            <w:tcW w:w="1244" w:type="dxa"/>
            <w:tcBorders>
              <w:top w:val="nil"/>
              <w:left w:val="nil"/>
              <w:bottom w:val="nil"/>
              <w:right w:val="nil"/>
            </w:tcBorders>
            <w:noWrap/>
            <w:vAlign w:val="bottom"/>
          </w:tcPr>
          <w:p>
            <w:pPr>
              <w:rPr>
                <w:rFonts w:ascii="Arial" w:hAnsi="Arial" w:cs="Arial"/>
                <w:color w:val="auto"/>
                <w:sz w:val="18"/>
                <w:szCs w:val="18"/>
                <w:highlight w:val="none"/>
              </w:rPr>
            </w:pPr>
          </w:p>
        </w:tc>
        <w:tc>
          <w:tcPr>
            <w:tcW w:w="1050" w:type="dxa"/>
            <w:tcBorders>
              <w:top w:val="nil"/>
              <w:left w:val="nil"/>
              <w:bottom w:val="nil"/>
              <w:right w:val="nil"/>
            </w:tcBorders>
            <w:noWrap/>
            <w:vAlign w:val="bottom"/>
          </w:tcPr>
          <w:p>
            <w:pPr>
              <w:rPr>
                <w:rFonts w:ascii="Arial" w:hAnsi="Arial" w:cs="Arial"/>
                <w:color w:val="auto"/>
                <w:sz w:val="18"/>
                <w:szCs w:val="18"/>
                <w:highlight w:val="none"/>
              </w:rPr>
            </w:pPr>
          </w:p>
        </w:tc>
        <w:tc>
          <w:tcPr>
            <w:tcW w:w="2250" w:type="dxa"/>
            <w:tcBorders>
              <w:top w:val="nil"/>
              <w:left w:val="nil"/>
              <w:bottom w:val="nil"/>
              <w:right w:val="nil"/>
            </w:tcBorders>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rPr>
              <w:t>公开03表</w:t>
            </w:r>
          </w:p>
        </w:tc>
      </w:tr>
      <w:tr>
        <w:tblPrEx>
          <w:tblCellMar>
            <w:top w:w="0" w:type="dxa"/>
            <w:left w:w="108" w:type="dxa"/>
            <w:bottom w:w="0" w:type="dxa"/>
            <w:right w:w="108" w:type="dxa"/>
          </w:tblCellMar>
        </w:tblPrEx>
        <w:trPr>
          <w:trHeight w:val="255" w:hRule="atLeast"/>
        </w:trPr>
        <w:tc>
          <w:tcPr>
            <w:tcW w:w="5299" w:type="dxa"/>
            <w:gridSpan w:val="2"/>
            <w:tcBorders>
              <w:top w:val="nil"/>
              <w:left w:val="nil"/>
              <w:bottom w:val="nil"/>
              <w:right w:val="nil"/>
            </w:tcBorders>
            <w:noWrap/>
            <w:vAlign w:val="bottom"/>
          </w:tcPr>
          <w:p>
            <w:pPr>
              <w:widowControl/>
              <w:jc w:val="lef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lang w:eastAsia="zh-CN"/>
              </w:rPr>
              <w:t>单位</w:t>
            </w:r>
            <w:r>
              <w:rPr>
                <w:rFonts w:hint="eastAsia" w:ascii="宋体" w:hAnsi="宋体" w:cs="宋体"/>
                <w:color w:val="auto"/>
                <w:kern w:val="0"/>
                <w:sz w:val="18"/>
                <w:szCs w:val="18"/>
                <w:highlight w:val="none"/>
              </w:rPr>
              <w:t>：许昌市</w:t>
            </w:r>
            <w:r>
              <w:rPr>
                <w:rFonts w:hint="eastAsia" w:ascii="宋体" w:hAnsi="宋体" w:cs="宋体"/>
                <w:color w:val="auto"/>
                <w:kern w:val="0"/>
                <w:sz w:val="18"/>
                <w:szCs w:val="18"/>
                <w:highlight w:val="none"/>
                <w:lang w:eastAsia="zh-CN"/>
              </w:rPr>
              <w:t>物业</w:t>
            </w:r>
            <w:r>
              <w:rPr>
                <w:rFonts w:hint="eastAsia" w:ascii="宋体" w:hAnsi="宋体" w:cs="宋体"/>
                <w:color w:val="auto"/>
                <w:kern w:val="0"/>
                <w:sz w:val="18"/>
                <w:szCs w:val="18"/>
                <w:highlight w:val="none"/>
              </w:rPr>
              <w:t>管理中心</w:t>
            </w:r>
          </w:p>
        </w:tc>
        <w:tc>
          <w:tcPr>
            <w:tcW w:w="1629" w:type="dxa"/>
            <w:tcBorders>
              <w:top w:val="nil"/>
              <w:left w:val="nil"/>
              <w:bottom w:val="nil"/>
              <w:right w:val="nil"/>
            </w:tcBorders>
            <w:noWrap/>
            <w:vAlign w:val="bottom"/>
          </w:tcPr>
          <w:p>
            <w:pPr>
              <w:rPr>
                <w:rFonts w:ascii="Arial" w:hAnsi="Arial" w:cs="Arial"/>
                <w:color w:val="auto"/>
                <w:sz w:val="18"/>
                <w:szCs w:val="18"/>
                <w:highlight w:val="none"/>
              </w:rPr>
            </w:pPr>
          </w:p>
        </w:tc>
        <w:tc>
          <w:tcPr>
            <w:tcW w:w="1321" w:type="dxa"/>
            <w:tcBorders>
              <w:top w:val="nil"/>
              <w:left w:val="nil"/>
              <w:bottom w:val="nil"/>
              <w:right w:val="nil"/>
            </w:tcBorders>
            <w:noWrap/>
            <w:vAlign w:val="bottom"/>
          </w:tcPr>
          <w:p>
            <w:pPr>
              <w:rPr>
                <w:rFonts w:ascii="Arial" w:hAnsi="Arial" w:cs="Arial"/>
                <w:color w:val="auto"/>
                <w:sz w:val="18"/>
                <w:szCs w:val="18"/>
                <w:highlight w:val="none"/>
              </w:rPr>
            </w:pPr>
          </w:p>
        </w:tc>
        <w:tc>
          <w:tcPr>
            <w:tcW w:w="1191" w:type="dxa"/>
            <w:tcBorders>
              <w:top w:val="nil"/>
              <w:left w:val="nil"/>
              <w:bottom w:val="nil"/>
              <w:right w:val="nil"/>
            </w:tcBorders>
            <w:noWrap/>
            <w:vAlign w:val="bottom"/>
          </w:tcPr>
          <w:p>
            <w:pPr>
              <w:rPr>
                <w:rFonts w:ascii="Arial" w:hAnsi="Arial" w:cs="Arial"/>
                <w:color w:val="auto"/>
                <w:sz w:val="18"/>
                <w:szCs w:val="18"/>
                <w:highlight w:val="none"/>
              </w:rPr>
            </w:pPr>
          </w:p>
        </w:tc>
        <w:tc>
          <w:tcPr>
            <w:tcW w:w="1244" w:type="dxa"/>
            <w:tcBorders>
              <w:top w:val="nil"/>
              <w:left w:val="nil"/>
              <w:bottom w:val="nil"/>
              <w:right w:val="nil"/>
            </w:tcBorders>
            <w:noWrap/>
            <w:vAlign w:val="bottom"/>
          </w:tcPr>
          <w:p>
            <w:pPr>
              <w:rPr>
                <w:rFonts w:ascii="Arial" w:hAnsi="Arial" w:cs="Arial"/>
                <w:color w:val="auto"/>
                <w:sz w:val="18"/>
                <w:szCs w:val="18"/>
                <w:highlight w:val="none"/>
              </w:rPr>
            </w:pPr>
          </w:p>
        </w:tc>
        <w:tc>
          <w:tcPr>
            <w:tcW w:w="1050" w:type="dxa"/>
            <w:tcBorders>
              <w:top w:val="nil"/>
              <w:left w:val="nil"/>
              <w:bottom w:val="nil"/>
              <w:right w:val="nil"/>
            </w:tcBorders>
            <w:noWrap/>
            <w:vAlign w:val="bottom"/>
          </w:tcPr>
          <w:p>
            <w:pPr>
              <w:rPr>
                <w:rFonts w:ascii="Arial" w:hAnsi="Arial" w:cs="Arial"/>
                <w:color w:val="auto"/>
                <w:sz w:val="18"/>
                <w:szCs w:val="18"/>
                <w:highlight w:val="none"/>
              </w:rPr>
            </w:pPr>
          </w:p>
        </w:tc>
        <w:tc>
          <w:tcPr>
            <w:tcW w:w="2250" w:type="dxa"/>
            <w:tcBorders>
              <w:top w:val="nil"/>
              <w:left w:val="nil"/>
              <w:bottom w:val="nil"/>
              <w:right w:val="nil"/>
            </w:tcBorders>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rPr>
              <w:t>金额单位：万元</w:t>
            </w:r>
          </w:p>
        </w:tc>
      </w:tr>
      <w:tr>
        <w:tblPrEx>
          <w:tblCellMar>
            <w:top w:w="0" w:type="dxa"/>
            <w:left w:w="108" w:type="dxa"/>
            <w:bottom w:w="0" w:type="dxa"/>
            <w:right w:w="108" w:type="dxa"/>
          </w:tblCellMar>
        </w:tblPrEx>
        <w:trPr>
          <w:trHeight w:val="369" w:hRule="atLeast"/>
        </w:trPr>
        <w:tc>
          <w:tcPr>
            <w:tcW w:w="529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w:t>
            </w:r>
          </w:p>
        </w:tc>
        <w:tc>
          <w:tcPr>
            <w:tcW w:w="1629"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2"/>
                <w:highlight w:val="none"/>
              </w:rPr>
            </w:pPr>
            <w:r>
              <w:rPr>
                <w:rFonts w:hint="eastAsia" w:ascii="宋体" w:hAnsi="宋体" w:cs="宋体"/>
                <w:color w:val="auto"/>
                <w:kern w:val="0"/>
                <w:sz w:val="22"/>
                <w:highlight w:val="none"/>
              </w:rPr>
              <w:t>本年支出</w:t>
            </w:r>
          </w:p>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合计</w:t>
            </w:r>
          </w:p>
        </w:tc>
        <w:tc>
          <w:tcPr>
            <w:tcW w:w="1321"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基本支出</w:t>
            </w:r>
          </w:p>
        </w:tc>
        <w:tc>
          <w:tcPr>
            <w:tcW w:w="1191"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项目支出</w:t>
            </w:r>
          </w:p>
        </w:tc>
        <w:tc>
          <w:tcPr>
            <w:tcW w:w="1244"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上缴上级支出</w:t>
            </w:r>
          </w:p>
        </w:tc>
        <w:tc>
          <w:tcPr>
            <w:tcW w:w="105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2"/>
                <w:highlight w:val="none"/>
              </w:rPr>
            </w:pPr>
            <w:r>
              <w:rPr>
                <w:rFonts w:hint="eastAsia" w:ascii="宋体" w:hAnsi="宋体" w:cs="宋体"/>
                <w:color w:val="auto"/>
                <w:kern w:val="0"/>
                <w:sz w:val="22"/>
                <w:highlight w:val="none"/>
              </w:rPr>
              <w:t>经营</w:t>
            </w:r>
          </w:p>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支出</w:t>
            </w:r>
          </w:p>
        </w:tc>
        <w:tc>
          <w:tcPr>
            <w:tcW w:w="225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对附属单位补助支出</w:t>
            </w:r>
          </w:p>
        </w:tc>
      </w:tr>
      <w:tr>
        <w:tblPrEx>
          <w:tblCellMar>
            <w:top w:w="0" w:type="dxa"/>
            <w:left w:w="108" w:type="dxa"/>
            <w:bottom w:w="0" w:type="dxa"/>
            <w:right w:w="108" w:type="dxa"/>
          </w:tblCellMar>
        </w:tblPrEx>
        <w:trPr>
          <w:trHeight w:val="369" w:hRule="atLeast"/>
        </w:trPr>
        <w:tc>
          <w:tcPr>
            <w:tcW w:w="1149"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功能分类科目编码</w:t>
            </w:r>
          </w:p>
        </w:tc>
        <w:tc>
          <w:tcPr>
            <w:tcW w:w="415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科目名称</w:t>
            </w:r>
          </w:p>
        </w:tc>
        <w:tc>
          <w:tcPr>
            <w:tcW w:w="1629"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32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19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24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05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225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69" w:hRule="atLeast"/>
        </w:trPr>
        <w:tc>
          <w:tcPr>
            <w:tcW w:w="1149"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415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629"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32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19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24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05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225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12" w:hRule="atLeast"/>
        </w:trPr>
        <w:tc>
          <w:tcPr>
            <w:tcW w:w="1149"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415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629"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32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19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24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05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225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69" w:hRule="atLeast"/>
        </w:trPr>
        <w:tc>
          <w:tcPr>
            <w:tcW w:w="5299"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栏次</w:t>
            </w:r>
          </w:p>
        </w:tc>
        <w:tc>
          <w:tcPr>
            <w:tcW w:w="1629"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1</w:t>
            </w:r>
          </w:p>
        </w:tc>
        <w:tc>
          <w:tcPr>
            <w:tcW w:w="132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2</w:t>
            </w:r>
          </w:p>
        </w:tc>
        <w:tc>
          <w:tcPr>
            <w:tcW w:w="119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3</w:t>
            </w:r>
          </w:p>
        </w:tc>
        <w:tc>
          <w:tcPr>
            <w:tcW w:w="1244"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w:t>
            </w:r>
          </w:p>
        </w:tc>
        <w:tc>
          <w:tcPr>
            <w:tcW w:w="10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w:t>
            </w:r>
          </w:p>
        </w:tc>
        <w:tc>
          <w:tcPr>
            <w:tcW w:w="22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w:t>
            </w:r>
          </w:p>
        </w:tc>
      </w:tr>
      <w:tr>
        <w:tblPrEx>
          <w:tblCellMar>
            <w:top w:w="0" w:type="dxa"/>
            <w:left w:w="108" w:type="dxa"/>
            <w:bottom w:w="0" w:type="dxa"/>
            <w:right w:w="108" w:type="dxa"/>
          </w:tblCellMar>
        </w:tblPrEx>
        <w:trPr>
          <w:trHeight w:val="369" w:hRule="atLeast"/>
        </w:trPr>
        <w:tc>
          <w:tcPr>
            <w:tcW w:w="5299"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auto"/>
                <w:sz w:val="22"/>
                <w:highlight w:val="none"/>
              </w:rPr>
            </w:pPr>
            <w:r>
              <w:rPr>
                <w:rFonts w:hint="eastAsia" w:cs="宋体" w:asciiTheme="minorEastAsia" w:hAnsiTheme="minorEastAsia" w:eastAsiaTheme="minorEastAsia"/>
                <w:color w:val="auto"/>
                <w:kern w:val="0"/>
                <w:sz w:val="22"/>
                <w:highlight w:val="none"/>
              </w:rPr>
              <w:t>合计</w:t>
            </w:r>
          </w:p>
        </w:tc>
        <w:tc>
          <w:tcPr>
            <w:tcW w:w="1629"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inorEastAsia" w:hAnsiTheme="minorEastAsia" w:eastAsiaTheme="minorEastAsia"/>
                <w:b/>
                <w:bCs/>
                <w:color w:val="auto"/>
                <w:sz w:val="22"/>
                <w:highlight w:val="none"/>
                <w:lang w:val="en-US" w:eastAsia="zh-CN"/>
              </w:rPr>
            </w:pPr>
            <w:r>
              <w:rPr>
                <w:rFonts w:hint="eastAsia" w:cs="宋体" w:asciiTheme="minorEastAsia" w:hAnsiTheme="minorEastAsia" w:eastAsiaTheme="minorEastAsia"/>
                <w:b/>
                <w:bCs/>
                <w:color w:val="auto"/>
                <w:kern w:val="0"/>
                <w:sz w:val="22"/>
                <w:highlight w:val="none"/>
                <w:lang w:val="en-US" w:eastAsia="zh-CN"/>
              </w:rPr>
              <w:t>128.20</w:t>
            </w:r>
          </w:p>
        </w:tc>
        <w:tc>
          <w:tcPr>
            <w:tcW w:w="1321"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inorEastAsia" w:hAnsiTheme="minorEastAsia" w:eastAsiaTheme="minorEastAsia"/>
                <w:b/>
                <w:bCs/>
                <w:color w:val="auto"/>
                <w:sz w:val="22"/>
                <w:highlight w:val="none"/>
                <w:lang w:val="en-US" w:eastAsia="zh-CN"/>
              </w:rPr>
            </w:pPr>
            <w:r>
              <w:rPr>
                <w:rFonts w:hint="eastAsia" w:cs="宋体" w:asciiTheme="minorEastAsia" w:hAnsiTheme="minorEastAsia" w:eastAsiaTheme="minorEastAsia"/>
                <w:b/>
                <w:bCs/>
                <w:color w:val="auto"/>
                <w:kern w:val="0"/>
                <w:sz w:val="22"/>
                <w:highlight w:val="none"/>
                <w:lang w:val="en-US" w:eastAsia="zh-CN"/>
              </w:rPr>
              <w:t>113.76</w:t>
            </w:r>
          </w:p>
        </w:tc>
        <w:tc>
          <w:tcPr>
            <w:tcW w:w="1191"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inorEastAsia" w:hAnsiTheme="minorEastAsia" w:eastAsiaTheme="minorEastAsia"/>
                <w:b/>
                <w:bCs/>
                <w:color w:val="auto"/>
                <w:sz w:val="22"/>
                <w:highlight w:val="none"/>
                <w:lang w:val="en-US" w:eastAsia="zh-CN"/>
              </w:rPr>
            </w:pPr>
            <w:r>
              <w:rPr>
                <w:rFonts w:hint="eastAsia" w:cs="宋体" w:asciiTheme="minorEastAsia" w:hAnsiTheme="minorEastAsia" w:eastAsiaTheme="minorEastAsia"/>
                <w:b/>
                <w:bCs/>
                <w:color w:val="auto"/>
                <w:kern w:val="0"/>
                <w:sz w:val="22"/>
                <w:highlight w:val="none"/>
                <w:lang w:val="en-US" w:eastAsia="zh-CN"/>
              </w:rPr>
              <w:t>14.44</w:t>
            </w:r>
          </w:p>
        </w:tc>
        <w:tc>
          <w:tcPr>
            <w:tcW w:w="12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　</w:t>
            </w:r>
          </w:p>
        </w:tc>
        <w:tc>
          <w:tcPr>
            <w:tcW w:w="10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　</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　</w:t>
            </w:r>
          </w:p>
        </w:tc>
      </w:tr>
      <w:tr>
        <w:tblPrEx>
          <w:tblCellMar>
            <w:top w:w="0" w:type="dxa"/>
            <w:left w:w="108" w:type="dxa"/>
            <w:bottom w:w="0" w:type="dxa"/>
            <w:right w:w="108" w:type="dxa"/>
          </w:tblCellMar>
        </w:tblPrEx>
        <w:trPr>
          <w:trHeight w:val="369"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201</w:t>
            </w:r>
          </w:p>
        </w:tc>
        <w:tc>
          <w:tcPr>
            <w:tcW w:w="4150"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一般公共服务支出</w:t>
            </w:r>
          </w:p>
        </w:tc>
        <w:tc>
          <w:tcPr>
            <w:tcW w:w="1629"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0.52</w:t>
            </w:r>
          </w:p>
        </w:tc>
        <w:tc>
          <w:tcPr>
            <w:tcW w:w="132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0.52</w:t>
            </w:r>
          </w:p>
        </w:tc>
        <w:tc>
          <w:tcPr>
            <w:tcW w:w="1191" w:type="dxa"/>
            <w:tcBorders>
              <w:top w:val="nil"/>
              <w:left w:val="nil"/>
              <w:bottom w:val="single" w:color="000000" w:sz="4" w:space="0"/>
              <w:right w:val="single" w:color="000000" w:sz="4" w:space="0"/>
            </w:tcBorders>
            <w:noWrap/>
            <w:vAlign w:val="center"/>
          </w:tcPr>
          <w:p>
            <w:pPr>
              <w:jc w:val="right"/>
              <w:rPr>
                <w:rFonts w:cs="宋体" w:asciiTheme="minorEastAsia" w:hAnsiTheme="minorEastAsia" w:eastAsiaTheme="minorEastAsia"/>
                <w:color w:val="auto"/>
                <w:sz w:val="22"/>
                <w:highlight w:val="none"/>
              </w:rPr>
            </w:pPr>
          </w:p>
        </w:tc>
        <w:tc>
          <w:tcPr>
            <w:tcW w:w="12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0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20129</w:t>
            </w:r>
          </w:p>
        </w:tc>
        <w:tc>
          <w:tcPr>
            <w:tcW w:w="4150"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群众团体事务</w:t>
            </w:r>
          </w:p>
        </w:tc>
        <w:tc>
          <w:tcPr>
            <w:tcW w:w="1629"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0.52</w:t>
            </w:r>
          </w:p>
        </w:tc>
        <w:tc>
          <w:tcPr>
            <w:tcW w:w="132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0.52</w:t>
            </w:r>
          </w:p>
        </w:tc>
        <w:tc>
          <w:tcPr>
            <w:tcW w:w="1191" w:type="dxa"/>
            <w:tcBorders>
              <w:top w:val="nil"/>
              <w:left w:val="nil"/>
              <w:bottom w:val="single" w:color="000000" w:sz="4" w:space="0"/>
              <w:right w:val="single" w:color="000000" w:sz="4" w:space="0"/>
            </w:tcBorders>
            <w:noWrap/>
            <w:vAlign w:val="center"/>
          </w:tcPr>
          <w:p>
            <w:pPr>
              <w:jc w:val="right"/>
              <w:rPr>
                <w:rFonts w:cs="宋体" w:asciiTheme="minorEastAsia" w:hAnsiTheme="minorEastAsia" w:eastAsiaTheme="minorEastAsia"/>
                <w:color w:val="auto"/>
                <w:sz w:val="22"/>
                <w:highlight w:val="none"/>
              </w:rPr>
            </w:pPr>
          </w:p>
        </w:tc>
        <w:tc>
          <w:tcPr>
            <w:tcW w:w="12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0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2012906</w:t>
            </w:r>
          </w:p>
        </w:tc>
        <w:tc>
          <w:tcPr>
            <w:tcW w:w="4150"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 xml:space="preserve">  工会事务</w:t>
            </w:r>
          </w:p>
        </w:tc>
        <w:tc>
          <w:tcPr>
            <w:tcW w:w="1629"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0.52</w:t>
            </w:r>
          </w:p>
        </w:tc>
        <w:tc>
          <w:tcPr>
            <w:tcW w:w="132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0.52</w:t>
            </w:r>
          </w:p>
        </w:tc>
        <w:tc>
          <w:tcPr>
            <w:tcW w:w="1191" w:type="dxa"/>
            <w:tcBorders>
              <w:top w:val="nil"/>
              <w:left w:val="nil"/>
              <w:bottom w:val="single" w:color="000000" w:sz="4" w:space="0"/>
              <w:right w:val="single" w:color="000000" w:sz="4" w:space="0"/>
            </w:tcBorders>
            <w:noWrap/>
            <w:vAlign w:val="center"/>
          </w:tcPr>
          <w:p>
            <w:pPr>
              <w:jc w:val="right"/>
              <w:rPr>
                <w:rFonts w:cs="宋体" w:asciiTheme="minorEastAsia" w:hAnsiTheme="minorEastAsia" w:eastAsiaTheme="minorEastAsia"/>
                <w:color w:val="auto"/>
                <w:sz w:val="22"/>
                <w:highlight w:val="none"/>
              </w:rPr>
            </w:pPr>
          </w:p>
        </w:tc>
        <w:tc>
          <w:tcPr>
            <w:tcW w:w="12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0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208</w:t>
            </w:r>
          </w:p>
        </w:tc>
        <w:tc>
          <w:tcPr>
            <w:tcW w:w="4150"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社会保障和就业支出</w:t>
            </w:r>
          </w:p>
        </w:tc>
        <w:tc>
          <w:tcPr>
            <w:tcW w:w="1629"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7.21</w:t>
            </w:r>
          </w:p>
        </w:tc>
        <w:tc>
          <w:tcPr>
            <w:tcW w:w="132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7.21</w:t>
            </w:r>
          </w:p>
        </w:tc>
        <w:tc>
          <w:tcPr>
            <w:tcW w:w="1191" w:type="dxa"/>
            <w:tcBorders>
              <w:top w:val="nil"/>
              <w:left w:val="nil"/>
              <w:bottom w:val="single" w:color="000000" w:sz="4" w:space="0"/>
              <w:right w:val="single" w:color="000000" w:sz="4" w:space="0"/>
            </w:tcBorders>
            <w:noWrap/>
            <w:vAlign w:val="center"/>
          </w:tcPr>
          <w:p>
            <w:pPr>
              <w:jc w:val="right"/>
              <w:rPr>
                <w:rFonts w:cs="宋体" w:asciiTheme="minorEastAsia" w:hAnsiTheme="minorEastAsia" w:eastAsiaTheme="minorEastAsia"/>
                <w:color w:val="auto"/>
                <w:sz w:val="22"/>
                <w:highlight w:val="none"/>
              </w:rPr>
            </w:pPr>
          </w:p>
        </w:tc>
        <w:tc>
          <w:tcPr>
            <w:tcW w:w="12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0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20805</w:t>
            </w:r>
          </w:p>
        </w:tc>
        <w:tc>
          <w:tcPr>
            <w:tcW w:w="4150"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行政事业单位养老支出</w:t>
            </w:r>
          </w:p>
        </w:tc>
        <w:tc>
          <w:tcPr>
            <w:tcW w:w="1629"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7.21</w:t>
            </w:r>
          </w:p>
        </w:tc>
        <w:tc>
          <w:tcPr>
            <w:tcW w:w="132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7.21</w:t>
            </w:r>
          </w:p>
        </w:tc>
        <w:tc>
          <w:tcPr>
            <w:tcW w:w="1191" w:type="dxa"/>
            <w:tcBorders>
              <w:top w:val="nil"/>
              <w:left w:val="nil"/>
              <w:bottom w:val="single" w:color="000000" w:sz="4" w:space="0"/>
              <w:right w:val="single" w:color="000000" w:sz="4" w:space="0"/>
            </w:tcBorders>
            <w:noWrap/>
            <w:vAlign w:val="center"/>
          </w:tcPr>
          <w:p>
            <w:pPr>
              <w:jc w:val="right"/>
              <w:rPr>
                <w:rFonts w:cs="宋体" w:asciiTheme="minorEastAsia" w:hAnsiTheme="minorEastAsia" w:eastAsiaTheme="minorEastAsia"/>
                <w:color w:val="auto"/>
                <w:sz w:val="22"/>
                <w:highlight w:val="none"/>
              </w:rPr>
            </w:pPr>
          </w:p>
        </w:tc>
        <w:tc>
          <w:tcPr>
            <w:tcW w:w="12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0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2080505</w:t>
            </w:r>
          </w:p>
        </w:tc>
        <w:tc>
          <w:tcPr>
            <w:tcW w:w="4150"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 xml:space="preserve">  机关事业单位基本养老保险缴费支出</w:t>
            </w:r>
          </w:p>
        </w:tc>
        <w:tc>
          <w:tcPr>
            <w:tcW w:w="1629"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7.21</w:t>
            </w:r>
          </w:p>
        </w:tc>
        <w:tc>
          <w:tcPr>
            <w:tcW w:w="132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7.21</w:t>
            </w:r>
          </w:p>
        </w:tc>
        <w:tc>
          <w:tcPr>
            <w:tcW w:w="1191" w:type="dxa"/>
            <w:tcBorders>
              <w:top w:val="nil"/>
              <w:left w:val="nil"/>
              <w:bottom w:val="single" w:color="000000" w:sz="4" w:space="0"/>
              <w:right w:val="single" w:color="000000" w:sz="4" w:space="0"/>
            </w:tcBorders>
            <w:noWrap/>
            <w:vAlign w:val="center"/>
          </w:tcPr>
          <w:p>
            <w:pPr>
              <w:jc w:val="right"/>
              <w:rPr>
                <w:rFonts w:cs="宋体" w:asciiTheme="minorEastAsia" w:hAnsiTheme="minorEastAsia" w:eastAsiaTheme="minorEastAsia"/>
                <w:color w:val="auto"/>
                <w:sz w:val="22"/>
                <w:highlight w:val="none"/>
              </w:rPr>
            </w:pPr>
          </w:p>
        </w:tc>
        <w:tc>
          <w:tcPr>
            <w:tcW w:w="12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0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210</w:t>
            </w:r>
          </w:p>
        </w:tc>
        <w:tc>
          <w:tcPr>
            <w:tcW w:w="4150"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卫生健康支出</w:t>
            </w:r>
          </w:p>
        </w:tc>
        <w:tc>
          <w:tcPr>
            <w:tcW w:w="1629"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3.34</w:t>
            </w:r>
          </w:p>
        </w:tc>
        <w:tc>
          <w:tcPr>
            <w:tcW w:w="132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3.34</w:t>
            </w:r>
          </w:p>
        </w:tc>
        <w:tc>
          <w:tcPr>
            <w:tcW w:w="1191" w:type="dxa"/>
            <w:tcBorders>
              <w:top w:val="nil"/>
              <w:left w:val="nil"/>
              <w:bottom w:val="single" w:color="000000" w:sz="4" w:space="0"/>
              <w:right w:val="single" w:color="000000" w:sz="4" w:space="0"/>
            </w:tcBorders>
            <w:noWrap/>
            <w:vAlign w:val="center"/>
          </w:tcPr>
          <w:p>
            <w:pPr>
              <w:jc w:val="right"/>
              <w:rPr>
                <w:rFonts w:cs="宋体" w:asciiTheme="minorEastAsia" w:hAnsiTheme="minorEastAsia" w:eastAsiaTheme="minorEastAsia"/>
                <w:color w:val="auto"/>
                <w:sz w:val="22"/>
                <w:highlight w:val="none"/>
              </w:rPr>
            </w:pPr>
          </w:p>
        </w:tc>
        <w:tc>
          <w:tcPr>
            <w:tcW w:w="12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0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21011</w:t>
            </w:r>
          </w:p>
        </w:tc>
        <w:tc>
          <w:tcPr>
            <w:tcW w:w="4150"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行政事业单位医疗</w:t>
            </w:r>
          </w:p>
        </w:tc>
        <w:tc>
          <w:tcPr>
            <w:tcW w:w="1629"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3.34</w:t>
            </w:r>
          </w:p>
        </w:tc>
        <w:tc>
          <w:tcPr>
            <w:tcW w:w="132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3.34</w:t>
            </w:r>
          </w:p>
        </w:tc>
        <w:tc>
          <w:tcPr>
            <w:tcW w:w="1191" w:type="dxa"/>
            <w:tcBorders>
              <w:top w:val="nil"/>
              <w:left w:val="nil"/>
              <w:bottom w:val="single" w:color="000000" w:sz="4" w:space="0"/>
              <w:right w:val="single" w:color="000000" w:sz="4" w:space="0"/>
            </w:tcBorders>
            <w:noWrap/>
            <w:vAlign w:val="center"/>
          </w:tcPr>
          <w:p>
            <w:pPr>
              <w:jc w:val="right"/>
              <w:rPr>
                <w:rFonts w:cs="宋体" w:asciiTheme="minorEastAsia" w:hAnsiTheme="minorEastAsia" w:eastAsiaTheme="minorEastAsia"/>
                <w:color w:val="auto"/>
                <w:sz w:val="22"/>
                <w:highlight w:val="none"/>
              </w:rPr>
            </w:pPr>
          </w:p>
        </w:tc>
        <w:tc>
          <w:tcPr>
            <w:tcW w:w="12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0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2101102</w:t>
            </w:r>
          </w:p>
        </w:tc>
        <w:tc>
          <w:tcPr>
            <w:tcW w:w="4150"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 xml:space="preserve">  事业单位医疗</w:t>
            </w:r>
          </w:p>
        </w:tc>
        <w:tc>
          <w:tcPr>
            <w:tcW w:w="1629"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3.34</w:t>
            </w:r>
          </w:p>
        </w:tc>
        <w:tc>
          <w:tcPr>
            <w:tcW w:w="132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3.34</w:t>
            </w:r>
          </w:p>
        </w:tc>
        <w:tc>
          <w:tcPr>
            <w:tcW w:w="1191" w:type="dxa"/>
            <w:tcBorders>
              <w:top w:val="nil"/>
              <w:left w:val="nil"/>
              <w:bottom w:val="single" w:color="000000" w:sz="4" w:space="0"/>
              <w:right w:val="single" w:color="000000" w:sz="4" w:space="0"/>
            </w:tcBorders>
            <w:noWrap/>
            <w:vAlign w:val="center"/>
          </w:tcPr>
          <w:p>
            <w:pPr>
              <w:jc w:val="right"/>
              <w:rPr>
                <w:rFonts w:cs="宋体" w:asciiTheme="minorEastAsia" w:hAnsiTheme="minorEastAsia" w:eastAsiaTheme="minorEastAsia"/>
                <w:color w:val="auto"/>
                <w:sz w:val="22"/>
                <w:highlight w:val="none"/>
              </w:rPr>
            </w:pPr>
          </w:p>
        </w:tc>
        <w:tc>
          <w:tcPr>
            <w:tcW w:w="12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0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212</w:t>
            </w:r>
          </w:p>
        </w:tc>
        <w:tc>
          <w:tcPr>
            <w:tcW w:w="4150"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城乡社区支出</w:t>
            </w:r>
          </w:p>
        </w:tc>
        <w:tc>
          <w:tcPr>
            <w:tcW w:w="1629"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117.13</w:t>
            </w:r>
          </w:p>
        </w:tc>
        <w:tc>
          <w:tcPr>
            <w:tcW w:w="132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102.70</w:t>
            </w:r>
          </w:p>
        </w:tc>
        <w:tc>
          <w:tcPr>
            <w:tcW w:w="119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14.44</w:t>
            </w:r>
          </w:p>
        </w:tc>
        <w:tc>
          <w:tcPr>
            <w:tcW w:w="12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0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21201</w:t>
            </w:r>
          </w:p>
        </w:tc>
        <w:tc>
          <w:tcPr>
            <w:tcW w:w="4150"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城乡社区管理事务</w:t>
            </w:r>
          </w:p>
        </w:tc>
        <w:tc>
          <w:tcPr>
            <w:tcW w:w="1629"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117.13</w:t>
            </w:r>
          </w:p>
        </w:tc>
        <w:tc>
          <w:tcPr>
            <w:tcW w:w="132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102.70</w:t>
            </w:r>
          </w:p>
        </w:tc>
        <w:tc>
          <w:tcPr>
            <w:tcW w:w="119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14.44</w:t>
            </w:r>
          </w:p>
        </w:tc>
        <w:tc>
          <w:tcPr>
            <w:tcW w:w="12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0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2120199</w:t>
            </w:r>
          </w:p>
        </w:tc>
        <w:tc>
          <w:tcPr>
            <w:tcW w:w="4150"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 xml:space="preserve">  其他城乡社区管理事务支出</w:t>
            </w:r>
          </w:p>
        </w:tc>
        <w:tc>
          <w:tcPr>
            <w:tcW w:w="1629"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117.13</w:t>
            </w:r>
          </w:p>
        </w:tc>
        <w:tc>
          <w:tcPr>
            <w:tcW w:w="132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102.70</w:t>
            </w:r>
          </w:p>
        </w:tc>
        <w:tc>
          <w:tcPr>
            <w:tcW w:w="119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auto"/>
                <w:sz w:val="22"/>
                <w:highlight w:val="none"/>
              </w:rPr>
            </w:pPr>
            <w:r>
              <w:rPr>
                <w:rFonts w:hint="eastAsia" w:ascii="宋体" w:hAnsi="宋体" w:cs="宋体"/>
                <w:color w:val="auto"/>
                <w:kern w:val="0"/>
                <w:sz w:val="22"/>
                <w:highlight w:val="none"/>
                <w:lang w:bidi="ar"/>
              </w:rPr>
              <w:t>14.44</w:t>
            </w:r>
          </w:p>
        </w:tc>
        <w:tc>
          <w:tcPr>
            <w:tcW w:w="12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0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73" w:hRule="atLeast"/>
        </w:trPr>
        <w:tc>
          <w:tcPr>
            <w:tcW w:w="13984" w:type="dxa"/>
            <w:gridSpan w:val="8"/>
            <w:tcBorders>
              <w:top w:val="nil"/>
              <w:left w:val="nil"/>
              <w:bottom w:val="nil"/>
              <w:right w:val="nil"/>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注：本表反映</w:t>
            </w:r>
            <w:r>
              <w:rPr>
                <w:rFonts w:hint="eastAsia" w:ascii="宋体" w:hAnsi="宋体" w:cs="宋体"/>
                <w:color w:val="auto"/>
                <w:kern w:val="0"/>
                <w:sz w:val="22"/>
                <w:highlight w:val="none"/>
                <w:lang w:eastAsia="zh-CN"/>
              </w:rPr>
              <w:t>单位</w:t>
            </w:r>
            <w:r>
              <w:rPr>
                <w:rFonts w:hint="eastAsia" w:ascii="宋体" w:hAnsi="宋体" w:cs="宋体"/>
                <w:color w:val="auto"/>
                <w:kern w:val="0"/>
                <w:sz w:val="22"/>
                <w:highlight w:val="none"/>
              </w:rPr>
              <w:t>本年度各项支出情况。本表金额转换为万元时，因四舍五入可能存在尾差。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1803" w:right="1440" w:bottom="1803" w:left="1440" w:header="720" w:footer="720" w:gutter="0"/>
          <w:pgBorders>
            <w:top w:val="none" w:sz="0" w:space="0"/>
            <w:left w:val="none" w:sz="0" w:space="0"/>
            <w:bottom w:val="none" w:sz="0" w:space="0"/>
            <w:right w:val="none" w:sz="0" w:space="0"/>
          </w:pgBorders>
          <w:pgNumType w:fmt="numberInDash"/>
          <w:cols w:space="0" w:num="1"/>
          <w:rtlGutter w:val="0"/>
          <w:docGrid w:linePitch="312" w:charSpace="0"/>
        </w:sectPr>
      </w:pPr>
    </w:p>
    <w:tbl>
      <w:tblPr>
        <w:tblStyle w:val="5"/>
        <w:tblW w:w="13969" w:type="dxa"/>
        <w:tblInd w:w="93" w:type="dxa"/>
        <w:tblLayout w:type="fixed"/>
        <w:tblCellMar>
          <w:top w:w="0" w:type="dxa"/>
          <w:left w:w="108" w:type="dxa"/>
          <w:bottom w:w="0" w:type="dxa"/>
          <w:right w:w="108" w:type="dxa"/>
        </w:tblCellMar>
      </w:tblPr>
      <w:tblGrid>
        <w:gridCol w:w="3028"/>
        <w:gridCol w:w="106"/>
        <w:gridCol w:w="726"/>
        <w:gridCol w:w="989"/>
        <w:gridCol w:w="3540"/>
        <w:gridCol w:w="720"/>
        <w:gridCol w:w="915"/>
        <w:gridCol w:w="1335"/>
        <w:gridCol w:w="1305"/>
        <w:gridCol w:w="1305"/>
      </w:tblGrid>
      <w:tr>
        <w:tblPrEx>
          <w:tblCellMar>
            <w:top w:w="0" w:type="dxa"/>
            <w:left w:w="108" w:type="dxa"/>
            <w:bottom w:w="0" w:type="dxa"/>
            <w:right w:w="108" w:type="dxa"/>
          </w:tblCellMar>
        </w:tblPrEx>
        <w:trPr>
          <w:trHeight w:val="390" w:hRule="atLeast"/>
        </w:trPr>
        <w:tc>
          <w:tcPr>
            <w:tcW w:w="13969" w:type="dxa"/>
            <w:gridSpan w:val="10"/>
            <w:tcBorders>
              <w:top w:val="nil"/>
              <w:left w:val="nil"/>
              <w:bottom w:val="nil"/>
              <w:right w:val="nil"/>
            </w:tcBorders>
            <w:noWrap/>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rPr>
              <w:t>财政拨款收入支出决算总表</w:t>
            </w:r>
          </w:p>
        </w:tc>
      </w:tr>
      <w:tr>
        <w:tblPrEx>
          <w:tblCellMar>
            <w:top w:w="0" w:type="dxa"/>
            <w:left w:w="108" w:type="dxa"/>
            <w:bottom w:w="0" w:type="dxa"/>
            <w:right w:w="108" w:type="dxa"/>
          </w:tblCellMar>
        </w:tblPrEx>
        <w:trPr>
          <w:trHeight w:val="283" w:hRule="atLeast"/>
        </w:trPr>
        <w:tc>
          <w:tcPr>
            <w:tcW w:w="3028" w:type="dxa"/>
            <w:tcBorders>
              <w:top w:val="nil"/>
              <w:left w:val="nil"/>
              <w:bottom w:val="nil"/>
              <w:right w:val="nil"/>
            </w:tcBorders>
            <w:noWrap/>
            <w:vAlign w:val="bottom"/>
          </w:tcPr>
          <w:p>
            <w:pPr>
              <w:rPr>
                <w:rFonts w:ascii="Arial" w:hAnsi="Arial" w:cs="Arial"/>
                <w:color w:val="auto"/>
                <w:sz w:val="18"/>
                <w:szCs w:val="18"/>
                <w:highlight w:val="none"/>
              </w:rPr>
            </w:pPr>
          </w:p>
        </w:tc>
        <w:tc>
          <w:tcPr>
            <w:tcW w:w="832" w:type="dxa"/>
            <w:gridSpan w:val="2"/>
            <w:tcBorders>
              <w:top w:val="nil"/>
              <w:left w:val="nil"/>
              <w:bottom w:val="nil"/>
              <w:right w:val="nil"/>
            </w:tcBorders>
            <w:noWrap/>
            <w:vAlign w:val="bottom"/>
          </w:tcPr>
          <w:p>
            <w:pPr>
              <w:rPr>
                <w:rFonts w:ascii="Arial" w:hAnsi="Arial" w:cs="Arial"/>
                <w:color w:val="auto"/>
                <w:sz w:val="18"/>
                <w:szCs w:val="18"/>
                <w:highlight w:val="none"/>
              </w:rPr>
            </w:pPr>
          </w:p>
        </w:tc>
        <w:tc>
          <w:tcPr>
            <w:tcW w:w="989" w:type="dxa"/>
            <w:tcBorders>
              <w:top w:val="nil"/>
              <w:left w:val="nil"/>
              <w:bottom w:val="nil"/>
              <w:right w:val="nil"/>
            </w:tcBorders>
            <w:noWrap/>
            <w:vAlign w:val="bottom"/>
          </w:tcPr>
          <w:p>
            <w:pPr>
              <w:rPr>
                <w:rFonts w:ascii="Arial" w:hAnsi="Arial" w:cs="Arial"/>
                <w:color w:val="auto"/>
                <w:sz w:val="18"/>
                <w:szCs w:val="18"/>
                <w:highlight w:val="none"/>
              </w:rPr>
            </w:pPr>
          </w:p>
        </w:tc>
        <w:tc>
          <w:tcPr>
            <w:tcW w:w="3540" w:type="dxa"/>
            <w:tcBorders>
              <w:top w:val="nil"/>
              <w:left w:val="nil"/>
              <w:bottom w:val="nil"/>
              <w:right w:val="nil"/>
            </w:tcBorders>
            <w:noWrap/>
            <w:vAlign w:val="bottom"/>
          </w:tcPr>
          <w:p>
            <w:pPr>
              <w:rPr>
                <w:rFonts w:ascii="Arial" w:hAnsi="Arial" w:cs="Arial"/>
                <w:color w:val="auto"/>
                <w:sz w:val="18"/>
                <w:szCs w:val="18"/>
                <w:highlight w:val="none"/>
              </w:rPr>
            </w:pPr>
          </w:p>
        </w:tc>
        <w:tc>
          <w:tcPr>
            <w:tcW w:w="720" w:type="dxa"/>
            <w:tcBorders>
              <w:top w:val="nil"/>
              <w:left w:val="nil"/>
              <w:bottom w:val="nil"/>
              <w:right w:val="nil"/>
            </w:tcBorders>
            <w:noWrap/>
            <w:vAlign w:val="bottom"/>
          </w:tcPr>
          <w:p>
            <w:pPr>
              <w:rPr>
                <w:rFonts w:ascii="Arial" w:hAnsi="Arial" w:cs="Arial"/>
                <w:color w:val="auto"/>
                <w:sz w:val="18"/>
                <w:szCs w:val="18"/>
                <w:highlight w:val="none"/>
              </w:rPr>
            </w:pPr>
          </w:p>
        </w:tc>
        <w:tc>
          <w:tcPr>
            <w:tcW w:w="915" w:type="dxa"/>
            <w:tcBorders>
              <w:top w:val="nil"/>
              <w:left w:val="nil"/>
              <w:bottom w:val="nil"/>
              <w:right w:val="nil"/>
            </w:tcBorders>
            <w:noWrap/>
            <w:vAlign w:val="bottom"/>
          </w:tcPr>
          <w:p>
            <w:pPr>
              <w:rPr>
                <w:rFonts w:ascii="Arial" w:hAnsi="Arial" w:cs="Arial"/>
                <w:color w:val="auto"/>
                <w:sz w:val="18"/>
                <w:szCs w:val="18"/>
                <w:highlight w:val="none"/>
              </w:rPr>
            </w:pPr>
          </w:p>
        </w:tc>
        <w:tc>
          <w:tcPr>
            <w:tcW w:w="1335" w:type="dxa"/>
            <w:tcBorders>
              <w:top w:val="nil"/>
              <w:left w:val="nil"/>
              <w:bottom w:val="nil"/>
              <w:right w:val="nil"/>
            </w:tcBorders>
            <w:noWrap/>
            <w:vAlign w:val="bottom"/>
          </w:tcPr>
          <w:p>
            <w:pPr>
              <w:rPr>
                <w:rFonts w:ascii="Arial" w:hAnsi="Arial" w:cs="Arial"/>
                <w:color w:val="auto"/>
                <w:sz w:val="18"/>
                <w:szCs w:val="18"/>
                <w:highlight w:val="none"/>
              </w:rPr>
            </w:pPr>
          </w:p>
        </w:tc>
        <w:tc>
          <w:tcPr>
            <w:tcW w:w="2610" w:type="dxa"/>
            <w:gridSpan w:val="2"/>
            <w:tcBorders>
              <w:top w:val="nil"/>
              <w:left w:val="nil"/>
              <w:bottom w:val="nil"/>
              <w:right w:val="nil"/>
            </w:tcBorders>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rPr>
              <w:t>公开04表</w:t>
            </w:r>
          </w:p>
        </w:tc>
      </w:tr>
      <w:tr>
        <w:tblPrEx>
          <w:tblCellMar>
            <w:top w:w="0" w:type="dxa"/>
            <w:left w:w="108" w:type="dxa"/>
            <w:bottom w:w="0" w:type="dxa"/>
            <w:right w:w="108" w:type="dxa"/>
          </w:tblCellMar>
        </w:tblPrEx>
        <w:trPr>
          <w:trHeight w:val="283" w:hRule="atLeast"/>
        </w:trPr>
        <w:tc>
          <w:tcPr>
            <w:tcW w:w="3028" w:type="dxa"/>
            <w:tcBorders>
              <w:top w:val="nil"/>
              <w:left w:val="nil"/>
              <w:bottom w:val="nil"/>
              <w:right w:val="nil"/>
            </w:tcBorders>
            <w:noWrap/>
            <w:vAlign w:val="bottom"/>
          </w:tcPr>
          <w:p>
            <w:pPr>
              <w:widowControl/>
              <w:jc w:val="lef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lang w:eastAsia="zh-CN"/>
              </w:rPr>
              <w:t>单位</w:t>
            </w:r>
            <w:r>
              <w:rPr>
                <w:rFonts w:hint="eastAsia" w:ascii="宋体" w:hAnsi="宋体" w:cs="宋体"/>
                <w:color w:val="auto"/>
                <w:kern w:val="0"/>
                <w:sz w:val="18"/>
                <w:szCs w:val="18"/>
                <w:highlight w:val="none"/>
              </w:rPr>
              <w:t>：许昌</w:t>
            </w:r>
            <w:r>
              <w:rPr>
                <w:rFonts w:hint="eastAsia" w:ascii="宋体" w:hAnsi="宋体" w:cs="宋体"/>
                <w:color w:val="auto"/>
                <w:kern w:val="0"/>
                <w:sz w:val="18"/>
                <w:szCs w:val="18"/>
                <w:highlight w:val="none"/>
                <w:lang w:eastAsia="zh-CN"/>
              </w:rPr>
              <w:t>市物业</w:t>
            </w:r>
            <w:r>
              <w:rPr>
                <w:rFonts w:hint="eastAsia" w:ascii="宋体" w:hAnsi="宋体" w:cs="宋体"/>
                <w:color w:val="auto"/>
                <w:kern w:val="0"/>
                <w:sz w:val="18"/>
                <w:szCs w:val="18"/>
                <w:highlight w:val="none"/>
              </w:rPr>
              <w:t>管理中心</w:t>
            </w:r>
          </w:p>
        </w:tc>
        <w:tc>
          <w:tcPr>
            <w:tcW w:w="832" w:type="dxa"/>
            <w:gridSpan w:val="2"/>
            <w:tcBorders>
              <w:top w:val="nil"/>
              <w:left w:val="nil"/>
              <w:bottom w:val="nil"/>
              <w:right w:val="nil"/>
            </w:tcBorders>
            <w:noWrap/>
            <w:vAlign w:val="bottom"/>
          </w:tcPr>
          <w:p>
            <w:pPr>
              <w:rPr>
                <w:rFonts w:ascii="Arial" w:hAnsi="Arial" w:cs="Arial"/>
                <w:color w:val="auto"/>
                <w:sz w:val="18"/>
                <w:szCs w:val="18"/>
                <w:highlight w:val="none"/>
              </w:rPr>
            </w:pPr>
          </w:p>
        </w:tc>
        <w:tc>
          <w:tcPr>
            <w:tcW w:w="989" w:type="dxa"/>
            <w:tcBorders>
              <w:top w:val="nil"/>
              <w:left w:val="nil"/>
              <w:bottom w:val="nil"/>
              <w:right w:val="nil"/>
            </w:tcBorders>
            <w:noWrap/>
            <w:vAlign w:val="bottom"/>
          </w:tcPr>
          <w:p>
            <w:pPr>
              <w:rPr>
                <w:rFonts w:ascii="Arial" w:hAnsi="Arial" w:cs="Arial"/>
                <w:color w:val="auto"/>
                <w:sz w:val="18"/>
                <w:szCs w:val="18"/>
                <w:highlight w:val="none"/>
              </w:rPr>
            </w:pPr>
          </w:p>
        </w:tc>
        <w:tc>
          <w:tcPr>
            <w:tcW w:w="3540" w:type="dxa"/>
            <w:tcBorders>
              <w:top w:val="nil"/>
              <w:left w:val="nil"/>
              <w:bottom w:val="nil"/>
              <w:right w:val="nil"/>
            </w:tcBorders>
            <w:noWrap/>
            <w:vAlign w:val="bottom"/>
          </w:tcPr>
          <w:p>
            <w:pPr>
              <w:rPr>
                <w:rFonts w:ascii="Arial" w:hAnsi="Arial" w:cs="Arial"/>
                <w:color w:val="auto"/>
                <w:sz w:val="18"/>
                <w:szCs w:val="18"/>
                <w:highlight w:val="none"/>
              </w:rPr>
            </w:pPr>
          </w:p>
        </w:tc>
        <w:tc>
          <w:tcPr>
            <w:tcW w:w="720" w:type="dxa"/>
            <w:tcBorders>
              <w:top w:val="nil"/>
              <w:left w:val="nil"/>
              <w:bottom w:val="nil"/>
              <w:right w:val="nil"/>
            </w:tcBorders>
            <w:noWrap/>
            <w:vAlign w:val="bottom"/>
          </w:tcPr>
          <w:p>
            <w:pPr>
              <w:rPr>
                <w:rFonts w:ascii="Arial" w:hAnsi="Arial" w:cs="Arial"/>
                <w:color w:val="auto"/>
                <w:sz w:val="18"/>
                <w:szCs w:val="18"/>
                <w:highlight w:val="none"/>
              </w:rPr>
            </w:pPr>
          </w:p>
        </w:tc>
        <w:tc>
          <w:tcPr>
            <w:tcW w:w="915" w:type="dxa"/>
            <w:tcBorders>
              <w:top w:val="nil"/>
              <w:left w:val="nil"/>
              <w:bottom w:val="nil"/>
              <w:right w:val="nil"/>
            </w:tcBorders>
            <w:noWrap/>
            <w:vAlign w:val="bottom"/>
          </w:tcPr>
          <w:p>
            <w:pPr>
              <w:rPr>
                <w:rFonts w:ascii="Arial" w:hAnsi="Arial" w:cs="Arial"/>
                <w:color w:val="auto"/>
                <w:sz w:val="18"/>
                <w:szCs w:val="18"/>
                <w:highlight w:val="none"/>
              </w:rPr>
            </w:pPr>
          </w:p>
        </w:tc>
        <w:tc>
          <w:tcPr>
            <w:tcW w:w="1335" w:type="dxa"/>
            <w:tcBorders>
              <w:top w:val="nil"/>
              <w:left w:val="nil"/>
              <w:bottom w:val="nil"/>
              <w:right w:val="nil"/>
            </w:tcBorders>
            <w:noWrap/>
            <w:vAlign w:val="bottom"/>
          </w:tcPr>
          <w:p>
            <w:pPr>
              <w:rPr>
                <w:rFonts w:ascii="Arial" w:hAnsi="Arial" w:cs="Arial"/>
                <w:color w:val="auto"/>
                <w:sz w:val="18"/>
                <w:szCs w:val="18"/>
                <w:highlight w:val="none"/>
              </w:rPr>
            </w:pPr>
          </w:p>
        </w:tc>
        <w:tc>
          <w:tcPr>
            <w:tcW w:w="2610" w:type="dxa"/>
            <w:gridSpan w:val="2"/>
            <w:tcBorders>
              <w:top w:val="nil"/>
              <w:left w:val="nil"/>
              <w:bottom w:val="nil"/>
              <w:right w:val="nil"/>
            </w:tcBorders>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rPr>
              <w:t>金额单位：万元</w:t>
            </w:r>
          </w:p>
        </w:tc>
      </w:tr>
      <w:tr>
        <w:tblPrEx>
          <w:tblCellMar>
            <w:top w:w="0" w:type="dxa"/>
            <w:left w:w="108" w:type="dxa"/>
            <w:bottom w:w="0" w:type="dxa"/>
            <w:right w:w="108" w:type="dxa"/>
          </w:tblCellMar>
        </w:tblPrEx>
        <w:trPr>
          <w:trHeight w:val="369" w:hRule="atLeast"/>
        </w:trPr>
        <w:tc>
          <w:tcPr>
            <w:tcW w:w="4849"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收     入</w:t>
            </w:r>
          </w:p>
        </w:tc>
        <w:tc>
          <w:tcPr>
            <w:tcW w:w="9120"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支     出</w:t>
            </w:r>
          </w:p>
        </w:tc>
      </w:tr>
      <w:tr>
        <w:tblPrEx>
          <w:tblCellMar>
            <w:top w:w="0" w:type="dxa"/>
            <w:left w:w="108" w:type="dxa"/>
            <w:bottom w:w="0" w:type="dxa"/>
            <w:right w:w="108" w:type="dxa"/>
          </w:tblCellMar>
        </w:tblPrEx>
        <w:trPr>
          <w:trHeight w:val="369" w:hRule="atLeast"/>
        </w:trPr>
        <w:tc>
          <w:tcPr>
            <w:tcW w:w="3134" w:type="dxa"/>
            <w:gridSpan w:val="2"/>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w:t>
            </w:r>
          </w:p>
        </w:tc>
        <w:tc>
          <w:tcPr>
            <w:tcW w:w="726"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行次</w:t>
            </w:r>
          </w:p>
        </w:tc>
        <w:tc>
          <w:tcPr>
            <w:tcW w:w="989"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金额</w:t>
            </w:r>
          </w:p>
        </w:tc>
        <w:tc>
          <w:tcPr>
            <w:tcW w:w="354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w:t>
            </w:r>
          </w:p>
        </w:tc>
        <w:tc>
          <w:tcPr>
            <w:tcW w:w="72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行次</w:t>
            </w:r>
          </w:p>
        </w:tc>
        <w:tc>
          <w:tcPr>
            <w:tcW w:w="91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合计</w:t>
            </w:r>
          </w:p>
        </w:tc>
        <w:tc>
          <w:tcPr>
            <w:tcW w:w="133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一般公共预算财政拨款</w:t>
            </w:r>
          </w:p>
        </w:tc>
        <w:tc>
          <w:tcPr>
            <w:tcW w:w="130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政府性基金预算财政拨款</w:t>
            </w:r>
          </w:p>
        </w:tc>
        <w:tc>
          <w:tcPr>
            <w:tcW w:w="130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国有资本经营预算财政拨款</w:t>
            </w:r>
          </w:p>
        </w:tc>
      </w:tr>
      <w:tr>
        <w:tblPrEx>
          <w:tblCellMar>
            <w:top w:w="0" w:type="dxa"/>
            <w:left w:w="108" w:type="dxa"/>
            <w:bottom w:w="0" w:type="dxa"/>
            <w:right w:w="108" w:type="dxa"/>
          </w:tblCellMar>
        </w:tblPrEx>
        <w:trPr>
          <w:trHeight w:val="652" w:hRule="atLeast"/>
        </w:trPr>
        <w:tc>
          <w:tcPr>
            <w:tcW w:w="3134" w:type="dxa"/>
            <w:gridSpan w:val="2"/>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72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989"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354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72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91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33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30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30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栏次</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989"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w:t>
            </w:r>
          </w:p>
        </w:tc>
        <w:tc>
          <w:tcPr>
            <w:tcW w:w="354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栏次</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91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w:t>
            </w:r>
          </w:p>
        </w:tc>
        <w:tc>
          <w:tcPr>
            <w:tcW w:w="13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w:t>
            </w:r>
          </w:p>
        </w:tc>
        <w:tc>
          <w:tcPr>
            <w:tcW w:w="130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w:t>
            </w:r>
          </w:p>
        </w:tc>
        <w:tc>
          <w:tcPr>
            <w:tcW w:w="130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一、一般公共预算财政拨款</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124.55</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一、一般公共服务支出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33</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0.52</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0.52</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二、政府性基金预算财政拨款</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二、外交支出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34</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三、国有资本经营财政拨款</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三、国防支出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35</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四、公共安全支出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36</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五、教育支出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37</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六、科学技术支出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38</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7</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七、文化旅游体育与传媒支出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39</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8</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八、社会保障和就业支出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40</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7.21</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7.21</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9</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九、卫生健康支出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41</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3.34</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3.34</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10</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十、节能环保支出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42</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11</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十一、城乡社区支出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43</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117.13</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117.13</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12</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十二、农林水支出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44</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13</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十三、交通运输支出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45</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14</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十四、资源勘探工业信息等支出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46</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15</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十五、商业服务业等支出</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47</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26"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16</w:t>
            </w:r>
          </w:p>
        </w:tc>
        <w:tc>
          <w:tcPr>
            <w:tcW w:w="989" w:type="dxa"/>
            <w:tcBorders>
              <w:top w:val="single" w:color="000000" w:sz="4" w:space="0"/>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40" w:type="dxa"/>
            <w:tcBorders>
              <w:top w:val="single" w:color="000000" w:sz="4" w:space="0"/>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十六、金融支出</w:t>
            </w:r>
          </w:p>
        </w:tc>
        <w:tc>
          <w:tcPr>
            <w:tcW w:w="7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48</w:t>
            </w:r>
          </w:p>
        </w:tc>
        <w:tc>
          <w:tcPr>
            <w:tcW w:w="915" w:type="dxa"/>
            <w:tcBorders>
              <w:top w:val="single" w:color="000000" w:sz="4" w:space="0"/>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35" w:type="dxa"/>
            <w:tcBorders>
              <w:top w:val="single" w:color="000000" w:sz="4" w:space="0"/>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single" w:color="000000" w:sz="4" w:space="0"/>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single" w:color="000000" w:sz="4" w:space="0"/>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17</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十七、援助其他地区支出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49</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18</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十八、自然资源海洋气象等支出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50</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19</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十九、住房保障支出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51</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20</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二十、粮油物资储备支出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52</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21</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二十一、国有资本经营预算支出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53</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22</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二十二、灾害防治及应急管理支出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54</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23</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二十三、其他支出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55</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24</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二十四、债务还本支出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56</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25</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二十五、债务付息支出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57</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26</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二十六、抗疫特别国债安排的支出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58</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本年收入合计</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27</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124.55</w:t>
            </w:r>
          </w:p>
        </w:tc>
        <w:tc>
          <w:tcPr>
            <w:tcW w:w="354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本年支出合计</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59</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128.20</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128.20</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年初财政拨款结转和结余</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28</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3.65</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年末财政拨款结转和结余</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60</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一般公共预算财政拨款</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29</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3.65</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61</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政府性基金预算财政拨款</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30</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62</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国有资本经营预算财政拨款</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31</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63</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总计</w:t>
            </w:r>
          </w:p>
        </w:tc>
        <w:tc>
          <w:tcPr>
            <w:tcW w:w="726" w:type="dxa"/>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32</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128.20</w:t>
            </w:r>
          </w:p>
        </w:tc>
        <w:tc>
          <w:tcPr>
            <w:tcW w:w="354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总计</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64</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128.20</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128.20</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882" w:hRule="atLeast"/>
        </w:trPr>
        <w:tc>
          <w:tcPr>
            <w:tcW w:w="13969" w:type="dxa"/>
            <w:gridSpan w:val="10"/>
            <w:tcBorders>
              <w:top w:val="nil"/>
              <w:left w:val="nil"/>
              <w:bottom w:val="nil"/>
              <w:right w:val="nil"/>
            </w:tcBorders>
            <w:noWrap/>
            <w:vAlign w:val="center"/>
          </w:tcPr>
          <w:p>
            <w:pPr>
              <w:widowControl/>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注：本表反映</w:t>
            </w:r>
            <w:r>
              <w:rPr>
                <w:rFonts w:hint="eastAsia" w:ascii="宋体" w:hAnsi="宋体" w:cs="宋体"/>
                <w:color w:val="auto"/>
                <w:kern w:val="0"/>
                <w:sz w:val="22"/>
                <w:highlight w:val="none"/>
                <w:lang w:eastAsia="zh-CN"/>
              </w:rPr>
              <w:t>单位</w:t>
            </w:r>
            <w:r>
              <w:rPr>
                <w:rFonts w:hint="eastAsia" w:ascii="宋体" w:hAnsi="宋体" w:cs="宋体"/>
                <w:color w:val="auto"/>
                <w:kern w:val="0"/>
                <w:sz w:val="22"/>
                <w:highlight w:val="none"/>
              </w:rPr>
              <w:t>本年度一般公共预算财政拨款、政府性基金预算财政拨款和国有资本经营预算财政拨款的总收支和年末结转结余情况。</w:t>
            </w:r>
          </w:p>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本表金额转换为万元时，因四舍五入可能存在尾差。</w:t>
            </w:r>
          </w:p>
        </w:tc>
      </w:tr>
    </w:tbl>
    <w:p>
      <w:pPr>
        <w:rPr>
          <w:rFonts w:ascii="宋体" w:hAnsi="宋体" w:cs="宋体"/>
          <w:color w:val="auto"/>
          <w:sz w:val="22"/>
          <w:highlight w:val="none"/>
        </w:rPr>
        <w:sectPr>
          <w:pgSz w:w="16838" w:h="11906" w:orient="landscape"/>
          <w:pgMar w:top="1803" w:right="1440" w:bottom="1803" w:left="1440" w:header="720" w:footer="720" w:gutter="0"/>
          <w:pgBorders>
            <w:top w:val="none" w:sz="0" w:space="0"/>
            <w:left w:val="none" w:sz="0" w:space="0"/>
            <w:bottom w:val="none" w:sz="0" w:space="0"/>
            <w:right w:val="none" w:sz="0" w:space="0"/>
          </w:pgBorders>
          <w:pgNumType w:fmt="numberInDash"/>
          <w:cols w:space="0" w:num="1"/>
          <w:rtlGutter w:val="0"/>
          <w:docGrid w:linePitch="312" w:charSpace="0"/>
        </w:sectPr>
      </w:pPr>
    </w:p>
    <w:tbl>
      <w:tblPr>
        <w:tblStyle w:val="5"/>
        <w:tblW w:w="13954" w:type="dxa"/>
        <w:tblInd w:w="93" w:type="dxa"/>
        <w:tblLayout w:type="fixed"/>
        <w:tblCellMar>
          <w:top w:w="0" w:type="dxa"/>
          <w:left w:w="108" w:type="dxa"/>
          <w:bottom w:w="0" w:type="dxa"/>
          <w:right w:w="108" w:type="dxa"/>
        </w:tblCellMar>
      </w:tblPr>
      <w:tblGrid>
        <w:gridCol w:w="1506"/>
        <w:gridCol w:w="4618"/>
        <w:gridCol w:w="2265"/>
        <w:gridCol w:w="834"/>
        <w:gridCol w:w="1488"/>
        <w:gridCol w:w="378"/>
        <w:gridCol w:w="2865"/>
      </w:tblGrid>
      <w:tr>
        <w:tblPrEx>
          <w:tblCellMar>
            <w:top w:w="0" w:type="dxa"/>
            <w:left w:w="108" w:type="dxa"/>
            <w:bottom w:w="0" w:type="dxa"/>
            <w:right w:w="108" w:type="dxa"/>
          </w:tblCellMar>
        </w:tblPrEx>
        <w:trPr>
          <w:trHeight w:val="504" w:hRule="atLeast"/>
        </w:trPr>
        <w:tc>
          <w:tcPr>
            <w:tcW w:w="13954" w:type="dxa"/>
            <w:gridSpan w:val="7"/>
            <w:tcBorders>
              <w:top w:val="nil"/>
              <w:left w:val="nil"/>
              <w:bottom w:val="nil"/>
              <w:right w:val="nil"/>
            </w:tcBorders>
            <w:noWrap/>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rPr>
              <w:t>一般公共预算财政拨款支出决算表</w:t>
            </w:r>
          </w:p>
        </w:tc>
      </w:tr>
      <w:tr>
        <w:tblPrEx>
          <w:tblCellMar>
            <w:top w:w="0" w:type="dxa"/>
            <w:left w:w="108" w:type="dxa"/>
            <w:bottom w:w="0" w:type="dxa"/>
            <w:right w:w="108" w:type="dxa"/>
          </w:tblCellMar>
        </w:tblPrEx>
        <w:trPr>
          <w:trHeight w:val="255" w:hRule="atLeast"/>
        </w:trPr>
        <w:tc>
          <w:tcPr>
            <w:tcW w:w="6124" w:type="dxa"/>
            <w:gridSpan w:val="2"/>
            <w:tcBorders>
              <w:top w:val="nil"/>
              <w:left w:val="nil"/>
              <w:bottom w:val="nil"/>
              <w:right w:val="nil"/>
            </w:tcBorders>
            <w:noWrap/>
            <w:vAlign w:val="bottom"/>
          </w:tcPr>
          <w:p>
            <w:pPr>
              <w:rPr>
                <w:rFonts w:ascii="Arial" w:hAnsi="Arial" w:cs="Arial"/>
                <w:color w:val="auto"/>
                <w:sz w:val="18"/>
                <w:szCs w:val="18"/>
                <w:highlight w:val="none"/>
              </w:rPr>
            </w:pPr>
          </w:p>
        </w:tc>
        <w:tc>
          <w:tcPr>
            <w:tcW w:w="3099" w:type="dxa"/>
            <w:gridSpan w:val="2"/>
            <w:tcBorders>
              <w:top w:val="nil"/>
              <w:left w:val="nil"/>
              <w:bottom w:val="nil"/>
              <w:right w:val="nil"/>
            </w:tcBorders>
            <w:noWrap/>
            <w:vAlign w:val="bottom"/>
          </w:tcPr>
          <w:p>
            <w:pPr>
              <w:rPr>
                <w:rFonts w:ascii="Arial" w:hAnsi="Arial" w:cs="Arial"/>
                <w:color w:val="auto"/>
                <w:sz w:val="18"/>
                <w:szCs w:val="18"/>
                <w:highlight w:val="none"/>
              </w:rPr>
            </w:pPr>
          </w:p>
        </w:tc>
        <w:tc>
          <w:tcPr>
            <w:tcW w:w="1488" w:type="dxa"/>
            <w:tcBorders>
              <w:top w:val="nil"/>
              <w:left w:val="nil"/>
              <w:bottom w:val="nil"/>
              <w:right w:val="nil"/>
            </w:tcBorders>
            <w:noWrap/>
            <w:vAlign w:val="bottom"/>
          </w:tcPr>
          <w:p>
            <w:pPr>
              <w:rPr>
                <w:rFonts w:ascii="Arial" w:hAnsi="Arial" w:cs="Arial"/>
                <w:color w:val="auto"/>
                <w:sz w:val="18"/>
                <w:szCs w:val="18"/>
                <w:highlight w:val="none"/>
              </w:rPr>
            </w:pPr>
          </w:p>
        </w:tc>
        <w:tc>
          <w:tcPr>
            <w:tcW w:w="3243" w:type="dxa"/>
            <w:gridSpan w:val="2"/>
            <w:tcBorders>
              <w:top w:val="nil"/>
              <w:left w:val="nil"/>
              <w:bottom w:val="nil"/>
              <w:right w:val="nil"/>
            </w:tcBorders>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rPr>
              <w:t>公开05表</w:t>
            </w:r>
          </w:p>
        </w:tc>
      </w:tr>
      <w:tr>
        <w:tblPrEx>
          <w:tblCellMar>
            <w:top w:w="0" w:type="dxa"/>
            <w:left w:w="108" w:type="dxa"/>
            <w:bottom w:w="0" w:type="dxa"/>
            <w:right w:w="108" w:type="dxa"/>
          </w:tblCellMar>
        </w:tblPrEx>
        <w:trPr>
          <w:trHeight w:val="255" w:hRule="atLeast"/>
        </w:trPr>
        <w:tc>
          <w:tcPr>
            <w:tcW w:w="6124" w:type="dxa"/>
            <w:gridSpan w:val="2"/>
            <w:tcBorders>
              <w:top w:val="nil"/>
              <w:left w:val="nil"/>
              <w:bottom w:val="nil"/>
              <w:right w:val="nil"/>
            </w:tcBorders>
            <w:noWrap/>
            <w:vAlign w:val="bottom"/>
          </w:tcPr>
          <w:p>
            <w:pPr>
              <w:widowControl/>
              <w:jc w:val="lef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lang w:eastAsia="zh-CN"/>
              </w:rPr>
              <w:t>单位</w:t>
            </w:r>
            <w:r>
              <w:rPr>
                <w:rFonts w:hint="eastAsia" w:ascii="宋体" w:hAnsi="宋体" w:cs="宋体"/>
                <w:color w:val="auto"/>
                <w:kern w:val="0"/>
                <w:sz w:val="18"/>
                <w:szCs w:val="18"/>
                <w:highlight w:val="none"/>
              </w:rPr>
              <w:t>：许昌市</w:t>
            </w:r>
            <w:r>
              <w:rPr>
                <w:rFonts w:hint="eastAsia" w:ascii="宋体" w:hAnsi="宋体" w:cs="宋体"/>
                <w:color w:val="auto"/>
                <w:kern w:val="0"/>
                <w:sz w:val="18"/>
                <w:szCs w:val="18"/>
                <w:highlight w:val="none"/>
                <w:lang w:eastAsia="zh-CN"/>
              </w:rPr>
              <w:t>物业</w:t>
            </w:r>
            <w:r>
              <w:rPr>
                <w:rFonts w:hint="eastAsia" w:ascii="宋体" w:hAnsi="宋体" w:cs="宋体"/>
                <w:color w:val="auto"/>
                <w:kern w:val="0"/>
                <w:sz w:val="18"/>
                <w:szCs w:val="18"/>
                <w:highlight w:val="none"/>
              </w:rPr>
              <w:t>管理中心</w:t>
            </w:r>
          </w:p>
        </w:tc>
        <w:tc>
          <w:tcPr>
            <w:tcW w:w="3099" w:type="dxa"/>
            <w:gridSpan w:val="2"/>
            <w:tcBorders>
              <w:top w:val="nil"/>
              <w:left w:val="nil"/>
              <w:bottom w:val="nil"/>
              <w:right w:val="nil"/>
            </w:tcBorders>
            <w:noWrap/>
            <w:vAlign w:val="bottom"/>
          </w:tcPr>
          <w:p>
            <w:pPr>
              <w:rPr>
                <w:rFonts w:ascii="Arial" w:hAnsi="Arial" w:cs="Arial"/>
                <w:color w:val="auto"/>
                <w:sz w:val="18"/>
                <w:szCs w:val="18"/>
                <w:highlight w:val="none"/>
              </w:rPr>
            </w:pPr>
          </w:p>
        </w:tc>
        <w:tc>
          <w:tcPr>
            <w:tcW w:w="1488" w:type="dxa"/>
            <w:tcBorders>
              <w:top w:val="nil"/>
              <w:left w:val="nil"/>
              <w:bottom w:val="nil"/>
              <w:right w:val="nil"/>
            </w:tcBorders>
            <w:noWrap/>
            <w:vAlign w:val="bottom"/>
          </w:tcPr>
          <w:p>
            <w:pPr>
              <w:rPr>
                <w:rFonts w:ascii="Arial" w:hAnsi="Arial" w:cs="Arial"/>
                <w:color w:val="auto"/>
                <w:sz w:val="18"/>
                <w:szCs w:val="18"/>
                <w:highlight w:val="none"/>
              </w:rPr>
            </w:pPr>
          </w:p>
        </w:tc>
        <w:tc>
          <w:tcPr>
            <w:tcW w:w="3243" w:type="dxa"/>
            <w:gridSpan w:val="2"/>
            <w:tcBorders>
              <w:top w:val="nil"/>
              <w:left w:val="nil"/>
              <w:bottom w:val="nil"/>
              <w:right w:val="nil"/>
            </w:tcBorders>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rPr>
              <w:t>金额单位：万元</w:t>
            </w:r>
          </w:p>
        </w:tc>
      </w:tr>
      <w:tr>
        <w:tblPrEx>
          <w:tblCellMar>
            <w:top w:w="0" w:type="dxa"/>
            <w:left w:w="108" w:type="dxa"/>
            <w:bottom w:w="0" w:type="dxa"/>
            <w:right w:w="108" w:type="dxa"/>
          </w:tblCellMar>
        </w:tblPrEx>
        <w:trPr>
          <w:trHeight w:val="369" w:hRule="atLeast"/>
        </w:trPr>
        <w:tc>
          <w:tcPr>
            <w:tcW w:w="61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w:t>
            </w:r>
          </w:p>
        </w:tc>
        <w:tc>
          <w:tcPr>
            <w:tcW w:w="7830" w:type="dxa"/>
            <w:gridSpan w:val="5"/>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本年支出</w:t>
            </w:r>
          </w:p>
        </w:tc>
      </w:tr>
      <w:tr>
        <w:tblPrEx>
          <w:tblCellMar>
            <w:top w:w="0" w:type="dxa"/>
            <w:left w:w="108" w:type="dxa"/>
            <w:bottom w:w="0" w:type="dxa"/>
            <w:right w:w="108" w:type="dxa"/>
          </w:tblCellMar>
        </w:tblPrEx>
        <w:trPr>
          <w:trHeight w:val="369" w:hRule="atLeast"/>
        </w:trPr>
        <w:tc>
          <w:tcPr>
            <w:tcW w:w="1506"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2"/>
                <w:highlight w:val="none"/>
              </w:rPr>
            </w:pPr>
            <w:r>
              <w:rPr>
                <w:rFonts w:hint="eastAsia" w:ascii="宋体" w:hAnsi="宋体" w:cs="宋体"/>
                <w:color w:val="auto"/>
                <w:kern w:val="0"/>
                <w:sz w:val="22"/>
                <w:highlight w:val="none"/>
              </w:rPr>
              <w:t>功能分类</w:t>
            </w:r>
          </w:p>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科目编码</w:t>
            </w:r>
          </w:p>
        </w:tc>
        <w:tc>
          <w:tcPr>
            <w:tcW w:w="4618"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科目名称</w:t>
            </w:r>
          </w:p>
        </w:tc>
        <w:tc>
          <w:tcPr>
            <w:tcW w:w="226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小计</w:t>
            </w:r>
          </w:p>
        </w:tc>
        <w:tc>
          <w:tcPr>
            <w:tcW w:w="2700" w:type="dxa"/>
            <w:gridSpan w:val="3"/>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基本支出</w:t>
            </w:r>
          </w:p>
        </w:tc>
        <w:tc>
          <w:tcPr>
            <w:tcW w:w="286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项目支出</w:t>
            </w:r>
          </w:p>
        </w:tc>
      </w:tr>
      <w:tr>
        <w:tblPrEx>
          <w:tblCellMar>
            <w:top w:w="0" w:type="dxa"/>
            <w:left w:w="108" w:type="dxa"/>
            <w:bottom w:w="0" w:type="dxa"/>
            <w:right w:w="108" w:type="dxa"/>
          </w:tblCellMar>
        </w:tblPrEx>
        <w:trPr>
          <w:trHeight w:val="369" w:hRule="atLeast"/>
        </w:trPr>
        <w:tc>
          <w:tcPr>
            <w:tcW w:w="1506"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461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226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2700" w:type="dxa"/>
            <w:gridSpan w:val="3"/>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286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12" w:hRule="atLeast"/>
        </w:trPr>
        <w:tc>
          <w:tcPr>
            <w:tcW w:w="1506"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461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226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2700" w:type="dxa"/>
            <w:gridSpan w:val="3"/>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286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369" w:hRule="atLeast"/>
        </w:trPr>
        <w:tc>
          <w:tcPr>
            <w:tcW w:w="612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栏次</w:t>
            </w:r>
          </w:p>
        </w:tc>
        <w:tc>
          <w:tcPr>
            <w:tcW w:w="22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w:t>
            </w:r>
          </w:p>
        </w:tc>
        <w:tc>
          <w:tcPr>
            <w:tcW w:w="2700" w:type="dxa"/>
            <w:gridSpan w:val="3"/>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w:t>
            </w:r>
          </w:p>
        </w:tc>
        <w:tc>
          <w:tcPr>
            <w:tcW w:w="2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w:t>
            </w:r>
          </w:p>
        </w:tc>
      </w:tr>
      <w:tr>
        <w:tblPrEx>
          <w:tblCellMar>
            <w:top w:w="0" w:type="dxa"/>
            <w:left w:w="108" w:type="dxa"/>
            <w:bottom w:w="0" w:type="dxa"/>
            <w:right w:w="108" w:type="dxa"/>
          </w:tblCellMar>
        </w:tblPrEx>
        <w:trPr>
          <w:trHeight w:val="369" w:hRule="atLeast"/>
        </w:trPr>
        <w:tc>
          <w:tcPr>
            <w:tcW w:w="612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合计</w:t>
            </w:r>
          </w:p>
        </w:tc>
        <w:tc>
          <w:tcPr>
            <w:tcW w:w="226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b/>
                <w:bCs/>
                <w:color w:val="auto"/>
                <w:sz w:val="22"/>
                <w:highlight w:val="none"/>
                <w:lang w:val="en-US" w:eastAsia="zh-CN"/>
              </w:rPr>
            </w:pPr>
            <w:r>
              <w:rPr>
                <w:rFonts w:hint="eastAsia" w:ascii="宋体" w:hAnsi="宋体" w:cs="宋体"/>
                <w:b/>
                <w:bCs/>
                <w:color w:val="auto"/>
                <w:kern w:val="0"/>
                <w:sz w:val="22"/>
                <w:highlight w:val="none"/>
                <w:lang w:val="en-US" w:eastAsia="zh-CN"/>
              </w:rPr>
              <w:t>128.20</w:t>
            </w:r>
          </w:p>
        </w:tc>
        <w:tc>
          <w:tcPr>
            <w:tcW w:w="2700" w:type="dxa"/>
            <w:gridSpan w:val="3"/>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cs="宋体"/>
                <w:b/>
                <w:bCs/>
                <w:color w:val="auto"/>
                <w:sz w:val="22"/>
                <w:highlight w:val="none"/>
                <w:lang w:val="en-US"/>
              </w:rPr>
            </w:pPr>
            <w:r>
              <w:rPr>
                <w:rFonts w:hint="eastAsia" w:ascii="宋体" w:hAnsi="宋体" w:cs="宋体"/>
                <w:b/>
                <w:bCs/>
                <w:color w:val="auto"/>
                <w:kern w:val="0"/>
                <w:sz w:val="22"/>
                <w:highlight w:val="none"/>
                <w:lang w:val="en-US" w:eastAsia="zh-CN"/>
              </w:rPr>
              <w:t>113.76</w:t>
            </w:r>
          </w:p>
        </w:tc>
        <w:tc>
          <w:tcPr>
            <w:tcW w:w="286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b/>
                <w:bCs/>
                <w:color w:val="auto"/>
                <w:sz w:val="22"/>
                <w:highlight w:val="none"/>
                <w:lang w:val="en-US" w:eastAsia="zh-CN"/>
              </w:rPr>
            </w:pPr>
            <w:r>
              <w:rPr>
                <w:rFonts w:hint="eastAsia" w:ascii="宋体" w:hAnsi="宋体" w:cs="宋体"/>
                <w:b/>
                <w:bCs/>
                <w:color w:val="auto"/>
                <w:kern w:val="0"/>
                <w:sz w:val="22"/>
                <w:highlight w:val="none"/>
                <w:lang w:val="en-US" w:eastAsia="zh-CN"/>
              </w:rPr>
              <w:t>14.44</w:t>
            </w:r>
          </w:p>
        </w:tc>
      </w:tr>
      <w:tr>
        <w:tblPrEx>
          <w:tblCellMar>
            <w:top w:w="0" w:type="dxa"/>
            <w:left w:w="108" w:type="dxa"/>
            <w:bottom w:w="0" w:type="dxa"/>
            <w:right w:w="108" w:type="dxa"/>
          </w:tblCellMar>
        </w:tblPrEx>
        <w:trPr>
          <w:trHeight w:val="369"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201</w:t>
            </w:r>
          </w:p>
        </w:tc>
        <w:tc>
          <w:tcPr>
            <w:tcW w:w="46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一般公共服务支出</w:t>
            </w:r>
          </w:p>
        </w:tc>
        <w:tc>
          <w:tcPr>
            <w:tcW w:w="226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0.52</w:t>
            </w:r>
          </w:p>
        </w:tc>
        <w:tc>
          <w:tcPr>
            <w:tcW w:w="2700"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rPr>
              <w:t>0.52</w:t>
            </w:r>
          </w:p>
        </w:tc>
        <w:tc>
          <w:tcPr>
            <w:tcW w:w="28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20129</w:t>
            </w:r>
          </w:p>
        </w:tc>
        <w:tc>
          <w:tcPr>
            <w:tcW w:w="46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群众团体事务</w:t>
            </w:r>
          </w:p>
        </w:tc>
        <w:tc>
          <w:tcPr>
            <w:tcW w:w="22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rPr>
              <w:t>0.52</w:t>
            </w:r>
          </w:p>
        </w:tc>
        <w:tc>
          <w:tcPr>
            <w:tcW w:w="2700"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rPr>
              <w:t>0.52</w:t>
            </w:r>
          </w:p>
        </w:tc>
        <w:tc>
          <w:tcPr>
            <w:tcW w:w="28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2012906</w:t>
            </w:r>
          </w:p>
        </w:tc>
        <w:tc>
          <w:tcPr>
            <w:tcW w:w="46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工会事务</w:t>
            </w:r>
          </w:p>
        </w:tc>
        <w:tc>
          <w:tcPr>
            <w:tcW w:w="22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rPr>
              <w:t>0.52</w:t>
            </w:r>
          </w:p>
        </w:tc>
        <w:tc>
          <w:tcPr>
            <w:tcW w:w="2700"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rPr>
              <w:t>0.52</w:t>
            </w:r>
          </w:p>
        </w:tc>
        <w:tc>
          <w:tcPr>
            <w:tcW w:w="28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w:t>
            </w:r>
          </w:p>
        </w:tc>
        <w:tc>
          <w:tcPr>
            <w:tcW w:w="46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社会保障和就业支出</w:t>
            </w:r>
          </w:p>
        </w:tc>
        <w:tc>
          <w:tcPr>
            <w:tcW w:w="226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7.21</w:t>
            </w:r>
          </w:p>
        </w:tc>
        <w:tc>
          <w:tcPr>
            <w:tcW w:w="2700"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rPr>
              <w:t>7.21</w:t>
            </w:r>
          </w:p>
        </w:tc>
        <w:tc>
          <w:tcPr>
            <w:tcW w:w="28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20805</w:t>
            </w:r>
          </w:p>
        </w:tc>
        <w:tc>
          <w:tcPr>
            <w:tcW w:w="46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行政事业单位养老支出</w:t>
            </w:r>
          </w:p>
        </w:tc>
        <w:tc>
          <w:tcPr>
            <w:tcW w:w="22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rPr>
              <w:t>7.21</w:t>
            </w:r>
          </w:p>
        </w:tc>
        <w:tc>
          <w:tcPr>
            <w:tcW w:w="2700"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rPr>
              <w:t>7.21</w:t>
            </w:r>
          </w:p>
        </w:tc>
        <w:tc>
          <w:tcPr>
            <w:tcW w:w="28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2080505</w:t>
            </w:r>
          </w:p>
        </w:tc>
        <w:tc>
          <w:tcPr>
            <w:tcW w:w="46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机关事业单位基本养老保险缴费支出</w:t>
            </w:r>
          </w:p>
        </w:tc>
        <w:tc>
          <w:tcPr>
            <w:tcW w:w="22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rPr>
              <w:t>7.21</w:t>
            </w:r>
          </w:p>
        </w:tc>
        <w:tc>
          <w:tcPr>
            <w:tcW w:w="2700"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rPr>
              <w:t>7.21</w:t>
            </w:r>
          </w:p>
        </w:tc>
        <w:tc>
          <w:tcPr>
            <w:tcW w:w="28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210</w:t>
            </w:r>
          </w:p>
        </w:tc>
        <w:tc>
          <w:tcPr>
            <w:tcW w:w="46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卫生健康支出</w:t>
            </w:r>
          </w:p>
        </w:tc>
        <w:tc>
          <w:tcPr>
            <w:tcW w:w="226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3.34</w:t>
            </w:r>
          </w:p>
        </w:tc>
        <w:tc>
          <w:tcPr>
            <w:tcW w:w="2700"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rPr>
              <w:t>3.34</w:t>
            </w:r>
          </w:p>
        </w:tc>
        <w:tc>
          <w:tcPr>
            <w:tcW w:w="28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21011</w:t>
            </w:r>
          </w:p>
        </w:tc>
        <w:tc>
          <w:tcPr>
            <w:tcW w:w="46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行政事业单位医疗</w:t>
            </w:r>
          </w:p>
        </w:tc>
        <w:tc>
          <w:tcPr>
            <w:tcW w:w="22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rPr>
              <w:t>3.34</w:t>
            </w:r>
          </w:p>
        </w:tc>
        <w:tc>
          <w:tcPr>
            <w:tcW w:w="2700"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rPr>
              <w:t>3.34</w:t>
            </w:r>
          </w:p>
        </w:tc>
        <w:tc>
          <w:tcPr>
            <w:tcW w:w="28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2101102</w:t>
            </w:r>
          </w:p>
        </w:tc>
        <w:tc>
          <w:tcPr>
            <w:tcW w:w="46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事业单位医疗</w:t>
            </w:r>
          </w:p>
        </w:tc>
        <w:tc>
          <w:tcPr>
            <w:tcW w:w="22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rPr>
              <w:t>3.34</w:t>
            </w:r>
          </w:p>
        </w:tc>
        <w:tc>
          <w:tcPr>
            <w:tcW w:w="2700"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rPr>
              <w:t>3.34</w:t>
            </w:r>
          </w:p>
        </w:tc>
        <w:tc>
          <w:tcPr>
            <w:tcW w:w="28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9"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212</w:t>
            </w:r>
          </w:p>
        </w:tc>
        <w:tc>
          <w:tcPr>
            <w:tcW w:w="46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城乡社区支出</w:t>
            </w:r>
          </w:p>
        </w:tc>
        <w:tc>
          <w:tcPr>
            <w:tcW w:w="226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117.13</w:t>
            </w:r>
          </w:p>
        </w:tc>
        <w:tc>
          <w:tcPr>
            <w:tcW w:w="2700" w:type="dxa"/>
            <w:gridSpan w:val="3"/>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cs="宋体"/>
                <w:color w:val="auto"/>
                <w:kern w:val="0"/>
                <w:sz w:val="22"/>
                <w:highlight w:val="none"/>
                <w:lang w:val="en-US" w:eastAsia="zh-CN"/>
              </w:rPr>
            </w:pPr>
            <w:r>
              <w:rPr>
                <w:rFonts w:hint="eastAsia" w:ascii="宋体" w:hAnsi="宋体" w:cs="宋体"/>
                <w:color w:val="auto"/>
                <w:kern w:val="0"/>
                <w:sz w:val="22"/>
                <w:highlight w:val="none"/>
                <w:lang w:val="en-US" w:eastAsia="zh-CN"/>
              </w:rPr>
              <w:t>102.70</w:t>
            </w:r>
          </w:p>
        </w:tc>
        <w:tc>
          <w:tcPr>
            <w:tcW w:w="286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14.44</w:t>
            </w:r>
          </w:p>
        </w:tc>
      </w:tr>
      <w:tr>
        <w:tblPrEx>
          <w:tblCellMar>
            <w:top w:w="0" w:type="dxa"/>
            <w:left w:w="108" w:type="dxa"/>
            <w:bottom w:w="0" w:type="dxa"/>
            <w:right w:w="108" w:type="dxa"/>
          </w:tblCellMar>
        </w:tblPrEx>
        <w:trPr>
          <w:trHeight w:val="369"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21201</w:t>
            </w:r>
          </w:p>
        </w:tc>
        <w:tc>
          <w:tcPr>
            <w:tcW w:w="46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城乡社区管理事务</w:t>
            </w:r>
          </w:p>
        </w:tc>
        <w:tc>
          <w:tcPr>
            <w:tcW w:w="22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rPr>
              <w:t>117.13</w:t>
            </w:r>
          </w:p>
        </w:tc>
        <w:tc>
          <w:tcPr>
            <w:tcW w:w="2700"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rPr>
              <w:t>102.70</w:t>
            </w:r>
          </w:p>
        </w:tc>
        <w:tc>
          <w:tcPr>
            <w:tcW w:w="28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rPr>
              <w:t>14.44</w:t>
            </w:r>
          </w:p>
        </w:tc>
      </w:tr>
      <w:tr>
        <w:tblPrEx>
          <w:tblCellMar>
            <w:top w:w="0" w:type="dxa"/>
            <w:left w:w="108" w:type="dxa"/>
            <w:bottom w:w="0" w:type="dxa"/>
            <w:right w:w="108" w:type="dxa"/>
          </w:tblCellMar>
        </w:tblPrEx>
        <w:trPr>
          <w:trHeight w:val="369"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2120199</w:t>
            </w:r>
          </w:p>
        </w:tc>
        <w:tc>
          <w:tcPr>
            <w:tcW w:w="46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其他城乡社区管理事务支出</w:t>
            </w:r>
          </w:p>
        </w:tc>
        <w:tc>
          <w:tcPr>
            <w:tcW w:w="22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rPr>
              <w:t>117.13</w:t>
            </w:r>
          </w:p>
        </w:tc>
        <w:tc>
          <w:tcPr>
            <w:tcW w:w="2700"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rPr>
              <w:t>102.70</w:t>
            </w:r>
          </w:p>
        </w:tc>
        <w:tc>
          <w:tcPr>
            <w:tcW w:w="28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rPr>
              <w:t>14.44</w:t>
            </w:r>
          </w:p>
        </w:tc>
      </w:tr>
      <w:tr>
        <w:tblPrEx>
          <w:tblCellMar>
            <w:top w:w="0" w:type="dxa"/>
            <w:left w:w="108" w:type="dxa"/>
            <w:bottom w:w="0" w:type="dxa"/>
            <w:right w:w="108" w:type="dxa"/>
          </w:tblCellMar>
        </w:tblPrEx>
        <w:trPr>
          <w:trHeight w:val="488" w:hRule="atLeast"/>
        </w:trPr>
        <w:tc>
          <w:tcPr>
            <w:tcW w:w="13954" w:type="dxa"/>
            <w:gridSpan w:val="7"/>
            <w:tcBorders>
              <w:top w:val="nil"/>
              <w:left w:val="nil"/>
              <w:bottom w:val="nil"/>
              <w:right w:val="nil"/>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注：本表反映</w:t>
            </w:r>
            <w:r>
              <w:rPr>
                <w:rFonts w:hint="eastAsia" w:ascii="宋体" w:hAnsi="宋体" w:cs="宋体"/>
                <w:color w:val="auto"/>
                <w:kern w:val="0"/>
                <w:sz w:val="22"/>
                <w:highlight w:val="none"/>
                <w:lang w:eastAsia="zh-CN"/>
              </w:rPr>
              <w:t>单位</w:t>
            </w:r>
            <w:r>
              <w:rPr>
                <w:rFonts w:hint="eastAsia" w:ascii="宋体" w:hAnsi="宋体" w:cs="宋体"/>
                <w:color w:val="auto"/>
                <w:kern w:val="0"/>
                <w:sz w:val="22"/>
                <w:highlight w:val="none"/>
              </w:rPr>
              <w:t>本年度一般公共预算财政拨款支出情况。本套报表金额单位转换时可能存在尾数误差。</w:t>
            </w:r>
          </w:p>
        </w:tc>
      </w:tr>
    </w:tbl>
    <w:p>
      <w:pPr>
        <w:rPr>
          <w:rFonts w:ascii="仿宋_GB2312" w:hAnsi="仿宋_GB2312" w:eastAsia="仿宋_GB2312" w:cs="仿宋_GB2312"/>
          <w:color w:val="auto"/>
          <w:sz w:val="32"/>
          <w:szCs w:val="32"/>
          <w:highlight w:val="none"/>
        </w:rPr>
        <w:sectPr>
          <w:pgSz w:w="16838" w:h="11906" w:orient="landscape"/>
          <w:pgMar w:top="1803" w:right="1440" w:bottom="1803" w:left="1440" w:header="720" w:footer="720" w:gutter="0"/>
          <w:pgBorders>
            <w:top w:val="none" w:sz="0" w:space="0"/>
            <w:left w:val="none" w:sz="0" w:space="0"/>
            <w:bottom w:val="none" w:sz="0" w:space="0"/>
            <w:right w:val="none" w:sz="0" w:space="0"/>
          </w:pgBorders>
          <w:pgNumType w:fmt="numberInDash"/>
          <w:cols w:space="0" w:num="1"/>
          <w:rtlGutter w:val="0"/>
          <w:docGrid w:linePitch="312" w:charSpace="0"/>
        </w:sectPr>
      </w:pPr>
    </w:p>
    <w:tbl>
      <w:tblPr>
        <w:tblStyle w:val="5"/>
        <w:tblpPr w:leftFromText="180" w:rightFromText="180" w:vertAnchor="text" w:tblpX="93" w:tblpY="1"/>
        <w:tblOverlap w:val="never"/>
        <w:tblW w:w="0" w:type="auto"/>
        <w:tblInd w:w="91" w:type="dxa"/>
        <w:tblLayout w:type="fixed"/>
        <w:tblCellMar>
          <w:top w:w="0" w:type="dxa"/>
          <w:left w:w="108" w:type="dxa"/>
          <w:bottom w:w="0" w:type="dxa"/>
          <w:right w:w="108" w:type="dxa"/>
        </w:tblCellMar>
      </w:tblPr>
      <w:tblGrid>
        <w:gridCol w:w="822"/>
        <w:gridCol w:w="2751"/>
        <w:gridCol w:w="822"/>
        <w:gridCol w:w="894"/>
        <w:gridCol w:w="308"/>
        <w:gridCol w:w="510"/>
        <w:gridCol w:w="1530"/>
        <w:gridCol w:w="918"/>
        <w:gridCol w:w="6"/>
        <w:gridCol w:w="873"/>
        <w:gridCol w:w="42"/>
        <w:gridCol w:w="738"/>
        <w:gridCol w:w="2888"/>
        <w:gridCol w:w="878"/>
      </w:tblGrid>
      <w:tr>
        <w:tblPrEx>
          <w:tblCellMar>
            <w:top w:w="0" w:type="dxa"/>
            <w:left w:w="108" w:type="dxa"/>
            <w:bottom w:w="0" w:type="dxa"/>
            <w:right w:w="108" w:type="dxa"/>
          </w:tblCellMar>
        </w:tblPrEx>
        <w:trPr>
          <w:trHeight w:val="432" w:hRule="atLeast"/>
        </w:trPr>
        <w:tc>
          <w:tcPr>
            <w:tcW w:w="13980" w:type="dxa"/>
            <w:gridSpan w:val="14"/>
            <w:tcBorders>
              <w:top w:val="nil"/>
              <w:left w:val="nil"/>
              <w:bottom w:val="nil"/>
              <w:right w:val="nil"/>
            </w:tcBorders>
            <w:noWrap/>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rPr>
              <w:t>一般公共预算财政拨款基本支出决算明细表</w:t>
            </w:r>
          </w:p>
        </w:tc>
      </w:tr>
      <w:tr>
        <w:tblPrEx>
          <w:tblCellMar>
            <w:top w:w="0" w:type="dxa"/>
            <w:left w:w="108" w:type="dxa"/>
            <w:bottom w:w="0" w:type="dxa"/>
            <w:right w:w="108" w:type="dxa"/>
          </w:tblCellMar>
        </w:tblPrEx>
        <w:trPr>
          <w:trHeight w:val="282" w:hRule="atLeast"/>
        </w:trPr>
        <w:tc>
          <w:tcPr>
            <w:tcW w:w="3573" w:type="dxa"/>
            <w:gridSpan w:val="2"/>
            <w:tcBorders>
              <w:top w:val="nil"/>
              <w:left w:val="nil"/>
              <w:bottom w:val="nil"/>
              <w:right w:val="nil"/>
            </w:tcBorders>
            <w:noWrap/>
            <w:vAlign w:val="bottom"/>
          </w:tcPr>
          <w:p>
            <w:pPr>
              <w:rPr>
                <w:rFonts w:ascii="Arial" w:hAnsi="Arial" w:cs="Arial"/>
                <w:color w:val="auto"/>
                <w:sz w:val="18"/>
                <w:szCs w:val="18"/>
                <w:highlight w:val="none"/>
              </w:rPr>
            </w:pPr>
          </w:p>
        </w:tc>
        <w:tc>
          <w:tcPr>
            <w:tcW w:w="1716" w:type="dxa"/>
            <w:gridSpan w:val="2"/>
            <w:tcBorders>
              <w:top w:val="nil"/>
              <w:left w:val="nil"/>
              <w:bottom w:val="nil"/>
              <w:right w:val="nil"/>
            </w:tcBorders>
            <w:noWrap/>
            <w:vAlign w:val="bottom"/>
          </w:tcPr>
          <w:p>
            <w:pPr>
              <w:rPr>
                <w:rFonts w:ascii="Arial" w:hAnsi="Arial" w:cs="Arial"/>
                <w:color w:val="auto"/>
                <w:sz w:val="18"/>
                <w:szCs w:val="18"/>
                <w:highlight w:val="none"/>
              </w:rPr>
            </w:pPr>
          </w:p>
        </w:tc>
        <w:tc>
          <w:tcPr>
            <w:tcW w:w="308" w:type="dxa"/>
            <w:tcBorders>
              <w:top w:val="nil"/>
              <w:left w:val="nil"/>
              <w:bottom w:val="nil"/>
              <w:right w:val="nil"/>
            </w:tcBorders>
            <w:noWrap/>
            <w:vAlign w:val="bottom"/>
          </w:tcPr>
          <w:p>
            <w:pPr>
              <w:rPr>
                <w:rFonts w:ascii="Arial" w:hAnsi="Arial" w:cs="Arial"/>
                <w:color w:val="auto"/>
                <w:sz w:val="18"/>
                <w:szCs w:val="18"/>
                <w:highlight w:val="none"/>
              </w:rPr>
            </w:pPr>
          </w:p>
        </w:tc>
        <w:tc>
          <w:tcPr>
            <w:tcW w:w="2040" w:type="dxa"/>
            <w:gridSpan w:val="2"/>
            <w:tcBorders>
              <w:top w:val="nil"/>
              <w:left w:val="nil"/>
              <w:bottom w:val="nil"/>
              <w:right w:val="nil"/>
            </w:tcBorders>
            <w:noWrap/>
            <w:vAlign w:val="bottom"/>
          </w:tcPr>
          <w:p>
            <w:pPr>
              <w:rPr>
                <w:rFonts w:ascii="Arial" w:hAnsi="Arial" w:cs="Arial"/>
                <w:color w:val="auto"/>
                <w:sz w:val="18"/>
                <w:szCs w:val="18"/>
                <w:highlight w:val="none"/>
              </w:rPr>
            </w:pPr>
          </w:p>
        </w:tc>
        <w:tc>
          <w:tcPr>
            <w:tcW w:w="924" w:type="dxa"/>
            <w:gridSpan w:val="2"/>
            <w:tcBorders>
              <w:top w:val="nil"/>
              <w:left w:val="nil"/>
              <w:bottom w:val="nil"/>
              <w:right w:val="nil"/>
            </w:tcBorders>
            <w:noWrap/>
            <w:vAlign w:val="bottom"/>
          </w:tcPr>
          <w:p>
            <w:pPr>
              <w:rPr>
                <w:rFonts w:ascii="Arial" w:hAnsi="Arial" w:cs="Arial"/>
                <w:color w:val="auto"/>
                <w:sz w:val="18"/>
                <w:szCs w:val="18"/>
                <w:highlight w:val="none"/>
              </w:rPr>
            </w:pPr>
          </w:p>
        </w:tc>
        <w:tc>
          <w:tcPr>
            <w:tcW w:w="915" w:type="dxa"/>
            <w:gridSpan w:val="2"/>
            <w:tcBorders>
              <w:top w:val="nil"/>
              <w:left w:val="nil"/>
              <w:bottom w:val="nil"/>
              <w:right w:val="nil"/>
            </w:tcBorders>
            <w:noWrap/>
            <w:vAlign w:val="bottom"/>
          </w:tcPr>
          <w:p>
            <w:pPr>
              <w:rPr>
                <w:rFonts w:ascii="Arial" w:hAnsi="Arial" w:cs="Arial"/>
                <w:color w:val="auto"/>
                <w:sz w:val="18"/>
                <w:szCs w:val="18"/>
                <w:highlight w:val="none"/>
              </w:rPr>
            </w:pPr>
          </w:p>
        </w:tc>
        <w:tc>
          <w:tcPr>
            <w:tcW w:w="4504" w:type="dxa"/>
            <w:gridSpan w:val="3"/>
            <w:tcBorders>
              <w:top w:val="nil"/>
              <w:left w:val="nil"/>
              <w:bottom w:val="nil"/>
              <w:right w:val="nil"/>
            </w:tcBorders>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rPr>
              <w:t>公开06表</w:t>
            </w:r>
          </w:p>
        </w:tc>
      </w:tr>
      <w:tr>
        <w:tblPrEx>
          <w:tblCellMar>
            <w:top w:w="0" w:type="dxa"/>
            <w:left w:w="108" w:type="dxa"/>
            <w:bottom w:w="0" w:type="dxa"/>
            <w:right w:w="108" w:type="dxa"/>
          </w:tblCellMar>
        </w:tblPrEx>
        <w:trPr>
          <w:trHeight w:val="282" w:hRule="atLeast"/>
        </w:trPr>
        <w:tc>
          <w:tcPr>
            <w:tcW w:w="3573" w:type="dxa"/>
            <w:gridSpan w:val="2"/>
            <w:tcBorders>
              <w:top w:val="nil"/>
              <w:left w:val="nil"/>
              <w:bottom w:val="nil"/>
              <w:right w:val="nil"/>
            </w:tcBorders>
            <w:noWrap/>
            <w:vAlign w:val="bottom"/>
          </w:tcPr>
          <w:p>
            <w:pPr>
              <w:widowControl/>
              <w:jc w:val="lef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lang w:eastAsia="zh-CN"/>
              </w:rPr>
              <w:t>单位</w:t>
            </w:r>
            <w:r>
              <w:rPr>
                <w:rFonts w:hint="eastAsia" w:ascii="宋体" w:hAnsi="宋体" w:cs="宋体"/>
                <w:color w:val="auto"/>
                <w:kern w:val="0"/>
                <w:sz w:val="18"/>
                <w:szCs w:val="18"/>
                <w:highlight w:val="none"/>
              </w:rPr>
              <w:t>：许昌市</w:t>
            </w:r>
            <w:r>
              <w:rPr>
                <w:rFonts w:hint="eastAsia" w:ascii="宋体" w:hAnsi="宋体" w:cs="宋体"/>
                <w:color w:val="auto"/>
                <w:kern w:val="0"/>
                <w:sz w:val="18"/>
                <w:szCs w:val="18"/>
                <w:highlight w:val="none"/>
                <w:lang w:eastAsia="zh-CN"/>
              </w:rPr>
              <w:t>物业</w:t>
            </w:r>
            <w:r>
              <w:rPr>
                <w:rFonts w:hint="eastAsia" w:ascii="宋体" w:hAnsi="宋体" w:cs="宋体"/>
                <w:color w:val="auto"/>
                <w:kern w:val="0"/>
                <w:sz w:val="18"/>
                <w:szCs w:val="18"/>
                <w:highlight w:val="none"/>
              </w:rPr>
              <w:t>管理中心</w:t>
            </w:r>
          </w:p>
        </w:tc>
        <w:tc>
          <w:tcPr>
            <w:tcW w:w="1716" w:type="dxa"/>
            <w:gridSpan w:val="2"/>
            <w:tcBorders>
              <w:top w:val="nil"/>
              <w:left w:val="nil"/>
              <w:bottom w:val="nil"/>
              <w:right w:val="nil"/>
            </w:tcBorders>
            <w:noWrap/>
            <w:vAlign w:val="bottom"/>
          </w:tcPr>
          <w:p>
            <w:pPr>
              <w:rPr>
                <w:rFonts w:ascii="Arial" w:hAnsi="Arial" w:cs="Arial"/>
                <w:color w:val="auto"/>
                <w:sz w:val="18"/>
                <w:szCs w:val="18"/>
                <w:highlight w:val="none"/>
              </w:rPr>
            </w:pPr>
          </w:p>
        </w:tc>
        <w:tc>
          <w:tcPr>
            <w:tcW w:w="308" w:type="dxa"/>
            <w:tcBorders>
              <w:top w:val="nil"/>
              <w:left w:val="nil"/>
              <w:bottom w:val="nil"/>
              <w:right w:val="nil"/>
            </w:tcBorders>
            <w:noWrap/>
            <w:vAlign w:val="bottom"/>
          </w:tcPr>
          <w:p>
            <w:pPr>
              <w:rPr>
                <w:rFonts w:ascii="Arial" w:hAnsi="Arial" w:cs="Arial"/>
                <w:color w:val="auto"/>
                <w:sz w:val="18"/>
                <w:szCs w:val="18"/>
                <w:highlight w:val="none"/>
              </w:rPr>
            </w:pPr>
          </w:p>
        </w:tc>
        <w:tc>
          <w:tcPr>
            <w:tcW w:w="2040" w:type="dxa"/>
            <w:gridSpan w:val="2"/>
            <w:tcBorders>
              <w:top w:val="nil"/>
              <w:left w:val="nil"/>
              <w:bottom w:val="nil"/>
              <w:right w:val="nil"/>
            </w:tcBorders>
            <w:noWrap/>
            <w:vAlign w:val="bottom"/>
          </w:tcPr>
          <w:p>
            <w:pPr>
              <w:rPr>
                <w:rFonts w:ascii="Arial" w:hAnsi="Arial" w:cs="Arial"/>
                <w:color w:val="auto"/>
                <w:sz w:val="18"/>
                <w:szCs w:val="18"/>
                <w:highlight w:val="none"/>
              </w:rPr>
            </w:pPr>
          </w:p>
        </w:tc>
        <w:tc>
          <w:tcPr>
            <w:tcW w:w="924" w:type="dxa"/>
            <w:gridSpan w:val="2"/>
            <w:tcBorders>
              <w:top w:val="nil"/>
              <w:left w:val="nil"/>
              <w:bottom w:val="nil"/>
              <w:right w:val="nil"/>
            </w:tcBorders>
            <w:noWrap/>
            <w:vAlign w:val="bottom"/>
          </w:tcPr>
          <w:p>
            <w:pPr>
              <w:rPr>
                <w:rFonts w:ascii="Arial" w:hAnsi="Arial" w:cs="Arial"/>
                <w:color w:val="auto"/>
                <w:sz w:val="18"/>
                <w:szCs w:val="18"/>
                <w:highlight w:val="none"/>
              </w:rPr>
            </w:pPr>
          </w:p>
        </w:tc>
        <w:tc>
          <w:tcPr>
            <w:tcW w:w="915" w:type="dxa"/>
            <w:gridSpan w:val="2"/>
            <w:tcBorders>
              <w:top w:val="nil"/>
              <w:left w:val="nil"/>
              <w:bottom w:val="nil"/>
              <w:right w:val="nil"/>
            </w:tcBorders>
            <w:noWrap/>
            <w:vAlign w:val="bottom"/>
          </w:tcPr>
          <w:p>
            <w:pPr>
              <w:rPr>
                <w:rFonts w:ascii="Arial" w:hAnsi="Arial" w:cs="Arial"/>
                <w:color w:val="auto"/>
                <w:sz w:val="18"/>
                <w:szCs w:val="18"/>
                <w:highlight w:val="none"/>
              </w:rPr>
            </w:pPr>
          </w:p>
        </w:tc>
        <w:tc>
          <w:tcPr>
            <w:tcW w:w="4504" w:type="dxa"/>
            <w:gridSpan w:val="3"/>
            <w:tcBorders>
              <w:top w:val="nil"/>
              <w:left w:val="nil"/>
              <w:bottom w:val="nil"/>
              <w:right w:val="nil"/>
            </w:tcBorders>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rPr>
              <w:t>金额单位：万元</w:t>
            </w:r>
          </w:p>
        </w:tc>
      </w:tr>
      <w:tr>
        <w:tblPrEx>
          <w:tblCellMar>
            <w:top w:w="0" w:type="dxa"/>
            <w:left w:w="108" w:type="dxa"/>
            <w:bottom w:w="0" w:type="dxa"/>
            <w:right w:w="108" w:type="dxa"/>
          </w:tblCellMar>
        </w:tblPrEx>
        <w:trPr>
          <w:trHeight w:val="433" w:hRule="atLeast"/>
        </w:trPr>
        <w:tc>
          <w:tcPr>
            <w:tcW w:w="5289"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人员经费</w:t>
            </w:r>
          </w:p>
        </w:tc>
        <w:tc>
          <w:tcPr>
            <w:tcW w:w="8691" w:type="dxa"/>
            <w:gridSpan w:val="10"/>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公用经费</w:t>
            </w:r>
          </w:p>
        </w:tc>
      </w:tr>
      <w:tr>
        <w:tblPrEx>
          <w:tblCellMar>
            <w:top w:w="0" w:type="dxa"/>
            <w:left w:w="108" w:type="dxa"/>
            <w:bottom w:w="0" w:type="dxa"/>
            <w:right w:w="108" w:type="dxa"/>
          </w:tblCellMar>
        </w:tblPrEx>
        <w:trPr>
          <w:trHeight w:val="433" w:hRule="atLeast"/>
        </w:trPr>
        <w:tc>
          <w:tcPr>
            <w:tcW w:w="822"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2"/>
                <w:highlight w:val="none"/>
              </w:rPr>
            </w:pPr>
            <w:r>
              <w:rPr>
                <w:rFonts w:hint="eastAsia" w:ascii="宋体" w:hAnsi="宋体" w:cs="宋体"/>
                <w:color w:val="auto"/>
                <w:kern w:val="0"/>
                <w:sz w:val="22"/>
                <w:highlight w:val="none"/>
              </w:rPr>
              <w:t>科目</w:t>
            </w:r>
          </w:p>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编码</w:t>
            </w:r>
          </w:p>
        </w:tc>
        <w:tc>
          <w:tcPr>
            <w:tcW w:w="3573"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科目名称</w:t>
            </w:r>
          </w:p>
        </w:tc>
        <w:tc>
          <w:tcPr>
            <w:tcW w:w="894"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决算数</w:t>
            </w:r>
          </w:p>
        </w:tc>
        <w:tc>
          <w:tcPr>
            <w:tcW w:w="818"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2"/>
                <w:highlight w:val="none"/>
              </w:rPr>
            </w:pPr>
            <w:r>
              <w:rPr>
                <w:rFonts w:hint="eastAsia" w:ascii="宋体" w:hAnsi="宋体" w:cs="宋体"/>
                <w:color w:val="auto"/>
                <w:kern w:val="0"/>
                <w:sz w:val="22"/>
                <w:highlight w:val="none"/>
              </w:rPr>
              <w:t>科目</w:t>
            </w:r>
          </w:p>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编码</w:t>
            </w:r>
          </w:p>
        </w:tc>
        <w:tc>
          <w:tcPr>
            <w:tcW w:w="2448"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科目名称</w:t>
            </w:r>
          </w:p>
        </w:tc>
        <w:tc>
          <w:tcPr>
            <w:tcW w:w="879"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决算数</w:t>
            </w:r>
          </w:p>
        </w:tc>
        <w:tc>
          <w:tcPr>
            <w:tcW w:w="780"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2"/>
                <w:highlight w:val="none"/>
              </w:rPr>
            </w:pPr>
            <w:r>
              <w:rPr>
                <w:rFonts w:hint="eastAsia" w:ascii="宋体" w:hAnsi="宋体" w:cs="宋体"/>
                <w:color w:val="auto"/>
                <w:kern w:val="0"/>
                <w:sz w:val="22"/>
                <w:highlight w:val="none"/>
              </w:rPr>
              <w:t>科目</w:t>
            </w:r>
          </w:p>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编码</w:t>
            </w:r>
          </w:p>
        </w:tc>
        <w:tc>
          <w:tcPr>
            <w:tcW w:w="2888"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科目名称</w:t>
            </w:r>
          </w:p>
        </w:tc>
        <w:tc>
          <w:tcPr>
            <w:tcW w:w="878"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决算数</w:t>
            </w:r>
          </w:p>
        </w:tc>
      </w:tr>
      <w:tr>
        <w:tblPrEx>
          <w:tblCellMar>
            <w:top w:w="0" w:type="dxa"/>
            <w:left w:w="108" w:type="dxa"/>
            <w:bottom w:w="0" w:type="dxa"/>
            <w:right w:w="108" w:type="dxa"/>
          </w:tblCellMar>
        </w:tblPrEx>
        <w:trPr>
          <w:trHeight w:val="433" w:hRule="atLeast"/>
        </w:trPr>
        <w:tc>
          <w:tcPr>
            <w:tcW w:w="822"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3573"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894"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818"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2448"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879"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780"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288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87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工资福利支出</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104.05</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商品和服务支出</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9.71</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307</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债务利息及费用支出</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30101</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基本工资</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26.72</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30201</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办公费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3.67</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30701</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国内债务付息</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30102</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津贴补贴</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42.84</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30202</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印刷费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3.47</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30702</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国外债务付息</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30103</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奖金</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30203</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咨询费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资本性支出</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30106</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伙食补助费</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30204</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手续费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31001</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房屋建筑物购建</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30107</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绩效工资</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17.13</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30205</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水费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31002</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办公设备购置</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30108</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机关事业单位基本养老保险缴费</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7.31</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30206</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电费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31003</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专用设备购置</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30109</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职业年金缴费</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30207</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邮电费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0.44</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31005</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基础设施建设</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30110</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职工基本医疗保险缴费</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3.34</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30208</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取暖费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31006</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大型修缮</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30111</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公务员医疗补助缴费</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30209</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物业管理费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31007</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信息网络及软件购置更新</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30112</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其他社会保障缴费</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0.42</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30211</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差旅费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0.01</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31008</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物资储备</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30113</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住房公积金</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6.29</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30212</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因公出国（境）费用</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31009</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土地补偿</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30114</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医疗费</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30213</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维修（护）费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0.28</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31010</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安置补助</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33" w:hRule="atLeast"/>
        </w:trPr>
        <w:tc>
          <w:tcPr>
            <w:tcW w:w="82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30199</w:t>
            </w:r>
          </w:p>
        </w:tc>
        <w:tc>
          <w:tcPr>
            <w:tcW w:w="3573" w:type="dxa"/>
            <w:gridSpan w:val="2"/>
            <w:tcBorders>
              <w:top w:val="single" w:color="000000" w:sz="4" w:space="0"/>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其他工资福利支出</w:t>
            </w:r>
          </w:p>
        </w:tc>
        <w:tc>
          <w:tcPr>
            <w:tcW w:w="894" w:type="dxa"/>
            <w:tcBorders>
              <w:top w:val="single" w:color="000000" w:sz="4" w:space="0"/>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818" w:type="dxa"/>
            <w:gridSpan w:val="2"/>
            <w:tcBorders>
              <w:top w:val="single" w:color="000000" w:sz="4" w:space="0"/>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30214</w:t>
            </w:r>
          </w:p>
        </w:tc>
        <w:tc>
          <w:tcPr>
            <w:tcW w:w="2448" w:type="dxa"/>
            <w:gridSpan w:val="2"/>
            <w:tcBorders>
              <w:top w:val="single" w:color="000000" w:sz="4" w:space="0"/>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租赁费</w:t>
            </w:r>
          </w:p>
        </w:tc>
        <w:tc>
          <w:tcPr>
            <w:tcW w:w="879" w:type="dxa"/>
            <w:gridSpan w:val="2"/>
            <w:tcBorders>
              <w:top w:val="single" w:color="000000" w:sz="4" w:space="0"/>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80" w:type="dxa"/>
            <w:gridSpan w:val="2"/>
            <w:tcBorders>
              <w:top w:val="single" w:color="000000" w:sz="4" w:space="0"/>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31011</w:t>
            </w:r>
          </w:p>
        </w:tc>
        <w:tc>
          <w:tcPr>
            <w:tcW w:w="2888" w:type="dxa"/>
            <w:tcBorders>
              <w:top w:val="single" w:color="000000" w:sz="4" w:space="0"/>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地上附着物和青苗补偿</w:t>
            </w:r>
          </w:p>
        </w:tc>
        <w:tc>
          <w:tcPr>
            <w:tcW w:w="878" w:type="dxa"/>
            <w:tcBorders>
              <w:top w:val="single" w:color="000000" w:sz="4" w:space="0"/>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303</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对个人和家庭的补助</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30215</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会议费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31012</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拆迁补偿</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30301</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离休费</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30216</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培训费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0.32</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31013</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公务用车购置</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30302</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退休费</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30217</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公务接待费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31019</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其他交通工具购置</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30303</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退职（役）费</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30218</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专用材料费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31021</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文物和陈列品购置</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30304</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抚恤金</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30224</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被装购置费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31022</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无形资产购置</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30305</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生活补助</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30225</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专用燃料费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31099</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其他资本性支出</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30306</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救济费</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30226</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劳务费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399</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其他支出</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30307</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医疗费补助</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30227</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委托业务费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39906</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赠与</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30308</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助学金</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30228</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工会经费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0.52</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39907</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国家赔偿费用支出</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644"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30309</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奖励金</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30229</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福利费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0.66</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39908</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对民间非营利组织和群众性自治组织补贴</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30310</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个人农业生产补贴</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30231</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公务用车运行维护费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39999</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其他支出</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30311</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代缴社会保险费</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30239</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其他交通费用</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30399</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其他对个人和家庭的补助</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30240</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税金及附加费用</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30299</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xml:space="preserve">  其他商品和服务支出</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rPr>
              <w:t>0.35</w:t>
            </w:r>
            <w:r>
              <w:rPr>
                <w:rFonts w:hint="eastAsia" w:ascii="宋体" w:hAnsi="宋体" w:cs="宋体"/>
                <w:color w:val="auto"/>
                <w:kern w:val="0"/>
                <w:sz w:val="22"/>
                <w:highlight w:val="none"/>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33" w:hRule="atLeast"/>
        </w:trPr>
        <w:tc>
          <w:tcPr>
            <w:tcW w:w="4395" w:type="dxa"/>
            <w:gridSpan w:val="3"/>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人员经费合计</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104.05</w:t>
            </w:r>
          </w:p>
        </w:tc>
        <w:tc>
          <w:tcPr>
            <w:tcW w:w="7813" w:type="dxa"/>
            <w:gridSpan w:val="9"/>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公用经费合计</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9.71</w:t>
            </w:r>
          </w:p>
        </w:tc>
      </w:tr>
      <w:tr>
        <w:tblPrEx>
          <w:tblCellMar>
            <w:top w:w="0" w:type="dxa"/>
            <w:left w:w="108" w:type="dxa"/>
            <w:bottom w:w="0" w:type="dxa"/>
            <w:right w:w="108" w:type="dxa"/>
          </w:tblCellMar>
        </w:tblPrEx>
        <w:trPr>
          <w:trHeight w:val="559" w:hRule="atLeast"/>
        </w:trPr>
        <w:tc>
          <w:tcPr>
            <w:tcW w:w="13980" w:type="dxa"/>
            <w:gridSpan w:val="14"/>
            <w:tcBorders>
              <w:top w:val="nil"/>
              <w:left w:val="nil"/>
              <w:bottom w:val="nil"/>
              <w:right w:val="nil"/>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注：本表反映</w:t>
            </w:r>
            <w:r>
              <w:rPr>
                <w:rFonts w:hint="eastAsia" w:ascii="宋体" w:hAnsi="宋体" w:cs="宋体"/>
                <w:color w:val="auto"/>
                <w:kern w:val="0"/>
                <w:sz w:val="22"/>
                <w:highlight w:val="none"/>
                <w:lang w:eastAsia="zh-CN"/>
              </w:rPr>
              <w:t>单位</w:t>
            </w:r>
            <w:r>
              <w:rPr>
                <w:rFonts w:hint="eastAsia" w:ascii="宋体" w:hAnsi="宋体" w:cs="宋体"/>
                <w:color w:val="auto"/>
                <w:kern w:val="0"/>
                <w:sz w:val="22"/>
                <w:highlight w:val="none"/>
              </w:rPr>
              <w:t>本年度一般公共预算财政拨款基本支出明细情况。本表金额转换为万元时，因四舍五入可能存在尾差。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1803" w:right="1440" w:bottom="1803" w:left="1440" w:header="720" w:footer="720" w:gutter="0"/>
          <w:pgBorders>
            <w:top w:val="none" w:sz="0" w:space="0"/>
            <w:left w:val="none" w:sz="0" w:space="0"/>
            <w:bottom w:val="none" w:sz="0" w:space="0"/>
            <w:right w:val="none" w:sz="0" w:space="0"/>
          </w:pgBorders>
          <w:pgNumType w:fmt="numberInDash"/>
          <w:cols w:space="0" w:num="1"/>
          <w:rtlGutter w:val="0"/>
          <w:docGrid w:linePitch="312" w:charSpace="0"/>
        </w:sectPr>
      </w:pPr>
    </w:p>
    <w:tbl>
      <w:tblPr>
        <w:tblStyle w:val="5"/>
        <w:tblW w:w="13780" w:type="dxa"/>
        <w:tblInd w:w="91" w:type="dxa"/>
        <w:tblLayout w:type="fixed"/>
        <w:tblCellMar>
          <w:top w:w="0" w:type="dxa"/>
          <w:left w:w="108" w:type="dxa"/>
          <w:bottom w:w="0" w:type="dxa"/>
          <w:right w:w="108" w:type="dxa"/>
        </w:tblCellMar>
      </w:tblPr>
      <w:tblGrid>
        <w:gridCol w:w="699"/>
        <w:gridCol w:w="1920"/>
        <w:gridCol w:w="725"/>
        <w:gridCol w:w="1098"/>
        <w:gridCol w:w="1102"/>
        <w:gridCol w:w="1335"/>
        <w:gridCol w:w="765"/>
        <w:gridCol w:w="1440"/>
        <w:gridCol w:w="1065"/>
        <w:gridCol w:w="1110"/>
        <w:gridCol w:w="1155"/>
        <w:gridCol w:w="1366"/>
      </w:tblGrid>
      <w:tr>
        <w:tblPrEx>
          <w:tblCellMar>
            <w:top w:w="0" w:type="dxa"/>
            <w:left w:w="108" w:type="dxa"/>
            <w:bottom w:w="0" w:type="dxa"/>
            <w:right w:w="108" w:type="dxa"/>
          </w:tblCellMar>
        </w:tblPrEx>
        <w:trPr>
          <w:trHeight w:val="283" w:hRule="atLeast"/>
        </w:trPr>
        <w:tc>
          <w:tcPr>
            <w:tcW w:w="13780" w:type="dxa"/>
            <w:gridSpan w:val="12"/>
            <w:tcBorders>
              <w:top w:val="nil"/>
              <w:left w:val="nil"/>
              <w:bottom w:val="nil"/>
              <w:right w:val="nil"/>
            </w:tcBorders>
            <w:noWrap/>
            <w:vAlign w:val="bottom"/>
          </w:tcPr>
          <w:p>
            <w:pPr>
              <w:widowControl/>
              <w:jc w:val="center"/>
              <w:textAlignment w:val="bottom"/>
              <w:rPr>
                <w:rFonts w:ascii="宋体" w:hAnsi="宋体" w:cs="宋体"/>
                <w:color w:val="auto"/>
                <w:sz w:val="44"/>
                <w:szCs w:val="44"/>
                <w:highlight w:val="none"/>
              </w:rPr>
            </w:pPr>
            <w:r>
              <w:rPr>
                <w:rFonts w:hint="eastAsia" w:ascii="宋体" w:hAnsi="宋体" w:cs="宋体"/>
                <w:color w:val="auto"/>
                <w:kern w:val="0"/>
                <w:sz w:val="30"/>
                <w:szCs w:val="30"/>
                <w:highlight w:val="none"/>
              </w:rPr>
              <w:t>一般公共预算财政拨款“三公”经费支出决算表</w:t>
            </w:r>
          </w:p>
        </w:tc>
      </w:tr>
      <w:tr>
        <w:tblPrEx>
          <w:tblCellMar>
            <w:top w:w="0" w:type="dxa"/>
            <w:left w:w="108" w:type="dxa"/>
            <w:bottom w:w="0" w:type="dxa"/>
            <w:right w:w="108" w:type="dxa"/>
          </w:tblCellMar>
        </w:tblPrEx>
        <w:trPr>
          <w:trHeight w:val="283" w:hRule="atLeast"/>
        </w:trPr>
        <w:tc>
          <w:tcPr>
            <w:tcW w:w="3344" w:type="dxa"/>
            <w:gridSpan w:val="3"/>
            <w:tcBorders>
              <w:top w:val="nil"/>
              <w:left w:val="nil"/>
              <w:bottom w:val="nil"/>
              <w:right w:val="nil"/>
            </w:tcBorders>
            <w:noWrap/>
            <w:vAlign w:val="bottom"/>
          </w:tcPr>
          <w:p>
            <w:pPr>
              <w:rPr>
                <w:rFonts w:ascii="Arial" w:hAnsi="Arial" w:cs="Arial"/>
                <w:color w:val="auto"/>
                <w:sz w:val="18"/>
                <w:szCs w:val="18"/>
                <w:highlight w:val="none"/>
              </w:rPr>
            </w:pPr>
          </w:p>
        </w:tc>
        <w:tc>
          <w:tcPr>
            <w:tcW w:w="1098" w:type="dxa"/>
            <w:tcBorders>
              <w:top w:val="nil"/>
              <w:left w:val="nil"/>
              <w:bottom w:val="nil"/>
              <w:right w:val="nil"/>
            </w:tcBorders>
            <w:noWrap/>
            <w:vAlign w:val="bottom"/>
          </w:tcPr>
          <w:p>
            <w:pPr>
              <w:rPr>
                <w:rFonts w:ascii="Arial" w:hAnsi="Arial" w:cs="Arial"/>
                <w:color w:val="auto"/>
                <w:sz w:val="18"/>
                <w:szCs w:val="18"/>
                <w:highlight w:val="none"/>
              </w:rPr>
            </w:pPr>
          </w:p>
        </w:tc>
        <w:tc>
          <w:tcPr>
            <w:tcW w:w="1102" w:type="dxa"/>
            <w:tcBorders>
              <w:top w:val="nil"/>
              <w:left w:val="nil"/>
              <w:bottom w:val="nil"/>
              <w:right w:val="nil"/>
            </w:tcBorders>
            <w:noWrap/>
            <w:vAlign w:val="bottom"/>
          </w:tcPr>
          <w:p>
            <w:pPr>
              <w:rPr>
                <w:rFonts w:ascii="Arial" w:hAnsi="Arial" w:cs="Arial"/>
                <w:color w:val="auto"/>
                <w:sz w:val="18"/>
                <w:szCs w:val="18"/>
                <w:highlight w:val="none"/>
              </w:rPr>
            </w:pPr>
          </w:p>
        </w:tc>
        <w:tc>
          <w:tcPr>
            <w:tcW w:w="1335" w:type="dxa"/>
            <w:tcBorders>
              <w:top w:val="nil"/>
              <w:left w:val="nil"/>
              <w:bottom w:val="nil"/>
              <w:right w:val="nil"/>
            </w:tcBorders>
            <w:noWrap/>
            <w:vAlign w:val="bottom"/>
          </w:tcPr>
          <w:p>
            <w:pPr>
              <w:rPr>
                <w:rFonts w:ascii="Arial" w:hAnsi="Arial" w:cs="Arial"/>
                <w:color w:val="auto"/>
                <w:sz w:val="18"/>
                <w:szCs w:val="18"/>
                <w:highlight w:val="none"/>
              </w:rPr>
            </w:pPr>
          </w:p>
        </w:tc>
        <w:tc>
          <w:tcPr>
            <w:tcW w:w="765" w:type="dxa"/>
            <w:tcBorders>
              <w:top w:val="nil"/>
              <w:left w:val="nil"/>
              <w:bottom w:val="nil"/>
              <w:right w:val="nil"/>
            </w:tcBorders>
            <w:noWrap/>
            <w:vAlign w:val="bottom"/>
          </w:tcPr>
          <w:p>
            <w:pPr>
              <w:rPr>
                <w:rFonts w:ascii="Arial" w:hAnsi="Arial" w:cs="Arial"/>
                <w:color w:val="auto"/>
                <w:sz w:val="18"/>
                <w:szCs w:val="18"/>
                <w:highlight w:val="none"/>
              </w:rPr>
            </w:pPr>
          </w:p>
        </w:tc>
        <w:tc>
          <w:tcPr>
            <w:tcW w:w="1440" w:type="dxa"/>
            <w:tcBorders>
              <w:top w:val="nil"/>
              <w:left w:val="nil"/>
              <w:bottom w:val="nil"/>
              <w:right w:val="nil"/>
            </w:tcBorders>
            <w:noWrap/>
            <w:vAlign w:val="bottom"/>
          </w:tcPr>
          <w:p>
            <w:pPr>
              <w:rPr>
                <w:rFonts w:ascii="Arial" w:hAnsi="Arial" w:cs="Arial"/>
                <w:color w:val="auto"/>
                <w:sz w:val="18"/>
                <w:szCs w:val="18"/>
                <w:highlight w:val="none"/>
              </w:rPr>
            </w:pPr>
          </w:p>
        </w:tc>
        <w:tc>
          <w:tcPr>
            <w:tcW w:w="1065" w:type="dxa"/>
            <w:tcBorders>
              <w:top w:val="nil"/>
              <w:left w:val="nil"/>
              <w:bottom w:val="nil"/>
              <w:right w:val="nil"/>
            </w:tcBorders>
            <w:noWrap/>
            <w:vAlign w:val="bottom"/>
          </w:tcPr>
          <w:p>
            <w:pPr>
              <w:rPr>
                <w:rFonts w:ascii="Arial" w:hAnsi="Arial" w:cs="Arial"/>
                <w:color w:val="auto"/>
                <w:sz w:val="18"/>
                <w:szCs w:val="18"/>
                <w:highlight w:val="none"/>
              </w:rPr>
            </w:pPr>
          </w:p>
        </w:tc>
        <w:tc>
          <w:tcPr>
            <w:tcW w:w="1110" w:type="dxa"/>
            <w:tcBorders>
              <w:top w:val="nil"/>
              <w:left w:val="nil"/>
              <w:bottom w:val="nil"/>
              <w:right w:val="nil"/>
            </w:tcBorders>
            <w:noWrap/>
            <w:vAlign w:val="bottom"/>
          </w:tcPr>
          <w:p>
            <w:pPr>
              <w:rPr>
                <w:rFonts w:ascii="Arial" w:hAnsi="Arial" w:cs="Arial"/>
                <w:color w:val="auto"/>
                <w:sz w:val="18"/>
                <w:szCs w:val="18"/>
                <w:highlight w:val="none"/>
              </w:rPr>
            </w:pPr>
          </w:p>
        </w:tc>
        <w:tc>
          <w:tcPr>
            <w:tcW w:w="2521" w:type="dxa"/>
            <w:gridSpan w:val="2"/>
            <w:tcBorders>
              <w:top w:val="nil"/>
              <w:left w:val="nil"/>
              <w:bottom w:val="nil"/>
              <w:right w:val="nil"/>
            </w:tcBorders>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rPr>
              <w:t>公开07表</w:t>
            </w:r>
          </w:p>
        </w:tc>
      </w:tr>
      <w:tr>
        <w:tblPrEx>
          <w:tblCellMar>
            <w:top w:w="0" w:type="dxa"/>
            <w:left w:w="108" w:type="dxa"/>
            <w:bottom w:w="0" w:type="dxa"/>
            <w:right w:w="108" w:type="dxa"/>
          </w:tblCellMar>
        </w:tblPrEx>
        <w:trPr>
          <w:trHeight w:val="283" w:hRule="atLeast"/>
        </w:trPr>
        <w:tc>
          <w:tcPr>
            <w:tcW w:w="4442" w:type="dxa"/>
            <w:gridSpan w:val="4"/>
            <w:tcBorders>
              <w:top w:val="nil"/>
              <w:left w:val="nil"/>
              <w:bottom w:val="nil"/>
              <w:right w:val="nil"/>
            </w:tcBorders>
            <w:noWrap/>
            <w:vAlign w:val="bottom"/>
          </w:tcPr>
          <w:p>
            <w:pPr>
              <w:rPr>
                <w:rFonts w:ascii="Arial" w:hAnsi="Arial" w:cs="Arial"/>
                <w:color w:val="auto"/>
                <w:sz w:val="18"/>
                <w:szCs w:val="18"/>
                <w:highlight w:val="none"/>
              </w:rPr>
            </w:pPr>
            <w:r>
              <w:rPr>
                <w:rFonts w:hint="eastAsia" w:ascii="宋体" w:hAnsi="宋体" w:cs="宋体"/>
                <w:color w:val="auto"/>
                <w:kern w:val="0"/>
                <w:sz w:val="18"/>
                <w:szCs w:val="18"/>
                <w:highlight w:val="none"/>
                <w:lang w:eastAsia="zh-CN"/>
              </w:rPr>
              <w:t>单位</w:t>
            </w:r>
            <w:r>
              <w:rPr>
                <w:rFonts w:hint="eastAsia" w:ascii="宋体" w:hAnsi="宋体" w:cs="宋体"/>
                <w:color w:val="auto"/>
                <w:kern w:val="0"/>
                <w:sz w:val="18"/>
                <w:szCs w:val="18"/>
                <w:highlight w:val="none"/>
              </w:rPr>
              <w:t>：许昌市</w:t>
            </w:r>
            <w:r>
              <w:rPr>
                <w:rFonts w:hint="eastAsia" w:ascii="宋体" w:hAnsi="宋体" w:cs="宋体"/>
                <w:color w:val="auto"/>
                <w:kern w:val="0"/>
                <w:sz w:val="18"/>
                <w:szCs w:val="18"/>
                <w:highlight w:val="none"/>
                <w:lang w:eastAsia="zh-CN"/>
              </w:rPr>
              <w:t>物业</w:t>
            </w:r>
            <w:r>
              <w:rPr>
                <w:rFonts w:hint="eastAsia" w:ascii="宋体" w:hAnsi="宋体" w:cs="宋体"/>
                <w:color w:val="auto"/>
                <w:kern w:val="0"/>
                <w:sz w:val="18"/>
                <w:szCs w:val="18"/>
                <w:highlight w:val="none"/>
              </w:rPr>
              <w:t>管理中心</w:t>
            </w:r>
          </w:p>
        </w:tc>
        <w:tc>
          <w:tcPr>
            <w:tcW w:w="1102" w:type="dxa"/>
            <w:tcBorders>
              <w:top w:val="nil"/>
              <w:left w:val="nil"/>
              <w:bottom w:val="nil"/>
              <w:right w:val="nil"/>
            </w:tcBorders>
            <w:noWrap/>
            <w:vAlign w:val="bottom"/>
          </w:tcPr>
          <w:p>
            <w:pPr>
              <w:rPr>
                <w:rFonts w:ascii="Arial" w:hAnsi="Arial" w:cs="Arial"/>
                <w:color w:val="auto"/>
                <w:sz w:val="18"/>
                <w:szCs w:val="18"/>
                <w:highlight w:val="none"/>
              </w:rPr>
            </w:pPr>
          </w:p>
        </w:tc>
        <w:tc>
          <w:tcPr>
            <w:tcW w:w="1335" w:type="dxa"/>
            <w:tcBorders>
              <w:top w:val="nil"/>
              <w:left w:val="nil"/>
              <w:bottom w:val="nil"/>
              <w:right w:val="nil"/>
            </w:tcBorders>
            <w:noWrap/>
            <w:vAlign w:val="bottom"/>
          </w:tcPr>
          <w:p>
            <w:pPr>
              <w:rPr>
                <w:rFonts w:ascii="Arial" w:hAnsi="Arial" w:cs="Arial"/>
                <w:color w:val="auto"/>
                <w:sz w:val="18"/>
                <w:szCs w:val="18"/>
                <w:highlight w:val="none"/>
              </w:rPr>
            </w:pPr>
          </w:p>
        </w:tc>
        <w:tc>
          <w:tcPr>
            <w:tcW w:w="765" w:type="dxa"/>
            <w:tcBorders>
              <w:top w:val="nil"/>
              <w:left w:val="nil"/>
              <w:bottom w:val="nil"/>
              <w:right w:val="nil"/>
            </w:tcBorders>
            <w:noWrap/>
            <w:vAlign w:val="bottom"/>
          </w:tcPr>
          <w:p>
            <w:pPr>
              <w:rPr>
                <w:rFonts w:ascii="Arial" w:hAnsi="Arial" w:cs="Arial"/>
                <w:color w:val="auto"/>
                <w:sz w:val="18"/>
                <w:szCs w:val="18"/>
                <w:highlight w:val="none"/>
              </w:rPr>
            </w:pPr>
          </w:p>
        </w:tc>
        <w:tc>
          <w:tcPr>
            <w:tcW w:w="1440" w:type="dxa"/>
            <w:tcBorders>
              <w:top w:val="nil"/>
              <w:left w:val="nil"/>
              <w:bottom w:val="nil"/>
              <w:right w:val="nil"/>
            </w:tcBorders>
            <w:noWrap/>
            <w:vAlign w:val="bottom"/>
          </w:tcPr>
          <w:p>
            <w:pPr>
              <w:rPr>
                <w:rFonts w:ascii="Arial" w:hAnsi="Arial" w:cs="Arial"/>
                <w:color w:val="auto"/>
                <w:sz w:val="18"/>
                <w:szCs w:val="18"/>
                <w:highlight w:val="none"/>
              </w:rPr>
            </w:pPr>
          </w:p>
        </w:tc>
        <w:tc>
          <w:tcPr>
            <w:tcW w:w="1065" w:type="dxa"/>
            <w:tcBorders>
              <w:top w:val="nil"/>
              <w:left w:val="nil"/>
              <w:bottom w:val="nil"/>
              <w:right w:val="nil"/>
            </w:tcBorders>
            <w:noWrap/>
            <w:vAlign w:val="bottom"/>
          </w:tcPr>
          <w:p>
            <w:pPr>
              <w:rPr>
                <w:rFonts w:ascii="Arial" w:hAnsi="Arial" w:cs="Arial"/>
                <w:color w:val="auto"/>
                <w:sz w:val="18"/>
                <w:szCs w:val="18"/>
                <w:highlight w:val="none"/>
              </w:rPr>
            </w:pPr>
          </w:p>
        </w:tc>
        <w:tc>
          <w:tcPr>
            <w:tcW w:w="1110" w:type="dxa"/>
            <w:tcBorders>
              <w:top w:val="nil"/>
              <w:left w:val="nil"/>
              <w:bottom w:val="nil"/>
              <w:right w:val="nil"/>
            </w:tcBorders>
            <w:noWrap/>
            <w:vAlign w:val="bottom"/>
          </w:tcPr>
          <w:p>
            <w:pPr>
              <w:rPr>
                <w:rFonts w:ascii="Arial" w:hAnsi="Arial" w:cs="Arial"/>
                <w:color w:val="auto"/>
                <w:sz w:val="18"/>
                <w:szCs w:val="18"/>
                <w:highlight w:val="none"/>
              </w:rPr>
            </w:pPr>
          </w:p>
        </w:tc>
        <w:tc>
          <w:tcPr>
            <w:tcW w:w="2521" w:type="dxa"/>
            <w:gridSpan w:val="2"/>
            <w:tcBorders>
              <w:top w:val="nil"/>
              <w:left w:val="nil"/>
              <w:bottom w:val="nil"/>
              <w:right w:val="nil"/>
            </w:tcBorders>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rPr>
              <w:t>金额单位：万元</w:t>
            </w:r>
          </w:p>
        </w:tc>
      </w:tr>
      <w:tr>
        <w:tblPrEx>
          <w:tblCellMar>
            <w:top w:w="0" w:type="dxa"/>
            <w:left w:w="108" w:type="dxa"/>
            <w:bottom w:w="0" w:type="dxa"/>
            <w:right w:w="108" w:type="dxa"/>
          </w:tblCellMar>
        </w:tblPrEx>
        <w:trPr>
          <w:trHeight w:val="563" w:hRule="atLeast"/>
        </w:trPr>
        <w:tc>
          <w:tcPr>
            <w:tcW w:w="6879"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预算数</w:t>
            </w:r>
          </w:p>
        </w:tc>
        <w:tc>
          <w:tcPr>
            <w:tcW w:w="6901"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决算数</w:t>
            </w:r>
          </w:p>
        </w:tc>
      </w:tr>
      <w:tr>
        <w:tblPrEx>
          <w:tblCellMar>
            <w:top w:w="0" w:type="dxa"/>
            <w:left w:w="108" w:type="dxa"/>
            <w:bottom w:w="0" w:type="dxa"/>
            <w:right w:w="108" w:type="dxa"/>
          </w:tblCellMar>
        </w:tblPrEx>
        <w:trPr>
          <w:trHeight w:val="738" w:hRule="atLeast"/>
        </w:trPr>
        <w:tc>
          <w:tcPr>
            <w:tcW w:w="699"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合计</w:t>
            </w:r>
          </w:p>
        </w:tc>
        <w:tc>
          <w:tcPr>
            <w:tcW w:w="192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因公出国（境）费</w:t>
            </w:r>
          </w:p>
        </w:tc>
        <w:tc>
          <w:tcPr>
            <w:tcW w:w="2925" w:type="dxa"/>
            <w:gridSpan w:val="3"/>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公务用车购置及运行费</w:t>
            </w:r>
          </w:p>
        </w:tc>
        <w:tc>
          <w:tcPr>
            <w:tcW w:w="133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公务接待费</w:t>
            </w:r>
          </w:p>
        </w:tc>
        <w:tc>
          <w:tcPr>
            <w:tcW w:w="76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合计</w:t>
            </w:r>
          </w:p>
        </w:tc>
        <w:tc>
          <w:tcPr>
            <w:tcW w:w="144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因公出国（境）费</w:t>
            </w:r>
          </w:p>
        </w:tc>
        <w:tc>
          <w:tcPr>
            <w:tcW w:w="3330" w:type="dxa"/>
            <w:gridSpan w:val="3"/>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公务用车购置及运行费</w:t>
            </w:r>
          </w:p>
        </w:tc>
        <w:tc>
          <w:tcPr>
            <w:tcW w:w="1366"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公务接待费</w:t>
            </w:r>
          </w:p>
        </w:tc>
      </w:tr>
      <w:tr>
        <w:tblPrEx>
          <w:tblCellMar>
            <w:top w:w="0" w:type="dxa"/>
            <w:left w:w="108" w:type="dxa"/>
            <w:bottom w:w="0" w:type="dxa"/>
            <w:right w:w="108" w:type="dxa"/>
          </w:tblCellMar>
        </w:tblPrEx>
        <w:trPr>
          <w:trHeight w:val="952" w:hRule="atLeast"/>
        </w:trPr>
        <w:tc>
          <w:tcPr>
            <w:tcW w:w="699"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92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7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小计</w:t>
            </w:r>
          </w:p>
        </w:tc>
        <w:tc>
          <w:tcPr>
            <w:tcW w:w="109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公务用车购置费</w:t>
            </w:r>
          </w:p>
        </w:tc>
        <w:tc>
          <w:tcPr>
            <w:tcW w:w="1102"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公务用车运行费</w:t>
            </w:r>
          </w:p>
        </w:tc>
        <w:tc>
          <w:tcPr>
            <w:tcW w:w="133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76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44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0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小计</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公务用车购置费</w:t>
            </w:r>
          </w:p>
        </w:tc>
        <w:tc>
          <w:tcPr>
            <w:tcW w:w="115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公务用车运行费</w:t>
            </w:r>
          </w:p>
        </w:tc>
        <w:tc>
          <w:tcPr>
            <w:tcW w:w="136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425" w:hRule="atLeast"/>
        </w:trPr>
        <w:tc>
          <w:tcPr>
            <w:tcW w:w="699"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w:t>
            </w:r>
          </w:p>
        </w:tc>
        <w:tc>
          <w:tcPr>
            <w:tcW w:w="19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w:t>
            </w:r>
          </w:p>
        </w:tc>
        <w:tc>
          <w:tcPr>
            <w:tcW w:w="7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w:t>
            </w:r>
          </w:p>
        </w:tc>
        <w:tc>
          <w:tcPr>
            <w:tcW w:w="109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w:t>
            </w:r>
          </w:p>
        </w:tc>
        <w:tc>
          <w:tcPr>
            <w:tcW w:w="1102"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w:t>
            </w:r>
          </w:p>
        </w:tc>
        <w:tc>
          <w:tcPr>
            <w:tcW w:w="13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w:t>
            </w:r>
          </w:p>
        </w:tc>
        <w:tc>
          <w:tcPr>
            <w:tcW w:w="7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7</w:t>
            </w:r>
          </w:p>
        </w:tc>
        <w:tc>
          <w:tcPr>
            <w:tcW w:w="144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8</w:t>
            </w:r>
          </w:p>
        </w:tc>
        <w:tc>
          <w:tcPr>
            <w:tcW w:w="10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9</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10</w:t>
            </w:r>
          </w:p>
        </w:tc>
        <w:tc>
          <w:tcPr>
            <w:tcW w:w="115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11</w:t>
            </w:r>
          </w:p>
        </w:tc>
        <w:tc>
          <w:tcPr>
            <w:tcW w:w="136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12</w:t>
            </w:r>
          </w:p>
        </w:tc>
      </w:tr>
      <w:tr>
        <w:tblPrEx>
          <w:tblCellMar>
            <w:top w:w="0" w:type="dxa"/>
            <w:left w:w="108" w:type="dxa"/>
            <w:bottom w:w="0" w:type="dxa"/>
            <w:right w:w="108" w:type="dxa"/>
          </w:tblCellMar>
        </w:tblPrEx>
        <w:trPr>
          <w:trHeight w:val="425" w:hRule="atLeast"/>
        </w:trPr>
        <w:tc>
          <w:tcPr>
            <w:tcW w:w="699" w:type="dxa"/>
            <w:tcBorders>
              <w:top w:val="nil"/>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92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2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09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10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7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44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0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11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36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25" w:hRule="atLeast"/>
        </w:trPr>
        <w:tc>
          <w:tcPr>
            <w:tcW w:w="699" w:type="dxa"/>
            <w:tcBorders>
              <w:top w:val="nil"/>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auto"/>
                <w:kern w:val="0"/>
                <w:sz w:val="22"/>
                <w:highlight w:val="none"/>
              </w:rPr>
            </w:pPr>
          </w:p>
        </w:tc>
        <w:tc>
          <w:tcPr>
            <w:tcW w:w="192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kern w:val="0"/>
                <w:sz w:val="22"/>
                <w:highlight w:val="none"/>
              </w:rPr>
            </w:pPr>
          </w:p>
        </w:tc>
        <w:tc>
          <w:tcPr>
            <w:tcW w:w="72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kern w:val="0"/>
                <w:sz w:val="22"/>
                <w:highlight w:val="none"/>
              </w:rPr>
            </w:pPr>
          </w:p>
        </w:tc>
        <w:tc>
          <w:tcPr>
            <w:tcW w:w="109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kern w:val="0"/>
                <w:sz w:val="22"/>
                <w:highlight w:val="none"/>
              </w:rPr>
            </w:pPr>
          </w:p>
        </w:tc>
        <w:tc>
          <w:tcPr>
            <w:tcW w:w="110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kern w:val="0"/>
                <w:sz w:val="22"/>
                <w:highlight w:val="none"/>
              </w:rPr>
            </w:pP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kern w:val="0"/>
                <w:sz w:val="22"/>
                <w:highlight w:val="none"/>
              </w:rPr>
            </w:pPr>
          </w:p>
        </w:tc>
        <w:tc>
          <w:tcPr>
            <w:tcW w:w="76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kern w:val="0"/>
                <w:sz w:val="22"/>
                <w:highlight w:val="none"/>
              </w:rPr>
            </w:pPr>
          </w:p>
        </w:tc>
        <w:tc>
          <w:tcPr>
            <w:tcW w:w="144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kern w:val="0"/>
                <w:sz w:val="22"/>
                <w:highlight w:val="none"/>
              </w:rPr>
            </w:pPr>
          </w:p>
        </w:tc>
        <w:tc>
          <w:tcPr>
            <w:tcW w:w="106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kern w:val="0"/>
                <w:sz w:val="22"/>
                <w:highlight w:val="none"/>
              </w:rPr>
            </w:pPr>
          </w:p>
        </w:tc>
        <w:tc>
          <w:tcPr>
            <w:tcW w:w="111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kern w:val="0"/>
                <w:sz w:val="22"/>
                <w:highlight w:val="none"/>
              </w:rPr>
            </w:pP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kern w:val="0"/>
                <w:sz w:val="22"/>
                <w:highlight w:val="none"/>
              </w:rPr>
            </w:pPr>
          </w:p>
        </w:tc>
        <w:tc>
          <w:tcPr>
            <w:tcW w:w="13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auto"/>
                <w:kern w:val="0"/>
                <w:sz w:val="22"/>
                <w:highlight w:val="none"/>
              </w:rPr>
            </w:pPr>
          </w:p>
        </w:tc>
      </w:tr>
      <w:tr>
        <w:tblPrEx>
          <w:tblCellMar>
            <w:top w:w="0" w:type="dxa"/>
            <w:left w:w="108" w:type="dxa"/>
            <w:bottom w:w="0" w:type="dxa"/>
            <w:right w:w="108" w:type="dxa"/>
          </w:tblCellMar>
        </w:tblPrEx>
        <w:trPr>
          <w:trHeight w:val="927" w:hRule="atLeast"/>
        </w:trPr>
        <w:tc>
          <w:tcPr>
            <w:tcW w:w="13780" w:type="dxa"/>
            <w:gridSpan w:val="12"/>
            <w:tcBorders>
              <w:top w:val="nil"/>
              <w:left w:val="nil"/>
              <w:bottom w:val="nil"/>
              <w:right w:val="nil"/>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lang w:bidi="ar"/>
              </w:rPr>
              <w:t>注：本表反映</w:t>
            </w:r>
            <w:r>
              <w:rPr>
                <w:rFonts w:hint="eastAsia" w:ascii="宋体" w:hAnsi="宋体" w:cs="宋体"/>
                <w:color w:val="auto"/>
                <w:kern w:val="0"/>
                <w:sz w:val="22"/>
                <w:highlight w:val="none"/>
                <w:lang w:eastAsia="zh-CN" w:bidi="ar"/>
              </w:rPr>
              <w:t>单位</w:t>
            </w:r>
            <w:r>
              <w:rPr>
                <w:rFonts w:hint="eastAsia" w:ascii="宋体" w:hAnsi="宋体" w:cs="宋体"/>
                <w:color w:val="auto"/>
                <w:kern w:val="0"/>
                <w:sz w:val="22"/>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0" w:num="1"/>
          <w:rtlGutter w:val="0"/>
          <w:docGrid w:linePitch="312" w:charSpace="0"/>
        </w:sectPr>
      </w:pPr>
      <w:r>
        <w:rPr>
          <w:rFonts w:hint="eastAsia" w:ascii="仿宋_GB2312" w:hAnsi="仿宋_GB2312" w:eastAsia="仿宋_GB2312" w:cs="仿宋_GB2312"/>
          <w:color w:val="auto"/>
          <w:sz w:val="32"/>
          <w:szCs w:val="32"/>
          <w:highlight w:val="none"/>
        </w:rPr>
        <w:t>说明：我单位没有预算安排的三公经费，也没有预算安排的三公支出，故本表无数据。</w:t>
      </w:r>
    </w:p>
    <w:tbl>
      <w:tblPr>
        <w:tblStyle w:val="5"/>
        <w:tblW w:w="13963" w:type="dxa"/>
        <w:tblInd w:w="93" w:type="dxa"/>
        <w:tblLayout w:type="fixed"/>
        <w:tblCellMar>
          <w:top w:w="0" w:type="dxa"/>
          <w:left w:w="108" w:type="dxa"/>
          <w:bottom w:w="0" w:type="dxa"/>
          <w:right w:w="108" w:type="dxa"/>
        </w:tblCellMar>
      </w:tblPr>
      <w:tblGrid>
        <w:gridCol w:w="1436"/>
        <w:gridCol w:w="1108"/>
        <w:gridCol w:w="2027"/>
        <w:gridCol w:w="1717"/>
        <w:gridCol w:w="1717"/>
        <w:gridCol w:w="1717"/>
        <w:gridCol w:w="1717"/>
        <w:gridCol w:w="2524"/>
      </w:tblGrid>
      <w:tr>
        <w:tblPrEx>
          <w:tblCellMar>
            <w:top w:w="0" w:type="dxa"/>
            <w:left w:w="108" w:type="dxa"/>
            <w:bottom w:w="0" w:type="dxa"/>
            <w:right w:w="108" w:type="dxa"/>
          </w:tblCellMar>
        </w:tblPrEx>
        <w:trPr>
          <w:trHeight w:val="353" w:hRule="atLeast"/>
        </w:trPr>
        <w:tc>
          <w:tcPr>
            <w:tcW w:w="13963" w:type="dxa"/>
            <w:gridSpan w:val="8"/>
            <w:tcBorders>
              <w:top w:val="nil"/>
              <w:left w:val="nil"/>
              <w:bottom w:val="nil"/>
              <w:right w:val="nil"/>
            </w:tcBorders>
            <w:noWrap/>
            <w:vAlign w:val="bottom"/>
          </w:tcPr>
          <w:p>
            <w:pPr>
              <w:widowControl/>
              <w:jc w:val="center"/>
              <w:textAlignment w:val="bottom"/>
              <w:rPr>
                <w:rFonts w:ascii="宋体" w:hAnsi="宋体" w:cs="宋体"/>
                <w:color w:val="auto"/>
                <w:sz w:val="30"/>
                <w:szCs w:val="30"/>
                <w:highlight w:val="none"/>
              </w:rPr>
            </w:pPr>
            <w:r>
              <w:rPr>
                <w:rFonts w:hint="eastAsia" w:ascii="宋体" w:hAnsi="宋体" w:cs="宋体"/>
                <w:color w:val="auto"/>
                <w:kern w:val="0"/>
                <w:sz w:val="30"/>
                <w:szCs w:val="30"/>
                <w:highlight w:val="none"/>
              </w:rPr>
              <w:t>政府性基金预算财政拨款收入支出决算表</w:t>
            </w:r>
          </w:p>
        </w:tc>
      </w:tr>
      <w:tr>
        <w:tblPrEx>
          <w:tblCellMar>
            <w:top w:w="0" w:type="dxa"/>
            <w:left w:w="108" w:type="dxa"/>
            <w:bottom w:w="0" w:type="dxa"/>
            <w:right w:w="108" w:type="dxa"/>
          </w:tblCellMar>
        </w:tblPrEx>
        <w:trPr>
          <w:trHeight w:val="283" w:hRule="atLeast"/>
        </w:trPr>
        <w:tc>
          <w:tcPr>
            <w:tcW w:w="4571" w:type="dxa"/>
            <w:gridSpan w:val="3"/>
            <w:tcBorders>
              <w:top w:val="nil"/>
              <w:left w:val="nil"/>
              <w:bottom w:val="nil"/>
              <w:right w:val="nil"/>
            </w:tcBorders>
            <w:noWrap/>
            <w:vAlign w:val="bottom"/>
          </w:tcPr>
          <w:p>
            <w:pPr>
              <w:rPr>
                <w:rFonts w:ascii="Arial" w:hAnsi="Arial" w:cs="Arial"/>
                <w:color w:val="auto"/>
                <w:sz w:val="18"/>
                <w:szCs w:val="18"/>
                <w:highlight w:val="none"/>
              </w:rPr>
            </w:pPr>
          </w:p>
        </w:tc>
        <w:tc>
          <w:tcPr>
            <w:tcW w:w="1717" w:type="dxa"/>
            <w:tcBorders>
              <w:top w:val="nil"/>
              <w:left w:val="nil"/>
              <w:bottom w:val="nil"/>
              <w:right w:val="nil"/>
            </w:tcBorders>
            <w:noWrap/>
            <w:vAlign w:val="bottom"/>
          </w:tcPr>
          <w:p>
            <w:pPr>
              <w:rPr>
                <w:rFonts w:ascii="Arial" w:hAnsi="Arial" w:cs="Arial"/>
                <w:color w:val="auto"/>
                <w:sz w:val="18"/>
                <w:szCs w:val="18"/>
                <w:highlight w:val="none"/>
              </w:rPr>
            </w:pPr>
          </w:p>
        </w:tc>
        <w:tc>
          <w:tcPr>
            <w:tcW w:w="1717" w:type="dxa"/>
            <w:tcBorders>
              <w:top w:val="nil"/>
              <w:left w:val="nil"/>
              <w:bottom w:val="nil"/>
              <w:right w:val="nil"/>
            </w:tcBorders>
            <w:noWrap/>
            <w:vAlign w:val="bottom"/>
          </w:tcPr>
          <w:p>
            <w:pPr>
              <w:rPr>
                <w:rFonts w:ascii="Arial" w:hAnsi="Arial" w:cs="Arial"/>
                <w:color w:val="auto"/>
                <w:sz w:val="18"/>
                <w:szCs w:val="18"/>
                <w:highlight w:val="none"/>
              </w:rPr>
            </w:pPr>
          </w:p>
        </w:tc>
        <w:tc>
          <w:tcPr>
            <w:tcW w:w="1717" w:type="dxa"/>
            <w:tcBorders>
              <w:top w:val="nil"/>
              <w:left w:val="nil"/>
              <w:bottom w:val="nil"/>
              <w:right w:val="nil"/>
            </w:tcBorders>
            <w:noWrap/>
            <w:vAlign w:val="bottom"/>
          </w:tcPr>
          <w:p>
            <w:pPr>
              <w:rPr>
                <w:rFonts w:ascii="Arial" w:hAnsi="Arial" w:cs="Arial"/>
                <w:color w:val="auto"/>
                <w:sz w:val="18"/>
                <w:szCs w:val="18"/>
                <w:highlight w:val="none"/>
              </w:rPr>
            </w:pPr>
          </w:p>
        </w:tc>
        <w:tc>
          <w:tcPr>
            <w:tcW w:w="1717" w:type="dxa"/>
            <w:tcBorders>
              <w:top w:val="nil"/>
              <w:left w:val="nil"/>
              <w:bottom w:val="nil"/>
              <w:right w:val="nil"/>
            </w:tcBorders>
            <w:noWrap/>
            <w:vAlign w:val="bottom"/>
          </w:tcPr>
          <w:p>
            <w:pPr>
              <w:rPr>
                <w:rFonts w:ascii="Arial" w:hAnsi="Arial" w:cs="Arial"/>
                <w:color w:val="auto"/>
                <w:sz w:val="18"/>
                <w:szCs w:val="18"/>
                <w:highlight w:val="none"/>
              </w:rPr>
            </w:pPr>
          </w:p>
        </w:tc>
        <w:tc>
          <w:tcPr>
            <w:tcW w:w="2524" w:type="dxa"/>
            <w:tcBorders>
              <w:top w:val="nil"/>
              <w:left w:val="nil"/>
              <w:bottom w:val="nil"/>
              <w:right w:val="nil"/>
            </w:tcBorders>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rPr>
              <w:t>公开08表</w:t>
            </w:r>
          </w:p>
        </w:tc>
      </w:tr>
      <w:tr>
        <w:tblPrEx>
          <w:tblCellMar>
            <w:top w:w="0" w:type="dxa"/>
            <w:left w:w="108" w:type="dxa"/>
            <w:bottom w:w="0" w:type="dxa"/>
            <w:right w:w="108" w:type="dxa"/>
          </w:tblCellMar>
        </w:tblPrEx>
        <w:trPr>
          <w:trHeight w:val="283" w:hRule="atLeast"/>
        </w:trPr>
        <w:tc>
          <w:tcPr>
            <w:tcW w:w="4571" w:type="dxa"/>
            <w:gridSpan w:val="3"/>
            <w:tcBorders>
              <w:top w:val="nil"/>
              <w:left w:val="nil"/>
              <w:bottom w:val="nil"/>
              <w:right w:val="nil"/>
            </w:tcBorders>
            <w:noWrap/>
            <w:vAlign w:val="bottom"/>
          </w:tcPr>
          <w:p>
            <w:pPr>
              <w:rPr>
                <w:rFonts w:ascii="Arial" w:hAnsi="Arial" w:cs="Arial"/>
                <w:color w:val="auto"/>
                <w:sz w:val="18"/>
                <w:szCs w:val="18"/>
                <w:highlight w:val="none"/>
              </w:rPr>
            </w:pPr>
            <w:r>
              <w:rPr>
                <w:rFonts w:hint="eastAsia" w:ascii="宋体" w:hAnsi="宋体" w:cs="宋体"/>
                <w:color w:val="auto"/>
                <w:kern w:val="0"/>
                <w:sz w:val="18"/>
                <w:szCs w:val="18"/>
                <w:highlight w:val="none"/>
                <w:lang w:eastAsia="zh-CN"/>
              </w:rPr>
              <w:t>单位</w:t>
            </w:r>
            <w:r>
              <w:rPr>
                <w:rFonts w:hint="eastAsia" w:ascii="宋体" w:hAnsi="宋体" w:cs="宋体"/>
                <w:color w:val="auto"/>
                <w:kern w:val="0"/>
                <w:sz w:val="18"/>
                <w:szCs w:val="18"/>
                <w:highlight w:val="none"/>
              </w:rPr>
              <w:t>：许昌市</w:t>
            </w:r>
            <w:r>
              <w:rPr>
                <w:rFonts w:hint="eastAsia" w:ascii="宋体" w:hAnsi="宋体" w:cs="宋体"/>
                <w:color w:val="auto"/>
                <w:kern w:val="0"/>
                <w:sz w:val="18"/>
                <w:szCs w:val="18"/>
                <w:highlight w:val="none"/>
                <w:lang w:eastAsia="zh-CN"/>
              </w:rPr>
              <w:t>物业</w:t>
            </w:r>
            <w:r>
              <w:rPr>
                <w:rFonts w:hint="eastAsia" w:ascii="宋体" w:hAnsi="宋体" w:cs="宋体"/>
                <w:color w:val="auto"/>
                <w:kern w:val="0"/>
                <w:sz w:val="18"/>
                <w:szCs w:val="18"/>
                <w:highlight w:val="none"/>
              </w:rPr>
              <w:t>管理中心</w:t>
            </w:r>
          </w:p>
        </w:tc>
        <w:tc>
          <w:tcPr>
            <w:tcW w:w="1717" w:type="dxa"/>
            <w:tcBorders>
              <w:top w:val="nil"/>
              <w:left w:val="nil"/>
              <w:bottom w:val="nil"/>
              <w:right w:val="nil"/>
            </w:tcBorders>
            <w:noWrap/>
            <w:vAlign w:val="bottom"/>
          </w:tcPr>
          <w:p>
            <w:pPr>
              <w:rPr>
                <w:rFonts w:ascii="Arial" w:hAnsi="Arial" w:cs="Arial"/>
                <w:color w:val="auto"/>
                <w:sz w:val="18"/>
                <w:szCs w:val="18"/>
                <w:highlight w:val="none"/>
              </w:rPr>
            </w:pPr>
          </w:p>
        </w:tc>
        <w:tc>
          <w:tcPr>
            <w:tcW w:w="1717" w:type="dxa"/>
            <w:tcBorders>
              <w:top w:val="nil"/>
              <w:left w:val="nil"/>
              <w:bottom w:val="nil"/>
              <w:right w:val="nil"/>
            </w:tcBorders>
            <w:noWrap/>
            <w:vAlign w:val="bottom"/>
          </w:tcPr>
          <w:p>
            <w:pPr>
              <w:rPr>
                <w:rFonts w:ascii="Arial" w:hAnsi="Arial" w:cs="Arial"/>
                <w:color w:val="auto"/>
                <w:sz w:val="18"/>
                <w:szCs w:val="18"/>
                <w:highlight w:val="none"/>
              </w:rPr>
            </w:pPr>
          </w:p>
        </w:tc>
        <w:tc>
          <w:tcPr>
            <w:tcW w:w="1717" w:type="dxa"/>
            <w:tcBorders>
              <w:top w:val="nil"/>
              <w:left w:val="nil"/>
              <w:bottom w:val="nil"/>
              <w:right w:val="nil"/>
            </w:tcBorders>
            <w:noWrap/>
            <w:vAlign w:val="bottom"/>
          </w:tcPr>
          <w:p>
            <w:pPr>
              <w:rPr>
                <w:rFonts w:ascii="Arial" w:hAnsi="Arial" w:cs="Arial"/>
                <w:color w:val="auto"/>
                <w:sz w:val="18"/>
                <w:szCs w:val="18"/>
                <w:highlight w:val="none"/>
              </w:rPr>
            </w:pPr>
          </w:p>
        </w:tc>
        <w:tc>
          <w:tcPr>
            <w:tcW w:w="1717" w:type="dxa"/>
            <w:tcBorders>
              <w:top w:val="nil"/>
              <w:left w:val="nil"/>
              <w:bottom w:val="nil"/>
              <w:right w:val="nil"/>
            </w:tcBorders>
            <w:noWrap/>
            <w:vAlign w:val="bottom"/>
          </w:tcPr>
          <w:p>
            <w:pPr>
              <w:rPr>
                <w:rFonts w:ascii="Arial" w:hAnsi="Arial" w:cs="Arial"/>
                <w:color w:val="auto"/>
                <w:sz w:val="18"/>
                <w:szCs w:val="18"/>
                <w:highlight w:val="none"/>
              </w:rPr>
            </w:pPr>
          </w:p>
        </w:tc>
        <w:tc>
          <w:tcPr>
            <w:tcW w:w="2524" w:type="dxa"/>
            <w:tcBorders>
              <w:top w:val="nil"/>
              <w:left w:val="nil"/>
              <w:bottom w:val="nil"/>
              <w:right w:val="nil"/>
            </w:tcBorders>
            <w:noWrap/>
            <w:vAlign w:val="bottom"/>
          </w:tcPr>
          <w:p>
            <w:pPr>
              <w:widowControl/>
              <w:jc w:val="right"/>
              <w:textAlignment w:val="bottom"/>
              <w:rPr>
                <w:rFonts w:ascii="宋体" w:hAnsi="宋体" w:cs="宋体"/>
                <w:color w:val="auto"/>
                <w:sz w:val="18"/>
                <w:szCs w:val="18"/>
                <w:highlight w:val="none"/>
              </w:rPr>
            </w:pPr>
            <w:r>
              <w:rPr>
                <w:rFonts w:hint="eastAsia" w:ascii="宋体" w:hAnsi="宋体" w:cs="宋体"/>
                <w:color w:val="auto"/>
                <w:kern w:val="0"/>
                <w:sz w:val="18"/>
                <w:szCs w:val="18"/>
                <w:highlight w:val="none"/>
              </w:rPr>
              <w:t>金额单位：万元</w:t>
            </w:r>
          </w:p>
        </w:tc>
      </w:tr>
      <w:tr>
        <w:tblPrEx>
          <w:tblCellMar>
            <w:top w:w="0" w:type="dxa"/>
            <w:left w:w="108" w:type="dxa"/>
            <w:bottom w:w="0" w:type="dxa"/>
            <w:right w:w="108" w:type="dxa"/>
          </w:tblCellMar>
        </w:tblPrEx>
        <w:trPr>
          <w:trHeight w:val="425" w:hRule="atLeast"/>
        </w:trPr>
        <w:tc>
          <w:tcPr>
            <w:tcW w:w="254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w:t>
            </w:r>
          </w:p>
        </w:tc>
        <w:tc>
          <w:tcPr>
            <w:tcW w:w="2027"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年初结转和结余</w:t>
            </w:r>
          </w:p>
        </w:tc>
        <w:tc>
          <w:tcPr>
            <w:tcW w:w="1717"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本年收入</w:t>
            </w:r>
          </w:p>
        </w:tc>
        <w:tc>
          <w:tcPr>
            <w:tcW w:w="5151" w:type="dxa"/>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本年支出</w:t>
            </w:r>
          </w:p>
        </w:tc>
        <w:tc>
          <w:tcPr>
            <w:tcW w:w="2524"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年末结转和结余</w:t>
            </w:r>
          </w:p>
        </w:tc>
      </w:tr>
      <w:tr>
        <w:tblPrEx>
          <w:tblCellMar>
            <w:top w:w="0" w:type="dxa"/>
            <w:left w:w="108" w:type="dxa"/>
            <w:bottom w:w="0" w:type="dxa"/>
            <w:right w:w="108" w:type="dxa"/>
          </w:tblCellMar>
        </w:tblPrEx>
        <w:trPr>
          <w:trHeight w:val="425" w:hRule="atLeast"/>
        </w:trPr>
        <w:tc>
          <w:tcPr>
            <w:tcW w:w="1436"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 w:val="22"/>
                <w:highlight w:val="none"/>
              </w:rPr>
            </w:pPr>
            <w:r>
              <w:rPr>
                <w:rFonts w:hint="eastAsia" w:ascii="宋体" w:hAnsi="宋体" w:cs="宋体"/>
                <w:color w:val="auto"/>
                <w:kern w:val="0"/>
                <w:sz w:val="22"/>
                <w:highlight w:val="none"/>
              </w:rPr>
              <w:t>功能分类</w:t>
            </w:r>
          </w:p>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科目编码</w:t>
            </w:r>
          </w:p>
        </w:tc>
        <w:tc>
          <w:tcPr>
            <w:tcW w:w="1108"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科目名称</w:t>
            </w:r>
          </w:p>
        </w:tc>
        <w:tc>
          <w:tcPr>
            <w:tcW w:w="202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71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717"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小计</w:t>
            </w:r>
          </w:p>
        </w:tc>
        <w:tc>
          <w:tcPr>
            <w:tcW w:w="1717"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基本支出</w:t>
            </w:r>
          </w:p>
        </w:tc>
        <w:tc>
          <w:tcPr>
            <w:tcW w:w="1717"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项目支出</w:t>
            </w:r>
          </w:p>
        </w:tc>
        <w:tc>
          <w:tcPr>
            <w:tcW w:w="252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425" w:hRule="atLeast"/>
        </w:trPr>
        <w:tc>
          <w:tcPr>
            <w:tcW w:w="1436"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10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202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71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71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71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71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252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425" w:hRule="atLeast"/>
        </w:trPr>
        <w:tc>
          <w:tcPr>
            <w:tcW w:w="1436"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10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202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71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71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71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171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c>
          <w:tcPr>
            <w:tcW w:w="252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auto"/>
                <w:sz w:val="22"/>
                <w:highlight w:val="none"/>
              </w:rPr>
            </w:pPr>
          </w:p>
        </w:tc>
      </w:tr>
      <w:tr>
        <w:tblPrEx>
          <w:tblCellMar>
            <w:top w:w="0" w:type="dxa"/>
            <w:left w:w="108" w:type="dxa"/>
            <w:bottom w:w="0" w:type="dxa"/>
            <w:right w:w="108" w:type="dxa"/>
          </w:tblCellMar>
        </w:tblPrEx>
        <w:trPr>
          <w:trHeight w:val="425" w:hRule="atLeast"/>
        </w:trPr>
        <w:tc>
          <w:tcPr>
            <w:tcW w:w="254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栏次</w:t>
            </w:r>
          </w:p>
        </w:tc>
        <w:tc>
          <w:tcPr>
            <w:tcW w:w="202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w:t>
            </w:r>
          </w:p>
        </w:tc>
        <w:tc>
          <w:tcPr>
            <w:tcW w:w="171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w:t>
            </w:r>
          </w:p>
        </w:tc>
        <w:tc>
          <w:tcPr>
            <w:tcW w:w="171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w:t>
            </w:r>
          </w:p>
        </w:tc>
        <w:tc>
          <w:tcPr>
            <w:tcW w:w="171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w:t>
            </w:r>
          </w:p>
        </w:tc>
        <w:tc>
          <w:tcPr>
            <w:tcW w:w="171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w:t>
            </w:r>
          </w:p>
        </w:tc>
        <w:tc>
          <w:tcPr>
            <w:tcW w:w="2524"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w:t>
            </w:r>
          </w:p>
        </w:tc>
      </w:tr>
      <w:tr>
        <w:tblPrEx>
          <w:tblCellMar>
            <w:top w:w="0" w:type="dxa"/>
            <w:left w:w="108" w:type="dxa"/>
            <w:bottom w:w="0" w:type="dxa"/>
            <w:right w:w="108" w:type="dxa"/>
          </w:tblCellMar>
        </w:tblPrEx>
        <w:trPr>
          <w:trHeight w:val="425" w:hRule="atLeast"/>
        </w:trPr>
        <w:tc>
          <w:tcPr>
            <w:tcW w:w="254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合计</w:t>
            </w:r>
          </w:p>
        </w:tc>
        <w:tc>
          <w:tcPr>
            <w:tcW w:w="2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　</w:t>
            </w:r>
          </w:p>
        </w:tc>
        <w:tc>
          <w:tcPr>
            <w:tcW w:w="252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　</w:t>
            </w:r>
          </w:p>
        </w:tc>
      </w:tr>
      <w:tr>
        <w:tblPrEx>
          <w:tblCellMar>
            <w:top w:w="0" w:type="dxa"/>
            <w:left w:w="108" w:type="dxa"/>
            <w:bottom w:w="0" w:type="dxa"/>
            <w:right w:w="108" w:type="dxa"/>
          </w:tblCellMar>
        </w:tblPrEx>
        <w:trPr>
          <w:trHeight w:val="425" w:hRule="atLeast"/>
        </w:trPr>
        <w:tc>
          <w:tcPr>
            <w:tcW w:w="143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10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2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252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25" w:hRule="atLeast"/>
        </w:trPr>
        <w:tc>
          <w:tcPr>
            <w:tcW w:w="143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10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2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252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425" w:hRule="atLeast"/>
        </w:trPr>
        <w:tc>
          <w:tcPr>
            <w:tcW w:w="143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10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2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c>
          <w:tcPr>
            <w:tcW w:w="252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auto"/>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584" w:hRule="atLeast"/>
        </w:trPr>
        <w:tc>
          <w:tcPr>
            <w:tcW w:w="13963" w:type="dxa"/>
            <w:gridSpan w:val="8"/>
            <w:tcBorders>
              <w:top w:val="nil"/>
              <w:left w:val="nil"/>
              <w:bottom w:val="nil"/>
              <w:right w:val="nil"/>
            </w:tcBorders>
            <w:noWrap/>
            <w:vAlign w:val="center"/>
          </w:tcPr>
          <w:p>
            <w:pPr>
              <w:widowControl/>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注：本表反映</w:t>
            </w:r>
            <w:r>
              <w:rPr>
                <w:rFonts w:hint="eastAsia" w:ascii="宋体" w:hAnsi="宋体" w:cs="宋体"/>
                <w:color w:val="auto"/>
                <w:kern w:val="0"/>
                <w:sz w:val="22"/>
                <w:highlight w:val="none"/>
                <w:lang w:eastAsia="zh-CN"/>
              </w:rPr>
              <w:t>单位</w:t>
            </w:r>
            <w:r>
              <w:rPr>
                <w:rFonts w:hint="eastAsia" w:ascii="宋体" w:hAnsi="宋体" w:cs="宋体"/>
                <w:color w:val="auto"/>
                <w:kern w:val="0"/>
                <w:sz w:val="22"/>
                <w:highlight w:val="none"/>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3" w:right="1440" w:bottom="1803" w:left="1440" w:header="720" w:footer="720" w:gutter="0"/>
          <w:pgBorders>
            <w:top w:val="none" w:sz="0" w:space="0"/>
            <w:left w:val="none" w:sz="0" w:space="0"/>
            <w:bottom w:val="none" w:sz="0" w:space="0"/>
            <w:right w:val="none" w:sz="0" w:space="0"/>
          </w:pgBorders>
          <w:pgNumType w:fmt="numberInDash"/>
          <w:cols w:space="0" w:num="1"/>
          <w:rtlGutter w:val="0"/>
          <w:docGrid w:linePitch="312" w:charSpace="0"/>
        </w:sectPr>
      </w:pPr>
      <w:r>
        <w:rPr>
          <w:rFonts w:hint="eastAsia" w:ascii="仿宋_GB2312" w:hAnsi="仿宋_GB2312" w:eastAsia="仿宋_GB2312" w:cs="仿宋_GB2312"/>
          <w:color w:val="auto"/>
          <w:kern w:val="0"/>
          <w:sz w:val="32"/>
          <w:szCs w:val="32"/>
          <w:highlight w:val="none"/>
        </w:rPr>
        <w:t>说明：我单位没有政府性基金收入，也没有使用政府性基金安排的支出，故本表无数据。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ascii="黑体" w:hAnsi="黑体" w:eastAsia="黑体" w:cs="黑体"/>
          <w:color w:val="auto"/>
          <w:sz w:val="48"/>
          <w:szCs w:val="4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ascii="仿宋_GB2312" w:hAnsi="仿宋_GB2312" w:eastAsia="仿宋_GB2312" w:cs="仿宋_GB2312"/>
          <w:color w:val="auto"/>
          <w:sz w:val="32"/>
          <w:szCs w:val="32"/>
          <w:highlight w:val="none"/>
        </w:rPr>
        <w:t>128.20</w:t>
      </w:r>
      <w:r>
        <w:rPr>
          <w:rFonts w:hint="eastAsia" w:ascii="仿宋_GB2312" w:hAnsi="仿宋_GB2312" w:eastAsia="仿宋_GB2312" w:cs="仿宋_GB2312"/>
          <w:color w:val="auto"/>
          <w:sz w:val="32"/>
          <w:szCs w:val="32"/>
          <w:highlight w:val="none"/>
        </w:rPr>
        <w:t>万元。与上年度相比，收、支总计各增加</w:t>
      </w:r>
      <w:r>
        <w:rPr>
          <w:rFonts w:ascii="仿宋_GB2312" w:hAnsi="仿宋_GB2312" w:eastAsia="仿宋_GB2312" w:cs="仿宋_GB2312"/>
          <w:color w:val="auto"/>
          <w:sz w:val="32"/>
          <w:szCs w:val="32"/>
          <w:highlight w:val="none"/>
        </w:rPr>
        <w:t>1.12</w:t>
      </w:r>
      <w:r>
        <w:rPr>
          <w:rFonts w:hint="eastAsia" w:ascii="仿宋_GB2312" w:hAnsi="仿宋_GB2312" w:eastAsia="仿宋_GB2312" w:cs="仿宋_GB2312"/>
          <w:color w:val="auto"/>
          <w:sz w:val="32"/>
          <w:szCs w:val="32"/>
          <w:highlight w:val="none"/>
        </w:rPr>
        <w:t>万元，增长</w:t>
      </w:r>
      <w:r>
        <w:rPr>
          <w:rFonts w:ascii="仿宋_GB2312" w:hAnsi="仿宋_GB2312" w:eastAsia="仿宋_GB2312" w:cs="仿宋_GB2312"/>
          <w:color w:val="auto"/>
          <w:sz w:val="32"/>
          <w:szCs w:val="32"/>
          <w:highlight w:val="none"/>
        </w:rPr>
        <w:t>0.88</w:t>
      </w:r>
      <w:r>
        <w:rPr>
          <w:rFonts w:hint="eastAsia" w:ascii="仿宋_GB2312" w:hAnsi="仿宋_GB2312" w:eastAsia="仿宋_GB2312" w:cs="仿宋_GB2312"/>
          <w:color w:val="auto"/>
          <w:sz w:val="32"/>
          <w:szCs w:val="32"/>
          <w:highlight w:val="none"/>
        </w:rPr>
        <w:t>%。主要原因是</w:t>
      </w:r>
      <w:r>
        <w:rPr>
          <w:rFonts w:hint="default" w:ascii="仿宋_GB2312" w:hAnsi="宋体" w:eastAsia="仿宋_GB2312"/>
          <w:color w:val="auto"/>
          <w:sz w:val="32"/>
          <w:highlight w:val="none"/>
          <w:shd w:val="clear" w:color="auto" w:fill="auto"/>
          <w:lang w:eastAsia="zh-CN"/>
        </w:rPr>
        <w:t>按规定程序调整人员经费。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ascii="仿宋_GB2312" w:hAnsi="仿宋_GB2312" w:eastAsia="仿宋_GB2312" w:cs="仿宋_GB2312"/>
          <w:color w:val="auto"/>
          <w:sz w:val="32"/>
          <w:szCs w:val="32"/>
          <w:highlight w:val="none"/>
        </w:rPr>
        <w:t>124.55</w:t>
      </w:r>
      <w:r>
        <w:rPr>
          <w:rFonts w:hint="eastAsia" w:ascii="仿宋_GB2312" w:hAnsi="仿宋_GB2312" w:eastAsia="仿宋_GB2312" w:cs="仿宋_GB2312"/>
          <w:color w:val="auto"/>
          <w:sz w:val="32"/>
          <w:szCs w:val="32"/>
          <w:highlight w:val="none"/>
        </w:rPr>
        <w:t>万元，其中：财政拨款收入</w:t>
      </w:r>
      <w:r>
        <w:rPr>
          <w:rFonts w:ascii="仿宋_GB2312" w:hAnsi="仿宋_GB2312" w:eastAsia="仿宋_GB2312" w:cs="仿宋_GB2312"/>
          <w:color w:val="auto"/>
          <w:sz w:val="32"/>
          <w:szCs w:val="32"/>
          <w:highlight w:val="none"/>
        </w:rPr>
        <w:t>124.55</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100.00</w:t>
      </w:r>
      <w:r>
        <w:rPr>
          <w:rFonts w:hint="eastAsia" w:ascii="仿宋_GB2312" w:hAnsi="仿宋_GB2312" w:eastAsia="仿宋_GB2312" w:cs="仿宋_GB2312"/>
          <w:color w:val="auto"/>
          <w:sz w:val="32"/>
          <w:szCs w:val="32"/>
          <w:highlight w:val="none"/>
        </w:rPr>
        <w:t>%；上级补助收入</w:t>
      </w:r>
      <w:r>
        <w:rPr>
          <w:rFonts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%；事业收入</w:t>
      </w:r>
      <w:r>
        <w:rPr>
          <w:rFonts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%；经营收入</w:t>
      </w:r>
      <w:r>
        <w:rPr>
          <w:rFonts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%；附属单位上缴收入</w:t>
      </w:r>
      <w:r>
        <w:rPr>
          <w:rFonts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%；其他收入</w:t>
      </w:r>
      <w:r>
        <w:rPr>
          <w:rFonts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ascii="仿宋_GB2312" w:hAnsi="仿宋_GB2312" w:eastAsia="仿宋_GB2312" w:cs="仿宋_GB2312"/>
          <w:color w:val="auto"/>
          <w:sz w:val="32"/>
          <w:szCs w:val="32"/>
          <w:highlight w:val="none"/>
        </w:rPr>
        <w:t>128.20</w:t>
      </w:r>
      <w:r>
        <w:rPr>
          <w:rFonts w:hint="eastAsia" w:ascii="仿宋_GB2312" w:hAnsi="仿宋_GB2312" w:eastAsia="仿宋_GB2312" w:cs="仿宋_GB2312"/>
          <w:color w:val="auto"/>
          <w:sz w:val="32"/>
          <w:szCs w:val="32"/>
          <w:highlight w:val="none"/>
        </w:rPr>
        <w:t>万元，其中：基本支出</w:t>
      </w:r>
      <w:r>
        <w:rPr>
          <w:rFonts w:ascii="仿宋_GB2312" w:hAnsi="仿宋_GB2312" w:eastAsia="仿宋_GB2312" w:cs="仿宋_GB2312"/>
          <w:color w:val="auto"/>
          <w:sz w:val="32"/>
          <w:szCs w:val="32"/>
          <w:highlight w:val="none"/>
        </w:rPr>
        <w:t>113.76</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88.74</w:t>
      </w:r>
      <w:r>
        <w:rPr>
          <w:rFonts w:hint="eastAsia" w:ascii="仿宋_GB2312" w:hAnsi="仿宋_GB2312" w:eastAsia="仿宋_GB2312" w:cs="仿宋_GB2312"/>
          <w:color w:val="auto"/>
          <w:sz w:val="32"/>
          <w:szCs w:val="32"/>
          <w:highlight w:val="none"/>
        </w:rPr>
        <w:t>%；项目支出</w:t>
      </w:r>
      <w:r>
        <w:rPr>
          <w:rFonts w:ascii="仿宋_GB2312" w:hAnsi="仿宋_GB2312" w:eastAsia="仿宋_GB2312" w:cs="仿宋_GB2312"/>
          <w:color w:val="auto"/>
          <w:sz w:val="32"/>
          <w:szCs w:val="32"/>
          <w:highlight w:val="none"/>
        </w:rPr>
        <w:t>14.44</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11.26</w:t>
      </w:r>
      <w:r>
        <w:rPr>
          <w:rFonts w:hint="eastAsia" w:ascii="仿宋_GB2312" w:hAnsi="仿宋_GB2312" w:eastAsia="仿宋_GB2312" w:cs="仿宋_GB2312"/>
          <w:color w:val="auto"/>
          <w:sz w:val="32"/>
          <w:szCs w:val="32"/>
          <w:highlight w:val="none"/>
        </w:rPr>
        <w:t>%；上缴上级支出</w:t>
      </w:r>
      <w:r>
        <w:rPr>
          <w:rFonts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%；经营支出</w:t>
      </w:r>
      <w:r>
        <w:rPr>
          <w:rFonts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%；对附属单位补助支出</w:t>
      </w:r>
      <w:r>
        <w:rPr>
          <w:rFonts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0.00</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ascii="仿宋_GB2312" w:hAnsi="仿宋_GB2312" w:eastAsia="仿宋_GB2312" w:cs="仿宋_GB2312"/>
          <w:color w:val="auto"/>
          <w:sz w:val="32"/>
          <w:szCs w:val="32"/>
          <w:highlight w:val="none"/>
        </w:rPr>
        <w:t>128.20</w:t>
      </w:r>
      <w:r>
        <w:rPr>
          <w:rFonts w:hint="eastAsia" w:ascii="仿宋_GB2312" w:hAnsi="仿宋_GB2312" w:eastAsia="仿宋_GB2312" w:cs="仿宋_GB2312"/>
          <w:color w:val="auto"/>
          <w:sz w:val="32"/>
          <w:szCs w:val="32"/>
          <w:highlight w:val="none"/>
        </w:rPr>
        <w:t>万元。与上年度相比，财政拨款收、支总计各增加</w:t>
      </w:r>
      <w:r>
        <w:rPr>
          <w:rFonts w:ascii="仿宋_GB2312" w:hAnsi="仿宋_GB2312" w:eastAsia="仿宋_GB2312" w:cs="仿宋_GB2312"/>
          <w:color w:val="auto"/>
          <w:sz w:val="32"/>
          <w:szCs w:val="32"/>
          <w:highlight w:val="none"/>
        </w:rPr>
        <w:t>1.12</w:t>
      </w:r>
      <w:r>
        <w:rPr>
          <w:rFonts w:hint="eastAsia" w:ascii="仿宋_GB2312" w:hAnsi="仿宋_GB2312" w:eastAsia="仿宋_GB2312" w:cs="仿宋_GB2312"/>
          <w:color w:val="auto"/>
          <w:sz w:val="32"/>
          <w:szCs w:val="32"/>
          <w:highlight w:val="none"/>
        </w:rPr>
        <w:t>万元，增长</w:t>
      </w:r>
      <w:r>
        <w:rPr>
          <w:rFonts w:ascii="仿宋_GB2312" w:hAnsi="仿宋_GB2312" w:eastAsia="仿宋_GB2312" w:cs="仿宋_GB2312"/>
          <w:color w:val="auto"/>
          <w:sz w:val="32"/>
          <w:szCs w:val="32"/>
          <w:highlight w:val="none"/>
        </w:rPr>
        <w:t>0.88</w:t>
      </w:r>
      <w:r>
        <w:rPr>
          <w:rFonts w:hint="eastAsia" w:ascii="仿宋_GB2312" w:hAnsi="仿宋_GB2312" w:eastAsia="仿宋_GB2312" w:cs="仿宋_GB2312"/>
          <w:color w:val="auto"/>
          <w:sz w:val="32"/>
          <w:szCs w:val="32"/>
          <w:highlight w:val="none"/>
        </w:rPr>
        <w:t>%。主要原因是</w:t>
      </w:r>
      <w:r>
        <w:rPr>
          <w:rFonts w:hint="default" w:ascii="仿宋_GB2312" w:hAnsi="宋体" w:eastAsia="仿宋_GB2312"/>
          <w:color w:val="auto"/>
          <w:sz w:val="32"/>
          <w:highlight w:val="none"/>
          <w:shd w:val="clear" w:color="auto" w:fill="auto"/>
          <w:lang w:eastAsia="zh-CN"/>
        </w:rPr>
        <w:t>按规定程序调整人员经费</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ascii="仿宋_GB2312" w:hAnsi="仿宋_GB2312" w:eastAsia="仿宋_GB2312" w:cs="仿宋_GB2312"/>
          <w:color w:val="auto"/>
          <w:sz w:val="32"/>
          <w:szCs w:val="32"/>
          <w:highlight w:val="none"/>
        </w:rPr>
        <w:t>128.20</w:t>
      </w:r>
      <w:r>
        <w:rPr>
          <w:rFonts w:hint="eastAsia" w:ascii="仿宋_GB2312" w:hAnsi="仿宋_GB2312" w:eastAsia="仿宋_GB2312" w:cs="仿宋_GB2312"/>
          <w:color w:val="auto"/>
          <w:sz w:val="32"/>
          <w:szCs w:val="32"/>
          <w:highlight w:val="none"/>
        </w:rPr>
        <w:t>万元，占支出合计的</w:t>
      </w:r>
      <w:r>
        <w:rPr>
          <w:rFonts w:ascii="仿宋_GB2312" w:hAnsi="仿宋_GB2312" w:eastAsia="仿宋_GB2312" w:cs="仿宋_GB2312"/>
          <w:color w:val="auto"/>
          <w:sz w:val="32"/>
          <w:szCs w:val="32"/>
          <w:highlight w:val="none"/>
        </w:rPr>
        <w:t>100</w:t>
      </w:r>
      <w:r>
        <w:rPr>
          <w:rFonts w:hint="eastAsia" w:ascii="仿宋_GB2312" w:hAnsi="仿宋_GB2312" w:eastAsia="仿宋_GB2312" w:cs="仿宋_GB2312"/>
          <w:color w:val="auto"/>
          <w:sz w:val="32"/>
          <w:szCs w:val="32"/>
          <w:highlight w:val="none"/>
        </w:rPr>
        <w:t>%。与上年度相比，一般公共预算财政拨款支</w:t>
      </w:r>
      <w:r>
        <w:rPr>
          <w:rFonts w:hint="eastAsia" w:ascii="仿宋_GB2312" w:hAnsi="仿宋_GB2312" w:eastAsia="仿宋_GB2312" w:cs="仿宋_GB2312"/>
          <w:color w:val="auto"/>
          <w:sz w:val="32"/>
          <w:szCs w:val="32"/>
          <w:highlight w:val="none"/>
        </w:rPr>
        <w:t>出</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lang w:val="en-US" w:eastAsia="zh-CN"/>
        </w:rPr>
        <w:t>15.67</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增长</w:t>
      </w:r>
      <w:r>
        <w:rPr>
          <w:rFonts w:hint="eastAsia" w:ascii="仿宋_GB2312" w:hAnsi="仿宋_GB2312" w:eastAsia="仿宋_GB2312" w:cs="仿宋_GB2312"/>
          <w:color w:val="auto"/>
          <w:sz w:val="32"/>
          <w:szCs w:val="32"/>
          <w:highlight w:val="none"/>
          <w:lang w:val="en-US" w:eastAsia="zh-CN"/>
        </w:rPr>
        <w:t>13.93</w:t>
      </w:r>
      <w:r>
        <w:rPr>
          <w:rFonts w:hint="eastAsia" w:ascii="仿宋_GB2312" w:hAnsi="仿宋_GB2312" w:eastAsia="仿宋_GB2312" w:cs="仿宋_GB2312"/>
          <w:color w:val="auto"/>
          <w:sz w:val="32"/>
          <w:szCs w:val="32"/>
          <w:highlight w:val="none"/>
        </w:rPr>
        <w:t>%。主要原因是</w:t>
      </w:r>
      <w:r>
        <w:rPr>
          <w:rFonts w:hint="default" w:ascii="仿宋_GB2312" w:hAnsi="宋体" w:eastAsia="仿宋_GB2312"/>
          <w:color w:val="auto"/>
          <w:sz w:val="32"/>
          <w:highlight w:val="none"/>
          <w:shd w:val="clear" w:color="auto" w:fill="auto"/>
          <w:lang w:eastAsia="zh-CN"/>
        </w:rPr>
        <w:t>按规定程序调整人员经费</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ascii="仿宋_GB2312" w:hAnsi="仿宋_GB2312" w:eastAsia="仿宋_GB2312" w:cs="仿宋_GB2312"/>
          <w:color w:val="auto"/>
          <w:sz w:val="32"/>
          <w:szCs w:val="32"/>
          <w:highlight w:val="none"/>
        </w:rPr>
        <w:t>128.20</w:t>
      </w:r>
      <w:r>
        <w:rPr>
          <w:rFonts w:hint="eastAsia" w:ascii="仿宋_GB2312" w:hAnsi="仿宋_GB2312" w:eastAsia="仿宋_GB2312" w:cs="仿宋_GB2312"/>
          <w:color w:val="auto"/>
          <w:sz w:val="32"/>
          <w:szCs w:val="32"/>
          <w:highlight w:val="none"/>
        </w:rPr>
        <w:t>万元，主要用于以下方面：一般公共服务</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（类）支出</w:t>
      </w:r>
      <w:r>
        <w:rPr>
          <w:rFonts w:ascii="仿宋_GB2312" w:hAnsi="仿宋_GB2312" w:eastAsia="仿宋_GB2312" w:cs="仿宋_GB2312"/>
          <w:color w:val="auto"/>
          <w:sz w:val="32"/>
          <w:szCs w:val="32"/>
          <w:highlight w:val="none"/>
        </w:rPr>
        <w:t>0.52</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0.41</w:t>
      </w:r>
      <w:r>
        <w:rPr>
          <w:rFonts w:hint="eastAsia" w:ascii="仿宋_GB2312" w:hAnsi="仿宋_GB2312" w:eastAsia="仿宋_GB2312" w:cs="仿宋_GB2312"/>
          <w:color w:val="auto"/>
          <w:sz w:val="32"/>
          <w:szCs w:val="32"/>
          <w:highlight w:val="none"/>
        </w:rPr>
        <w:t>%；社会保障和就业</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（类）支出</w:t>
      </w:r>
      <w:r>
        <w:rPr>
          <w:rFonts w:ascii="仿宋_GB2312" w:hAnsi="仿宋_GB2312" w:eastAsia="仿宋_GB2312" w:cs="仿宋_GB2312"/>
          <w:color w:val="auto"/>
          <w:sz w:val="32"/>
          <w:szCs w:val="32"/>
          <w:highlight w:val="none"/>
        </w:rPr>
        <w:t>7.21</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5.62</w:t>
      </w:r>
      <w:r>
        <w:rPr>
          <w:rFonts w:hint="eastAsia" w:ascii="仿宋_GB2312" w:hAnsi="仿宋_GB2312" w:eastAsia="仿宋_GB2312" w:cs="仿宋_GB2312"/>
          <w:color w:val="auto"/>
          <w:sz w:val="32"/>
          <w:szCs w:val="32"/>
          <w:highlight w:val="none"/>
        </w:rPr>
        <w:t>%；卫生健康</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（类）支出</w:t>
      </w:r>
      <w:r>
        <w:rPr>
          <w:rFonts w:ascii="仿宋_GB2312" w:hAnsi="仿宋_GB2312" w:eastAsia="仿宋_GB2312" w:cs="仿宋_GB2312"/>
          <w:color w:val="auto"/>
          <w:sz w:val="32"/>
          <w:szCs w:val="32"/>
          <w:highlight w:val="none"/>
        </w:rPr>
        <w:t>3.34</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2.60</w:t>
      </w:r>
      <w:r>
        <w:rPr>
          <w:rFonts w:hint="eastAsia" w:ascii="仿宋_GB2312" w:hAnsi="仿宋_GB2312" w:eastAsia="仿宋_GB2312" w:cs="仿宋_GB2312"/>
          <w:color w:val="auto"/>
          <w:sz w:val="32"/>
          <w:szCs w:val="32"/>
          <w:highlight w:val="none"/>
        </w:rPr>
        <w:t>%；城乡社区</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（类）支出</w:t>
      </w:r>
      <w:r>
        <w:rPr>
          <w:rFonts w:ascii="仿宋_GB2312" w:hAnsi="仿宋_GB2312" w:eastAsia="仿宋_GB2312" w:cs="仿宋_GB2312"/>
          <w:color w:val="auto"/>
          <w:sz w:val="32"/>
          <w:szCs w:val="32"/>
          <w:highlight w:val="none"/>
        </w:rPr>
        <w:t>117.13</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91.37</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年度一般公共预算财政拨款支出年初预算为108.67万元，支出决算为</w:t>
      </w:r>
      <w:r>
        <w:rPr>
          <w:rFonts w:ascii="仿宋_GB2312" w:hAnsi="仿宋_GB2312" w:eastAsia="仿宋_GB2312" w:cs="仿宋_GB2312"/>
          <w:color w:val="auto"/>
          <w:sz w:val="32"/>
          <w:szCs w:val="32"/>
          <w:highlight w:val="none"/>
        </w:rPr>
        <w:t>128.20</w:t>
      </w:r>
      <w:r>
        <w:rPr>
          <w:rFonts w:hint="eastAsia" w:ascii="仿宋_GB2312" w:hAnsi="仿宋_GB2312" w:eastAsia="仿宋_GB2312" w:cs="仿宋_GB2312"/>
          <w:color w:val="auto"/>
          <w:sz w:val="32"/>
          <w:szCs w:val="32"/>
          <w:highlight w:val="none"/>
        </w:rPr>
        <w:t>万元，完成年初预算的</w:t>
      </w:r>
      <w:r>
        <w:rPr>
          <w:rFonts w:ascii="仿宋_GB2312" w:hAnsi="仿宋_GB2312" w:eastAsia="仿宋_GB2312" w:cs="仿宋_GB2312"/>
          <w:color w:val="auto"/>
          <w:sz w:val="32"/>
          <w:szCs w:val="32"/>
          <w:highlight w:val="none"/>
        </w:rPr>
        <w:t>117.97</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1．一般公共服务支出（类）群众团体事务（款）工会事务（项）。</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0.52</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0.52</w:t>
      </w:r>
      <w:r>
        <w:rPr>
          <w:rFonts w:hint="eastAsia" w:ascii="仿宋_GB2312" w:hAnsi="仿宋_GB2312" w:eastAsia="仿宋_GB2312" w:cs="仿宋_GB2312"/>
          <w:color w:val="auto"/>
          <w:sz w:val="32"/>
          <w:szCs w:val="32"/>
          <w:highlight w:val="none"/>
        </w:rPr>
        <w:t>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2．社会保障和就业支出（类）行政事业单位养老</w:t>
      </w:r>
      <w:r>
        <w:rPr>
          <w:rFonts w:hint="eastAsia" w:ascii="仿宋_GB2312" w:hAnsi="仿宋_GB2312" w:eastAsia="仿宋_GB2312" w:cs="仿宋_GB2312"/>
          <w:b/>
          <w:bCs/>
          <w:color w:val="auto"/>
          <w:sz w:val="32"/>
          <w:szCs w:val="32"/>
          <w:highlight w:val="none"/>
          <w:lang w:eastAsia="zh-CN"/>
        </w:rPr>
        <w:t>支出</w:t>
      </w:r>
      <w:r>
        <w:rPr>
          <w:rFonts w:hint="eastAsia" w:ascii="仿宋_GB2312" w:hAnsi="仿宋_GB2312" w:eastAsia="仿宋_GB2312" w:cs="仿宋_GB2312"/>
          <w:b/>
          <w:bCs/>
          <w:color w:val="auto"/>
          <w:sz w:val="32"/>
          <w:szCs w:val="32"/>
          <w:highlight w:val="none"/>
        </w:rPr>
        <w:t>（款）机关事业单位基本养老保险缴费</w:t>
      </w:r>
      <w:r>
        <w:rPr>
          <w:rFonts w:hint="eastAsia" w:ascii="仿宋_GB2312" w:hAnsi="仿宋_GB2312" w:eastAsia="仿宋_GB2312" w:cs="仿宋_GB2312"/>
          <w:b/>
          <w:bCs/>
          <w:color w:val="auto"/>
          <w:sz w:val="32"/>
          <w:szCs w:val="32"/>
          <w:highlight w:val="none"/>
          <w:lang w:eastAsia="zh-CN"/>
        </w:rPr>
        <w:t>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6.75</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7.21</w:t>
      </w:r>
      <w:r>
        <w:rPr>
          <w:rFonts w:hint="eastAsia" w:ascii="仿宋_GB2312" w:hAnsi="仿宋_GB2312" w:eastAsia="仿宋_GB2312" w:cs="仿宋_GB2312"/>
          <w:color w:val="auto"/>
          <w:sz w:val="32"/>
          <w:szCs w:val="32"/>
          <w:highlight w:val="none"/>
        </w:rPr>
        <w:t>万元，完成年初预算的</w:t>
      </w:r>
      <w:r>
        <w:rPr>
          <w:rFonts w:ascii="仿宋_GB2312" w:hAnsi="仿宋_GB2312" w:eastAsia="仿宋_GB2312" w:cs="仿宋_GB2312"/>
          <w:color w:val="auto"/>
          <w:sz w:val="32"/>
          <w:szCs w:val="32"/>
          <w:highlight w:val="none"/>
        </w:rPr>
        <w:t>106.81</w:t>
      </w:r>
      <w:r>
        <w:rPr>
          <w:rFonts w:hint="eastAsia" w:ascii="仿宋_GB2312" w:hAnsi="仿宋_GB2312" w:eastAsia="仿宋_GB2312" w:cs="仿宋_GB2312"/>
          <w:color w:val="auto"/>
          <w:sz w:val="32"/>
          <w:szCs w:val="32"/>
          <w:highlight w:val="none"/>
        </w:rPr>
        <w:t>%。决算数与年初预算数存在差异的主要原因是2021年度我单位新进一名人员。</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3．卫生健康支出（类）行政事业单位医疗（款）事业单位医疗（项）。</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3.20</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3.34</w:t>
      </w:r>
      <w:r>
        <w:rPr>
          <w:rFonts w:hint="eastAsia" w:ascii="仿宋_GB2312" w:hAnsi="仿宋_GB2312" w:eastAsia="仿宋_GB2312" w:cs="仿宋_GB2312"/>
          <w:color w:val="auto"/>
          <w:sz w:val="32"/>
          <w:szCs w:val="32"/>
          <w:highlight w:val="none"/>
        </w:rPr>
        <w:t>万元，完成年初预算的</w:t>
      </w:r>
      <w:r>
        <w:rPr>
          <w:rFonts w:ascii="仿宋_GB2312" w:hAnsi="仿宋_GB2312" w:eastAsia="仿宋_GB2312" w:cs="仿宋_GB2312"/>
          <w:color w:val="auto"/>
          <w:sz w:val="32"/>
          <w:szCs w:val="32"/>
          <w:highlight w:val="none"/>
        </w:rPr>
        <w:t>104.38</w:t>
      </w:r>
      <w:r>
        <w:rPr>
          <w:rFonts w:hint="eastAsia" w:ascii="仿宋_GB2312" w:hAnsi="仿宋_GB2312" w:eastAsia="仿宋_GB2312" w:cs="仿宋_GB2312"/>
          <w:color w:val="auto"/>
          <w:sz w:val="32"/>
          <w:szCs w:val="32"/>
          <w:highlight w:val="none"/>
        </w:rPr>
        <w:t>%。决算数与年初预算数</w:t>
      </w:r>
      <w:r>
        <w:rPr>
          <w:rFonts w:ascii="仿宋_GB2312" w:hAnsi="仿宋_GB2312" w:eastAsia="仿宋_GB2312" w:cs="仿宋_GB2312"/>
          <w:color w:val="auto"/>
          <w:sz w:val="32"/>
          <w:szCs w:val="32"/>
          <w:highlight w:val="none"/>
        </w:rPr>
        <w:t>存在差异的主要原因是</w:t>
      </w:r>
      <w:r>
        <w:rPr>
          <w:rFonts w:hint="eastAsia" w:ascii="仿宋_GB2312" w:hAnsi="仿宋_GB2312" w:eastAsia="仿宋_GB2312" w:cs="仿宋_GB2312"/>
          <w:color w:val="auto"/>
          <w:sz w:val="32"/>
          <w:szCs w:val="32"/>
          <w:highlight w:val="none"/>
        </w:rPr>
        <w:t>单位人员医疗缴费基数增加，故决算数略高于预算数。</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4．城乡社区支出（类）城乡社区管理事务（款）其他城乡社区管理事务支出（项）。</w:t>
      </w:r>
      <w:r>
        <w:rPr>
          <w:rFonts w:hint="eastAsia" w:ascii="仿宋_GB2312" w:hAnsi="仿宋_GB2312" w:eastAsia="仿宋_GB2312" w:cs="仿宋_GB2312"/>
          <w:color w:val="auto"/>
          <w:sz w:val="32"/>
          <w:szCs w:val="32"/>
          <w:highlight w:val="none"/>
        </w:rPr>
        <w:t>年初预算为98.20万元，支出决算为117.13万元，完成年初预算的119.28%。决算数与年初预算数存在差异的主要原因是2021年追加维修资金管理工作经费，用于支付维修资金管理信息系统升级合同尾款费用、系统运行维护费及</w:t>
      </w:r>
      <w:r>
        <w:rPr>
          <w:rFonts w:hint="eastAsia" w:ascii="仿宋_GB2312" w:hAnsi="仿宋_GB2312" w:eastAsia="仿宋_GB2312" w:cs="仿宋_GB2312"/>
          <w:color w:val="auto"/>
          <w:sz w:val="32"/>
          <w:szCs w:val="32"/>
          <w:highlight w:val="none"/>
          <w:lang w:eastAsia="zh-CN"/>
        </w:rPr>
        <w:t>聘用人员劳务费</w:t>
      </w:r>
      <w:r>
        <w:rPr>
          <w:rFonts w:hint="eastAsia" w:ascii="仿宋_GB2312" w:hAnsi="仿宋_GB2312" w:eastAsia="仿宋_GB2312" w:cs="仿宋_GB2312"/>
          <w:color w:val="auto"/>
          <w:sz w:val="32"/>
          <w:szCs w:val="32"/>
          <w:highlight w:val="none"/>
        </w:rPr>
        <w:t>，故与预算数存在差异。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113.76万元。其中：人员经费104.05万元，主要包括：基本工资、津贴补贴、绩效工资、机关事业单位基本养老保险缴费、职工基本医疗保险缴费、其他社会保障缴费、住房公积金；公用经费9.71万元，主要包括：办公费、印刷费、邮电费、差旅费、维修（护）费、培训费、工会经费、福利费、其他商品和服务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年度“三公”经费财政拨款支出预算为0.00万元，支出决算为0.00万元。2021年度“三公”经费支出决算数与预算数不存在差异。</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年度“三公”经费财政拨款支出决算中，因公出国（境）费支出决算0.00万元；公务用车购置及运行费支出决算0.00万元；公务接待费支出决算0.00万元。具体情况如下：</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预算为0.00万元，支出决算为0.00万元。决算数与预算数不存在差异。因公出国（境）团组数0个，因公出国（境）人次数0人。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预算为0.00万元，支出决算为0.00万元。决算数与预算数不存在差异。</w:t>
      </w:r>
      <w:r>
        <w:rPr>
          <w:rFonts w:hint="default"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公务用车购置支出</w:t>
      </w:r>
      <w:r>
        <w:rPr>
          <w:rFonts w:hint="eastAsia" w:ascii="仿宋_GB2312" w:hAnsi="仿宋_GB2312" w:eastAsia="仿宋_GB2312" w:cs="仿宋_GB2312"/>
          <w:color w:val="auto"/>
          <w:sz w:val="32"/>
          <w:szCs w:val="32"/>
          <w:highlight w:val="none"/>
        </w:rPr>
        <w:t>为0.00万元，购置车辆0台。</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公务用车运行支出</w:t>
      </w:r>
      <w:r>
        <w:rPr>
          <w:rFonts w:hint="eastAsia" w:ascii="仿宋_GB2312" w:hAnsi="仿宋_GB2312" w:eastAsia="仿宋_GB2312" w:cs="仿宋_GB2312"/>
          <w:color w:val="auto"/>
          <w:sz w:val="32"/>
          <w:szCs w:val="32"/>
          <w:highlight w:val="none"/>
        </w:rPr>
        <w:t>0.00万元，2021年期末，单位开支财政拨款的公务用车保有量为0辆。</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预算为0.00万元，支出决算为0.00万元。决算数与预算数不存在差异。</w:t>
      </w:r>
      <w:r>
        <w:rPr>
          <w:rFonts w:hint="default"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rPr>
        <w:t>0.00万元。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年共接待国（境）外来访团组0个、来访外宾0人次（不包括陪同人员）。</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rPr>
        <w:t>0.00万元。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年共接待国内来访团组0个、来宾0人次（不包括陪同人员）。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年度政府性基金预算财政拨款支出年初预算为0.00万元，支出决算为0.00万元。不存在项目年末结转和结余资金数额较大，</w:t>
      </w:r>
      <w:r>
        <w:rPr>
          <w:rFonts w:hint="default" w:ascii="仿宋_GB2312" w:hAnsi="仿宋_GB2312" w:eastAsia="仿宋_GB2312" w:cs="仿宋_GB2312"/>
          <w:color w:val="auto"/>
          <w:sz w:val="32"/>
          <w:szCs w:val="32"/>
          <w:highlight w:val="none"/>
        </w:rPr>
        <w:t>情况说明：</w:t>
      </w:r>
      <w:r>
        <w:rPr>
          <w:rFonts w:hint="eastAsia" w:ascii="仿宋_GB2312" w:hAnsi="仿宋_GB2312" w:eastAsia="仿宋_GB2312" w:cs="仿宋_GB2312"/>
          <w:color w:val="auto"/>
          <w:sz w:val="32"/>
          <w:szCs w:val="32"/>
          <w:highlight w:val="none"/>
        </w:rPr>
        <w:t>我</w:t>
      </w:r>
      <w:r>
        <w:rPr>
          <w:rFonts w:hint="default"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rPr>
        <w:t>2021年度没有政府性基金收入，也没有使用政府性基金安排的支出。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我单位不是行政机关，也不是参照公务员管理事业单位，没有机关运行经费支出。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年度政府采购支出总额0.00万元，其中：政府采购货物支出0.00万元、政府采购工程支出0.00万元、政府采购服务支出0.00万元。授予中小企业合同金额0.00万元，其中：授予小微企业合同金额0.00万元。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年期末，我单位共有车辆0辆</w:t>
      </w:r>
      <w:r>
        <w:rPr>
          <w:rFonts w:hint="eastAsia" w:ascii="仿宋_GB2312" w:hAnsi="仿宋_GB2312" w:eastAsia="仿宋_GB2312" w:cs="仿宋_GB2312"/>
          <w:color w:val="auto"/>
          <w:sz w:val="32"/>
          <w:szCs w:val="32"/>
          <w:highlight w:val="none"/>
        </w:rPr>
        <w:t>，其中：省级领导干部用车</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辆、主要领导干部用车</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辆、机要通信用车</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辆、应急保障车</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辆、执法执勤用车</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辆、特种专业技术用车</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辆、离退休干部用车</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辆、其他用车</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辆；单位价值50万元以上通用设备</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台（套），单位价值100万元以上专用设备</w:t>
      </w:r>
      <w:r>
        <w:rPr>
          <w:rFonts w:hint="default"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台（套）。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（一）绩效管理工作开展情况。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按照《中共许昌市委许昌市人民政府关于全面实施预算绩效管理的实施意见》（许发〔2021〕13号）文件要求，对本单位整体支出和项目支出开展全过程预算绩效管理。我单位结合自身职能，积极开展预算绩效管理工作，采取“市级预算事前申报绩效评估、事中进行预算绩效监控监督、事后进行绩效评价的”方式，建立了贯穿预算支出“事前、事中、事后”全过程的绩效管理模式，及时调整工作思路，强化单位服务能力，确保资金支出规范、使用合理。</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（二）单位整体和项目绩效自评结果。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按照《许昌市财政局关于开展2021年度市级预算绩效自评工作的通知》（许财效〔202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〕1号）等文件精神，我单位对本单位整体绩效目标和项目支出绩效目标进行了自评。一是单位整体绩效自评情况：</w:t>
      </w:r>
      <w:r>
        <w:rPr>
          <w:rFonts w:hint="eastAsia" w:ascii="仿宋" w:hAnsi="仿宋" w:eastAsia="仿宋" w:cs="仿宋"/>
          <w:color w:val="auto"/>
          <w:sz w:val="32"/>
          <w:szCs w:val="32"/>
          <w:highlight w:val="none"/>
        </w:rPr>
        <w:t>2021年开展的绩效评价工作，总体实施情况良好，切合实际，有效提高了预算执行情况和绩效目标实现程度，绩效自评结果为我单位以后年度精准预算的编制提供了依据和参考价值。</w:t>
      </w:r>
      <w:r>
        <w:rPr>
          <w:rFonts w:hint="eastAsia" w:ascii="仿宋_GB2312" w:hAnsi="仿宋_GB2312" w:eastAsia="仿宋_GB2312" w:cs="仿宋_GB2312"/>
          <w:color w:val="auto"/>
          <w:sz w:val="32"/>
          <w:szCs w:val="32"/>
          <w:highlight w:val="none"/>
        </w:rPr>
        <w:t>二是项目绩效自评情况。</w:t>
      </w:r>
      <w:r>
        <w:rPr>
          <w:rFonts w:hint="eastAsia" w:ascii="仿宋" w:hAnsi="仿宋" w:eastAsia="仿宋" w:cs="仿宋"/>
          <w:color w:val="auto"/>
          <w:sz w:val="32"/>
          <w:szCs w:val="32"/>
          <w:highlight w:val="none"/>
        </w:rPr>
        <w:t>年初制定的项目总体工作目标均已完成并验收合格，项目已全部实施到位，项目资金使用合理，无挪用占用现象发生，绩效目标均已完成</w:t>
      </w:r>
      <w:r>
        <w:rPr>
          <w:rFonts w:hint="eastAsia" w:ascii="仿宋_GB2312"/>
          <w:color w:val="auto"/>
          <w:sz w:val="32"/>
          <w:szCs w:val="32"/>
          <w:highlight w:val="none"/>
        </w:rPr>
        <w:t>。</w:t>
      </w:r>
      <w:r>
        <w:rPr>
          <w:rFonts w:hint="eastAsia" w:ascii="仿宋_GB2312" w:hAnsi="仿宋_GB2312" w:eastAsia="仿宋_GB2312" w:cs="仿宋_GB2312"/>
          <w:color w:val="auto"/>
          <w:sz w:val="32"/>
          <w:szCs w:val="32"/>
          <w:highlight w:val="none"/>
        </w:rPr>
        <w:t>我单位共有1个项目批复了绩效目标，项目金额14.44万元。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基于项目预期目标的实现程度，对2021年度项目支出绩效进行自评，绩效自评平均得分为100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（三）重点绩效评价结果。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黑体" w:hAnsi="宋体" w:eastAsia="黑体" w:cs="宋体"/>
          <w:color w:val="auto"/>
          <w:kern w:val="0"/>
          <w:sz w:val="28"/>
          <w:szCs w:val="28"/>
          <w:highlight w:val="none"/>
        </w:rPr>
      </w:pPr>
      <w:r>
        <w:rPr>
          <w:rFonts w:hint="eastAsia" w:ascii="仿宋_GB2312" w:hAnsi="仿宋_GB2312" w:eastAsia="仿宋_GB2312" w:cs="仿宋_GB2312"/>
          <w:color w:val="auto"/>
          <w:sz w:val="32"/>
          <w:szCs w:val="32"/>
          <w:highlight w:val="none"/>
        </w:rPr>
        <w:t>2021年度</w:t>
      </w:r>
      <w:r>
        <w:rPr>
          <w:rFonts w:ascii="仿宋_GB2312" w:hAnsi="仿宋_GB2312" w:eastAsia="仿宋_GB2312" w:cs="仿宋_GB2312"/>
          <w:color w:val="auto"/>
          <w:sz w:val="32"/>
          <w:szCs w:val="32"/>
          <w:highlight w:val="none"/>
        </w:rPr>
        <w:t>我单位</w:t>
      </w:r>
      <w:r>
        <w:rPr>
          <w:rFonts w:hint="eastAsia" w:ascii="仿宋_GB2312" w:hAnsi="仿宋_GB2312" w:eastAsia="仿宋_GB2312" w:cs="仿宋_GB2312"/>
          <w:color w:val="auto"/>
          <w:sz w:val="32"/>
          <w:szCs w:val="32"/>
          <w:highlight w:val="none"/>
        </w:rPr>
        <w:t>没有开展重点项目绩效评价的项目。</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widowControl/>
        <w:autoSpaceDE w:val="0"/>
        <w:spacing w:line="360" w:lineRule="auto"/>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一、财政拨款收入：单位从同级政府财政部门取得的财政预算资金。</w:t>
      </w:r>
    </w:p>
    <w:p>
      <w:pPr>
        <w:widowControl/>
        <w:autoSpaceDE w:val="0"/>
        <w:spacing w:line="360" w:lineRule="auto"/>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二、事业收入：事业单位开展专业业务活动及其辅助活动取得的收入。</w:t>
      </w:r>
    </w:p>
    <w:p>
      <w:pPr>
        <w:widowControl/>
        <w:autoSpaceDE w:val="0"/>
        <w:spacing w:line="360" w:lineRule="auto"/>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三、上级补助收入：事业单位从主管部门和上级单位取得的非财政补助收入。</w:t>
      </w:r>
    </w:p>
    <w:p>
      <w:pPr>
        <w:widowControl/>
        <w:autoSpaceDE w:val="0"/>
        <w:spacing w:line="360" w:lineRule="auto"/>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四、附属单位上缴收入：事业单位取得附属独立核算单位根据有关规定上缴的收入。</w:t>
      </w:r>
    </w:p>
    <w:p>
      <w:pPr>
        <w:widowControl/>
        <w:autoSpaceDE w:val="0"/>
        <w:spacing w:line="360" w:lineRule="auto"/>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五、经营收入：事业单位在专业业务活动及其辅助活动之外开展非独立核算经营活动取得的收入。</w:t>
      </w:r>
    </w:p>
    <w:p>
      <w:pPr>
        <w:widowControl/>
        <w:autoSpaceDE w:val="0"/>
        <w:spacing w:line="360" w:lineRule="auto"/>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六、其他收入：单位取得的除“财政拨款收入”、“事业收入”、“上级补助收入”、“附属单位上缴收入”、“经营收入”以外的各项收入。</w:t>
      </w:r>
    </w:p>
    <w:p>
      <w:pPr>
        <w:widowControl/>
        <w:autoSpaceDE w:val="0"/>
        <w:spacing w:line="360" w:lineRule="auto"/>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autoSpaceDE w:val="0"/>
        <w:spacing w:line="360" w:lineRule="auto"/>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八、基本支出：为保障机构正常运转、完成日常工作任务而发生的人员支出和公用支出。</w:t>
      </w:r>
    </w:p>
    <w:p>
      <w:pPr>
        <w:widowControl/>
        <w:autoSpaceDE w:val="0"/>
        <w:spacing w:line="360" w:lineRule="auto"/>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九、项目支出：基本支出之外为完成特定行政任务和事业发展目标所发生的支出。</w:t>
      </w:r>
    </w:p>
    <w:p>
      <w:pPr>
        <w:widowControl/>
        <w:autoSpaceDE w:val="0"/>
        <w:spacing w:line="360" w:lineRule="auto"/>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autoSpaceDE w:val="0"/>
        <w:spacing w:line="360" w:lineRule="auto"/>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autoSpaceDE w:val="0"/>
        <w:spacing w:line="360" w:lineRule="auto"/>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十二、工资福利支出：单位支付给在职职工和编制外长期聘用人员的各类劳动报酬，以及为上述人员缴纳的各项社会保险费等。</w:t>
      </w:r>
    </w:p>
    <w:p>
      <w:pPr>
        <w:widowControl/>
        <w:autoSpaceDE w:val="0"/>
        <w:spacing w:line="360" w:lineRule="auto"/>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十三、商品和服务支出：单位购买商品和服务的支出。</w:t>
      </w:r>
    </w:p>
    <w:p>
      <w:pPr>
        <w:widowControl/>
        <w:autoSpaceDE w:val="0"/>
        <w:spacing w:line="360" w:lineRule="auto"/>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十四、对个人和家庭的补助支出：单位用于对个人和家庭的补助支出。</w:t>
      </w:r>
    </w:p>
    <w:p>
      <w:pPr>
        <w:widowControl/>
        <w:autoSpaceDE w:val="0"/>
        <w:spacing w:line="360" w:lineRule="auto"/>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autoSpaceDE w:val="0"/>
        <w:spacing w:line="360" w:lineRule="auto"/>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p>
      <w:pPr>
        <w:widowControl/>
        <w:spacing w:line="590" w:lineRule="exact"/>
        <w:ind w:firstLine="640" w:firstLineChars="200"/>
        <w:jc w:val="left"/>
        <w:rPr>
          <w:rFonts w:ascii="仿宋_GB2312" w:hAnsi="仿宋_GB2312" w:eastAsia="仿宋_GB2312" w:cs="仿宋_GB2312"/>
          <w:color w:val="auto"/>
          <w:sz w:val="32"/>
          <w:szCs w:val="32"/>
          <w:highlight w:val="none"/>
        </w:rPr>
      </w:pPr>
    </w:p>
    <w:bookmarkEnd w:id="0"/>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- 17 -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QuQ0szAEAAKcDAAAOAAAAAAAAAAEAIAAAAB4BAABkcnMvZTJv&#10;RG9jLnhtbFBLBQYAAAAABgAGAFkBAABc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- 17 -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PHLc8BAACq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tixX&#10;b5JCfcCKCh8Clcbhzg+peoojBRPxoQWbvkSJUZ70PV/1VUNkMl1ar9brklKScrNDOMXj9QAY3ypv&#10;WTJqDvSAWVdxeo9xLJ1LUjfn77UxFBeVcX8FCHOMqLwF0+3EZJw4WXHYDxONvW/OxK6nTai5o8Xn&#10;zLxzJHRamtmA2djPxjGAPnR5q1J3DLfHSCPlSVOHEZYYJoeeMHOd1i3tyJ9+rnr8x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Y8ctzwEAAKoDAAAOAAAAAAAAAAEAIAAAAB4BAABkcnMv&#10;ZTJvRG9jLnhtbFBLBQYAAAAABgAGAFkBAABf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- 18 -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gA4g6s0BAACnAwAADgAAAAAAAAABACAAAAAeAQAAZHJzL2Uy&#10;b0RvYy54bWxQSwUGAAAAAAYABgBZAQAAX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- 18 -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1"/>
  <w:bordersDoNotSurroundFooter w:val="1"/>
  <w:documentProtection w:enforcement="0"/>
  <w:defaultTabStop w:val="420"/>
  <w:evenAndOddHeaders w:val="1"/>
  <w:drawingGridHorizontalSpacing w:val="210"/>
  <w:drawingGridVerticalSpacing w:val="156"/>
  <w:displayHorizontalDrawingGridEvery w:val="1"/>
  <w:displayVerticalDrawingGridEvery w:val="2"/>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B453D"/>
    <w:rsid w:val="001C32F0"/>
    <w:rsid w:val="001D61B1"/>
    <w:rsid w:val="001F5040"/>
    <w:rsid w:val="002006EB"/>
    <w:rsid w:val="00201ED2"/>
    <w:rsid w:val="00214AE1"/>
    <w:rsid w:val="00260D70"/>
    <w:rsid w:val="00281114"/>
    <w:rsid w:val="00282C7F"/>
    <w:rsid w:val="00287811"/>
    <w:rsid w:val="00292B4B"/>
    <w:rsid w:val="002A6352"/>
    <w:rsid w:val="002B3F94"/>
    <w:rsid w:val="002C171D"/>
    <w:rsid w:val="002E6A86"/>
    <w:rsid w:val="002E7D35"/>
    <w:rsid w:val="00304D04"/>
    <w:rsid w:val="00305B88"/>
    <w:rsid w:val="00315FEB"/>
    <w:rsid w:val="0041489C"/>
    <w:rsid w:val="0042585F"/>
    <w:rsid w:val="00445CAC"/>
    <w:rsid w:val="00472E19"/>
    <w:rsid w:val="00487869"/>
    <w:rsid w:val="004921FE"/>
    <w:rsid w:val="004D5275"/>
    <w:rsid w:val="004F63DB"/>
    <w:rsid w:val="00505190"/>
    <w:rsid w:val="00507364"/>
    <w:rsid w:val="005112AC"/>
    <w:rsid w:val="005222AF"/>
    <w:rsid w:val="00546F7C"/>
    <w:rsid w:val="0058297F"/>
    <w:rsid w:val="00590A02"/>
    <w:rsid w:val="005A0C2F"/>
    <w:rsid w:val="005B1AE2"/>
    <w:rsid w:val="005C1872"/>
    <w:rsid w:val="005D1F9C"/>
    <w:rsid w:val="005D51AD"/>
    <w:rsid w:val="005E3397"/>
    <w:rsid w:val="00600BF6"/>
    <w:rsid w:val="00607D67"/>
    <w:rsid w:val="006228C4"/>
    <w:rsid w:val="0063639D"/>
    <w:rsid w:val="00636C37"/>
    <w:rsid w:val="006512DD"/>
    <w:rsid w:val="00656BEF"/>
    <w:rsid w:val="00656D75"/>
    <w:rsid w:val="00657E86"/>
    <w:rsid w:val="00673EF7"/>
    <w:rsid w:val="006841E9"/>
    <w:rsid w:val="0069449E"/>
    <w:rsid w:val="006C07F0"/>
    <w:rsid w:val="006C644A"/>
    <w:rsid w:val="006C7D84"/>
    <w:rsid w:val="0070723B"/>
    <w:rsid w:val="007148E8"/>
    <w:rsid w:val="00733DAA"/>
    <w:rsid w:val="00742BA0"/>
    <w:rsid w:val="00753545"/>
    <w:rsid w:val="00764156"/>
    <w:rsid w:val="007706D7"/>
    <w:rsid w:val="007879ED"/>
    <w:rsid w:val="007A48A3"/>
    <w:rsid w:val="007B3994"/>
    <w:rsid w:val="007C029F"/>
    <w:rsid w:val="007C7F49"/>
    <w:rsid w:val="007D2A21"/>
    <w:rsid w:val="0084158B"/>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0F7D"/>
    <w:rsid w:val="00A51982"/>
    <w:rsid w:val="00A57BF7"/>
    <w:rsid w:val="00A639B4"/>
    <w:rsid w:val="00A71DC1"/>
    <w:rsid w:val="00A83D8A"/>
    <w:rsid w:val="00A93E7D"/>
    <w:rsid w:val="00AA260E"/>
    <w:rsid w:val="00AA44CB"/>
    <w:rsid w:val="00AA67CD"/>
    <w:rsid w:val="00AC1A3F"/>
    <w:rsid w:val="00AD6761"/>
    <w:rsid w:val="00AE2FEA"/>
    <w:rsid w:val="00AE487B"/>
    <w:rsid w:val="00AE600E"/>
    <w:rsid w:val="00AF6420"/>
    <w:rsid w:val="00B0083B"/>
    <w:rsid w:val="00B01B44"/>
    <w:rsid w:val="00B040BC"/>
    <w:rsid w:val="00B209B8"/>
    <w:rsid w:val="00B20BBC"/>
    <w:rsid w:val="00B249F3"/>
    <w:rsid w:val="00B649BE"/>
    <w:rsid w:val="00B653A5"/>
    <w:rsid w:val="00B710DD"/>
    <w:rsid w:val="00BD2D85"/>
    <w:rsid w:val="00BE5A85"/>
    <w:rsid w:val="00BF4E6A"/>
    <w:rsid w:val="00BF5718"/>
    <w:rsid w:val="00C13474"/>
    <w:rsid w:val="00C3106E"/>
    <w:rsid w:val="00C345EB"/>
    <w:rsid w:val="00C60609"/>
    <w:rsid w:val="00C91D37"/>
    <w:rsid w:val="00C95CC1"/>
    <w:rsid w:val="00CA3F44"/>
    <w:rsid w:val="00CB03ED"/>
    <w:rsid w:val="00CD756E"/>
    <w:rsid w:val="00CE212D"/>
    <w:rsid w:val="00CE4B38"/>
    <w:rsid w:val="00CF69EF"/>
    <w:rsid w:val="00D1321A"/>
    <w:rsid w:val="00D30ADF"/>
    <w:rsid w:val="00D33CF8"/>
    <w:rsid w:val="00D51D4A"/>
    <w:rsid w:val="00D6315E"/>
    <w:rsid w:val="00D652C2"/>
    <w:rsid w:val="00D74EE2"/>
    <w:rsid w:val="00D83E19"/>
    <w:rsid w:val="00D86CAD"/>
    <w:rsid w:val="00DA00C9"/>
    <w:rsid w:val="00DB200E"/>
    <w:rsid w:val="00DB65F5"/>
    <w:rsid w:val="00DC2550"/>
    <w:rsid w:val="00E01C3E"/>
    <w:rsid w:val="00E13099"/>
    <w:rsid w:val="00E4339F"/>
    <w:rsid w:val="00E60B05"/>
    <w:rsid w:val="00E629EA"/>
    <w:rsid w:val="00E6777C"/>
    <w:rsid w:val="00E85823"/>
    <w:rsid w:val="00E97AF4"/>
    <w:rsid w:val="00EA366D"/>
    <w:rsid w:val="00EB05A3"/>
    <w:rsid w:val="00ED38B7"/>
    <w:rsid w:val="00EE051D"/>
    <w:rsid w:val="00F0131A"/>
    <w:rsid w:val="00F14C17"/>
    <w:rsid w:val="00F17041"/>
    <w:rsid w:val="00F218CF"/>
    <w:rsid w:val="00F33E5E"/>
    <w:rsid w:val="00F44937"/>
    <w:rsid w:val="00F61A47"/>
    <w:rsid w:val="00F84422"/>
    <w:rsid w:val="00F95455"/>
    <w:rsid w:val="00FA574D"/>
    <w:rsid w:val="00FC2588"/>
    <w:rsid w:val="00FE7AD9"/>
    <w:rsid w:val="01322275"/>
    <w:rsid w:val="01DC6F05"/>
    <w:rsid w:val="0292541B"/>
    <w:rsid w:val="02A3489A"/>
    <w:rsid w:val="02CA138D"/>
    <w:rsid w:val="033646FC"/>
    <w:rsid w:val="03C75F80"/>
    <w:rsid w:val="04353F0C"/>
    <w:rsid w:val="0478364D"/>
    <w:rsid w:val="053D4C0D"/>
    <w:rsid w:val="0557532E"/>
    <w:rsid w:val="0799329C"/>
    <w:rsid w:val="08397436"/>
    <w:rsid w:val="086F16A7"/>
    <w:rsid w:val="0A0F7225"/>
    <w:rsid w:val="0A2B7D82"/>
    <w:rsid w:val="0ADC40E9"/>
    <w:rsid w:val="0AE607F4"/>
    <w:rsid w:val="0B2D3993"/>
    <w:rsid w:val="0B386127"/>
    <w:rsid w:val="0B451598"/>
    <w:rsid w:val="0BEC73F4"/>
    <w:rsid w:val="0C392698"/>
    <w:rsid w:val="10BD36F6"/>
    <w:rsid w:val="11A6321C"/>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B020AF"/>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BCE0E00"/>
    <w:rsid w:val="2C975890"/>
    <w:rsid w:val="2DEF21BB"/>
    <w:rsid w:val="2E4A2F05"/>
    <w:rsid w:val="2ECC1061"/>
    <w:rsid w:val="2FA476AD"/>
    <w:rsid w:val="303F7540"/>
    <w:rsid w:val="311A4B29"/>
    <w:rsid w:val="31DD00BF"/>
    <w:rsid w:val="3293174C"/>
    <w:rsid w:val="32BB38D4"/>
    <w:rsid w:val="32C9376D"/>
    <w:rsid w:val="33780472"/>
    <w:rsid w:val="33AF0905"/>
    <w:rsid w:val="355932F4"/>
    <w:rsid w:val="35611882"/>
    <w:rsid w:val="36746FC3"/>
    <w:rsid w:val="368763AE"/>
    <w:rsid w:val="37F77706"/>
    <w:rsid w:val="395D59E7"/>
    <w:rsid w:val="39A93932"/>
    <w:rsid w:val="3A915562"/>
    <w:rsid w:val="3B8D4765"/>
    <w:rsid w:val="3C000DBA"/>
    <w:rsid w:val="3DC045D3"/>
    <w:rsid w:val="3E504FFB"/>
    <w:rsid w:val="3E615CD0"/>
    <w:rsid w:val="3E9C47F6"/>
    <w:rsid w:val="3F8B0112"/>
    <w:rsid w:val="3FAB3095"/>
    <w:rsid w:val="3FE45947"/>
    <w:rsid w:val="3FEFBE81"/>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1E47539"/>
    <w:rsid w:val="5213E8D2"/>
    <w:rsid w:val="53906AE1"/>
    <w:rsid w:val="54F46F60"/>
    <w:rsid w:val="55A37BEA"/>
    <w:rsid w:val="55FAC8D8"/>
    <w:rsid w:val="56362CD2"/>
    <w:rsid w:val="5784687B"/>
    <w:rsid w:val="57846959"/>
    <w:rsid w:val="578E6A87"/>
    <w:rsid w:val="57FB5ACD"/>
    <w:rsid w:val="5A392331"/>
    <w:rsid w:val="5AC2203A"/>
    <w:rsid w:val="5CBB3334"/>
    <w:rsid w:val="5D115FAF"/>
    <w:rsid w:val="61045E8B"/>
    <w:rsid w:val="62811722"/>
    <w:rsid w:val="62E75A72"/>
    <w:rsid w:val="637D26B6"/>
    <w:rsid w:val="64571880"/>
    <w:rsid w:val="649125B6"/>
    <w:rsid w:val="64DA14CA"/>
    <w:rsid w:val="652F4C1A"/>
    <w:rsid w:val="666D37F1"/>
    <w:rsid w:val="67087D8F"/>
    <w:rsid w:val="671F687E"/>
    <w:rsid w:val="67BB6F55"/>
    <w:rsid w:val="67F415F8"/>
    <w:rsid w:val="682640D1"/>
    <w:rsid w:val="684B73E5"/>
    <w:rsid w:val="6A047A2A"/>
    <w:rsid w:val="6A7757B5"/>
    <w:rsid w:val="6EFB7548"/>
    <w:rsid w:val="6F3831C3"/>
    <w:rsid w:val="6F697ECC"/>
    <w:rsid w:val="6F8B71C1"/>
    <w:rsid w:val="6FF6F0B1"/>
    <w:rsid w:val="6FFF5057"/>
    <w:rsid w:val="70753482"/>
    <w:rsid w:val="707B522A"/>
    <w:rsid w:val="717FCF0A"/>
    <w:rsid w:val="73194D05"/>
    <w:rsid w:val="73A83B0E"/>
    <w:rsid w:val="744D3EF9"/>
    <w:rsid w:val="74794411"/>
    <w:rsid w:val="75867C40"/>
    <w:rsid w:val="75B10B26"/>
    <w:rsid w:val="76432199"/>
    <w:rsid w:val="76F44829"/>
    <w:rsid w:val="77A267C0"/>
    <w:rsid w:val="78882278"/>
    <w:rsid w:val="78B118A6"/>
    <w:rsid w:val="79135044"/>
    <w:rsid w:val="797E1689"/>
    <w:rsid w:val="7A7D0F99"/>
    <w:rsid w:val="7BDF4D1C"/>
    <w:rsid w:val="7C7D5D19"/>
    <w:rsid w:val="7D56D1B7"/>
    <w:rsid w:val="7D7E6D6A"/>
    <w:rsid w:val="7DFEF254"/>
    <w:rsid w:val="7E071341"/>
    <w:rsid w:val="7E4A0E7C"/>
    <w:rsid w:val="7EFD449D"/>
    <w:rsid w:val="7EFDF2ED"/>
    <w:rsid w:val="7F3F4A70"/>
    <w:rsid w:val="7F48EE89"/>
    <w:rsid w:val="7FD44C20"/>
    <w:rsid w:val="7FF68D04"/>
    <w:rsid w:val="7FFF0952"/>
    <w:rsid w:val="7FFF92FD"/>
    <w:rsid w:val="8F760D9B"/>
    <w:rsid w:val="BB7B2742"/>
    <w:rsid w:val="BFC7432E"/>
    <w:rsid w:val="CDF9E5B0"/>
    <w:rsid w:val="D7EF0564"/>
    <w:rsid w:val="D7FB2388"/>
    <w:rsid w:val="D7FF1A8A"/>
    <w:rsid w:val="D9FF03DB"/>
    <w:rsid w:val="DEF7C484"/>
    <w:rsid w:val="DFFF1CF6"/>
    <w:rsid w:val="E7BBAFCC"/>
    <w:rsid w:val="E7BED38A"/>
    <w:rsid w:val="F15F4BAB"/>
    <w:rsid w:val="F67F5387"/>
    <w:rsid w:val="F7FFDC01"/>
    <w:rsid w:val="F9FBC184"/>
    <w:rsid w:val="FDFE53EC"/>
    <w:rsid w:val="FEAE8786"/>
    <w:rsid w:val="FEEF96DF"/>
    <w:rsid w:val="FFBFAED4"/>
    <w:rsid w:val="FFEC3E70"/>
    <w:rsid w:val="FFEF37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7599</Words>
  <Characters>9092</Characters>
  <Lines>82</Lines>
  <Paragraphs>23</Paragraphs>
  <TotalTime>45</TotalTime>
  <ScaleCrop>false</ScaleCrop>
  <LinksUpToDate>false</LinksUpToDate>
  <CharactersWithSpaces>9756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2023-02-19T08:56:00Z</dcterms:created>
  <dc:creator>管理者</dc:creator>
  <cp:lastModifiedBy>悟の</cp:lastModifiedBy>
  <cp:lastPrinted>2022-09-14T01:54:00Z</cp:lastPrinted>
  <dcterms:modified xsi:type="dcterms:W3CDTF">2023-09-17T11:13:01Z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33A788DED9B84F4CB71D1BFF23D65E77_13</vt:lpwstr>
  </property>
</Properties>
</file>