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bookmarkStart w:id="0" w:name="_GoBack"/>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许昌市动物卫生监督所</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color w:val="auto"/>
          <w:highlight w:val="none"/>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wordWrap/>
        <w:adjustRightInd/>
        <w:snapToGrid/>
        <w:spacing w:line="360" w:lineRule="auto"/>
        <w:jc w:val="center"/>
        <w:rPr>
          <w:rFonts w:hint="default"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rPr>
        <w:t>目　　录</w:t>
      </w:r>
      <w:r>
        <w:rPr>
          <w:rFonts w:hint="eastAsia" w:ascii="黑体" w:hAnsi="黑体" w:eastAsia="黑体" w:cs="黑体"/>
          <w:color w:val="auto"/>
          <w:sz w:val="36"/>
          <w:szCs w:val="36"/>
          <w:highlight w:val="none"/>
          <w:lang w:val="en-US" w:eastAsia="zh-CN"/>
        </w:rPr>
        <w:t xml:space="preserve">       </w:t>
      </w:r>
    </w:p>
    <w:p>
      <w:pPr>
        <w:wordWrap/>
        <w:adjustRightInd/>
        <w:snapToGrid/>
        <w:spacing w:line="360" w:lineRule="auto"/>
        <w:jc w:val="left"/>
        <w:rPr>
          <w:rFonts w:hint="eastAsia" w:ascii="楷体" w:hAnsi="楷体" w:eastAsia="楷体" w:cs="楷体"/>
          <w:color w:val="auto"/>
          <w:sz w:val="24"/>
          <w:szCs w:val="24"/>
          <w:highlight w:val="none"/>
          <w:lang w:val="en-US" w:eastAsia="zh-CN"/>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许昌市动物卫生监督所</w:t>
      </w:r>
      <w:r>
        <w:rPr>
          <w:rFonts w:hint="eastAsia" w:ascii="黑体" w:hAnsi="黑体" w:eastAsia="黑体" w:cs="黑体"/>
          <w:color w:val="auto"/>
          <w:sz w:val="32"/>
          <w:szCs w:val="32"/>
          <w:highlight w:val="none"/>
        </w:rPr>
        <w:t>概况</w:t>
      </w:r>
      <w:r>
        <w:rPr>
          <w:rFonts w:hint="eastAsia"/>
          <w:color w:val="auto"/>
          <w:highlight w:val="none"/>
          <w:lang w:val="en-US" w:eastAsia="zh-CN"/>
        </w:rPr>
        <w:t xml:space="preserve">   </w:t>
      </w:r>
    </w:p>
    <w:p>
      <w:pPr>
        <w:numPr>
          <w:ilvl w:val="0"/>
          <w:numId w:val="1"/>
        </w:numPr>
        <w:wordWrap/>
        <w:adjustRightInd/>
        <w:snapToGrid/>
        <w:spacing w:line="360" w:lineRule="auto"/>
        <w:ind w:left="-10" w:leftChars="0" w:firstLine="640" w:firstLineChars="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r>
        <w:rPr>
          <w:rFonts w:hint="eastAsia" w:ascii="宋体" w:hAnsi="宋体" w:eastAsia="宋体" w:cs="宋体"/>
          <w:color w:val="auto"/>
          <w:sz w:val="32"/>
          <w:szCs w:val="32"/>
          <w:highlight w:val="none"/>
          <w:lang w:val="en-US" w:eastAsia="zh-CN"/>
        </w:rPr>
        <w:t xml:space="preserve">     </w:t>
      </w:r>
    </w:p>
    <w:p>
      <w:pPr>
        <w:numPr>
          <w:ilvl w:val="0"/>
          <w:numId w:val="0"/>
        </w:numPr>
        <w:wordWrap/>
        <w:adjustRightInd/>
        <w:snapToGrid/>
        <w:spacing w:line="360" w:lineRule="auto"/>
        <w:ind w:left="630" w:leftChars="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二、机构设置</w:t>
      </w:r>
      <w:r>
        <w:rPr>
          <w:rFonts w:hint="eastAsia" w:ascii="宋体" w:hAnsi="宋体" w:eastAsia="宋体" w:cs="宋体"/>
          <w:color w:val="auto"/>
          <w:sz w:val="32"/>
          <w:szCs w:val="32"/>
          <w:highlight w:val="none"/>
          <w:lang w:val="en-US" w:eastAsia="zh-CN"/>
        </w:rPr>
        <w:t xml:space="preserve">     </w:t>
      </w:r>
    </w:p>
    <w:p>
      <w:pPr>
        <w:wordWrap/>
        <w:adjustRightInd/>
        <w:snapToGrid/>
        <w:spacing w:line="360" w:lineRule="auto"/>
        <w:jc w:val="left"/>
        <w:rPr>
          <w:rFonts w:hint="default" w:ascii="黑体" w:hAnsi="黑体" w:eastAsia="宋体" w:cs="黑体"/>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2021年度单位</w:t>
      </w:r>
      <w:r>
        <w:rPr>
          <w:rFonts w:hint="eastAsia" w:ascii="黑体" w:hAnsi="黑体" w:eastAsia="黑体" w:cs="黑体"/>
          <w:color w:val="auto"/>
          <w:sz w:val="32"/>
          <w:szCs w:val="32"/>
          <w:highlight w:val="none"/>
        </w:rPr>
        <w:t>决算表</w:t>
      </w:r>
      <w:r>
        <w:rPr>
          <w:rFonts w:hint="eastAsia"/>
          <w:color w:val="auto"/>
          <w:highlight w:val="none"/>
          <w:lang w:val="en-US" w:eastAsia="zh-CN"/>
        </w:rPr>
        <w:t xml:space="preserve">     </w:t>
      </w:r>
    </w:p>
    <w:p>
      <w:pPr>
        <w:wordWrap/>
        <w:adjustRightInd/>
        <w:snapToGrid/>
        <w:spacing w:line="360" w:lineRule="auto"/>
        <w:ind w:firstLine="640" w:firstLineChars="200"/>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一、收入支出决算总表</w:t>
      </w:r>
      <w:r>
        <w:rPr>
          <w:rFonts w:hint="eastAsia" w:ascii="宋体" w:hAnsi="宋体" w:eastAsia="宋体" w:cs="宋体"/>
          <w:color w:val="auto"/>
          <w:sz w:val="32"/>
          <w:szCs w:val="32"/>
          <w:highlight w:val="none"/>
          <w:lang w:val="en-US" w:eastAsia="zh-CN"/>
        </w:rPr>
        <w:t xml:space="preserve">    </w:t>
      </w:r>
    </w:p>
    <w:p>
      <w:pPr>
        <w:wordWrap/>
        <w:adjustRightInd/>
        <w:snapToGrid/>
        <w:spacing w:line="360" w:lineRule="auto"/>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r>
        <w:rPr>
          <w:rFonts w:hint="eastAsia" w:ascii="宋体" w:hAnsi="宋体" w:eastAsia="宋体" w:cs="宋体"/>
          <w:color w:val="auto"/>
          <w:sz w:val="32"/>
          <w:szCs w:val="32"/>
          <w:highlight w:val="none"/>
          <w:lang w:val="en-US" w:eastAsia="zh-CN"/>
        </w:rPr>
        <w:t xml:space="preserve">          </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wordWrap/>
        <w:adjustRightInd/>
        <w:snapToGrid/>
        <w:spacing w:line="360" w:lineRule="auto"/>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2021年度单位</w:t>
      </w:r>
      <w:r>
        <w:rPr>
          <w:rFonts w:hint="eastAsia" w:ascii="黑体" w:hAnsi="黑体" w:eastAsia="黑体" w:cs="黑体"/>
          <w:color w:val="auto"/>
          <w:sz w:val="32"/>
          <w:szCs w:val="32"/>
          <w:highlight w:val="none"/>
        </w:rPr>
        <w:t>决算情况说明</w:t>
      </w:r>
      <w:r>
        <w:rPr>
          <w:rFonts w:hint="eastAsia" w:ascii="黑体" w:hAnsi="黑体" w:eastAsia="黑体" w:cs="黑体"/>
          <w:color w:val="auto"/>
          <w:sz w:val="32"/>
          <w:szCs w:val="32"/>
          <w:highlight w:val="none"/>
          <w:lang w:val="en-US" w:eastAsia="zh-CN"/>
        </w:rPr>
        <w:t xml:space="preserve">   </w:t>
      </w:r>
    </w:p>
    <w:p>
      <w:pPr>
        <w:wordWrap/>
        <w:adjustRightInd/>
        <w:snapToGrid/>
        <w:spacing w:line="360" w:lineRule="auto"/>
        <w:ind w:firstLine="640" w:firstLineChars="200"/>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一、收入支出决算总体情况说明</w:t>
      </w:r>
      <w:r>
        <w:rPr>
          <w:rFonts w:hint="eastAsia" w:ascii="宋体" w:hAnsi="宋体" w:cs="宋体"/>
          <w:color w:val="auto"/>
          <w:sz w:val="32"/>
          <w:szCs w:val="32"/>
          <w:highlight w:val="none"/>
          <w:lang w:val="en-US" w:eastAsia="zh-CN"/>
        </w:rPr>
        <w:t xml:space="preserve">   </w:t>
      </w:r>
      <w:r>
        <w:rPr>
          <w:rFonts w:hint="eastAsia" w:ascii="楷体" w:hAnsi="楷体" w:eastAsia="楷体" w:cs="楷体"/>
          <w:color w:val="auto"/>
          <w:sz w:val="24"/>
          <w:szCs w:val="24"/>
          <w:highlight w:val="none"/>
          <w:lang w:val="en-US" w:eastAsia="zh-CN"/>
        </w:rPr>
        <w:t xml:space="preserve"> </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八</w:t>
      </w:r>
      <w:r>
        <w:rPr>
          <w:rFonts w:hint="eastAsia" w:ascii="宋体" w:hAnsi="宋体" w:eastAsia="宋体" w:cs="宋体"/>
          <w:color w:val="auto"/>
          <w:sz w:val="32"/>
          <w:szCs w:val="32"/>
          <w:highlight w:val="none"/>
        </w:rPr>
        <w:t>、政府性基金预算财政拨款支出决算情况说明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九</w:t>
      </w:r>
      <w:r>
        <w:rPr>
          <w:rFonts w:hint="eastAsia" w:ascii="宋体" w:hAnsi="宋体" w:eastAsia="宋体" w:cs="宋体"/>
          <w:color w:val="auto"/>
          <w:sz w:val="32"/>
          <w:szCs w:val="32"/>
          <w:highlight w:val="none"/>
        </w:rPr>
        <w:t>、机关运行经费支出情况</w:t>
      </w:r>
      <w:r>
        <w:rPr>
          <w:rFonts w:hint="eastAsia" w:ascii="宋体" w:hAnsi="宋体" w:eastAsia="宋体" w:cs="宋体"/>
          <w:color w:val="auto"/>
          <w:sz w:val="32"/>
          <w:szCs w:val="32"/>
          <w:highlight w:val="none"/>
          <w:lang w:eastAsia="zh-CN"/>
        </w:rPr>
        <w:t>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、国有资产占用情况说明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p>
    <w:p>
      <w:pPr>
        <w:wordWrap/>
        <w:adjustRightInd/>
        <w:snapToGrid/>
        <w:spacing w:line="360" w:lineRule="auto"/>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r>
        <w:rPr>
          <w:rFonts w:hint="eastAsia" w:ascii="黑体" w:hAnsi="黑体" w:eastAsia="黑体" w:cs="黑体"/>
          <w:color w:val="auto"/>
          <w:sz w:val="32"/>
          <w:szCs w:val="32"/>
          <w:highlight w:val="none"/>
          <w:lang w:val="en-US" w:eastAsia="zh-CN"/>
        </w:rPr>
        <w:t xml:space="preserve">    </w:t>
      </w:r>
    </w:p>
    <w:p>
      <w:pPr>
        <w:wordWrap/>
        <w:adjustRightInd/>
        <w:snapToGrid/>
        <w:spacing w:line="360" w:lineRule="auto"/>
        <w:ind w:firstLine="640" w:firstLineChars="200"/>
        <w:jc w:val="left"/>
        <w:rPr>
          <w:rFonts w:ascii="宋体" w:hAnsi="宋体" w:eastAsia="宋体" w:cs="宋体"/>
          <w:color w:val="auto"/>
          <w:sz w:val="32"/>
          <w:szCs w:val="32"/>
          <w:highlight w:val="none"/>
        </w:rPr>
      </w:pPr>
    </w:p>
    <w:p>
      <w:pPr>
        <w:wordWrap/>
        <w:adjustRightInd/>
        <w:snapToGrid/>
        <w:spacing w:line="360" w:lineRule="auto"/>
        <w:jc w:val="left"/>
        <w:rPr>
          <w:color w:val="auto"/>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许昌市动物卫生监督所</w:t>
      </w:r>
      <w:r>
        <w:rPr>
          <w:rFonts w:hint="eastAsia" w:ascii="黑体" w:hAnsi="黑体" w:eastAsia="黑体" w:cs="黑体"/>
          <w:color w:val="auto"/>
          <w:sz w:val="48"/>
          <w:szCs w:val="48"/>
          <w:highlight w:val="none"/>
        </w:rPr>
        <w:t>概况</w:t>
      </w:r>
    </w:p>
    <w:p>
      <w:pPr>
        <w:widowControl/>
        <w:wordWrap/>
        <w:adjustRightInd/>
        <w:snapToGrid/>
        <w:spacing w:line="380" w:lineRule="exact"/>
        <w:jc w:val="left"/>
        <w:textAlignment w:val="auto"/>
        <w:rPr>
          <w:rFonts w:hint="eastAsia" w:ascii="楷体" w:hAnsi="楷体" w:eastAsia="楷体" w:cs="楷体"/>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i w:val="0"/>
          <w:iCs w:val="0"/>
          <w:color w:val="auto"/>
          <w:kern w:val="0"/>
          <w:sz w:val="28"/>
          <w:szCs w:val="28"/>
          <w:highlight w:val="none"/>
          <w:u w:val="none"/>
          <w:lang w:val="en-US" w:eastAsia="zh-CN" w:bidi="ar-SA"/>
        </w:rPr>
      </w:pPr>
    </w:p>
    <w:p>
      <w:pPr>
        <w:pStyle w:val="3"/>
        <w:wordWrap/>
        <w:adjustRightInd/>
        <w:snapToGrid/>
        <w:spacing w:line="380" w:lineRule="exact"/>
        <w:textAlignment w:val="auto"/>
        <w:rPr>
          <w:rFonts w:hint="eastAsia" w:ascii="楷体" w:hAnsi="楷体" w:eastAsia="楷体" w:cs="楷体"/>
          <w:b/>
          <w:bCs/>
          <w:i w:val="0"/>
          <w:iCs w:val="0"/>
          <w:color w:val="auto"/>
          <w:kern w:val="0"/>
          <w:sz w:val="28"/>
          <w:szCs w:val="28"/>
          <w:highlight w:val="none"/>
          <w:u w:val="none"/>
          <w:lang w:val="en-US" w:eastAsia="zh-CN" w:bidi="ar-SA"/>
        </w:rPr>
      </w:pPr>
    </w:p>
    <w:p>
      <w:pPr>
        <w:widowControl/>
        <w:wordWrap/>
        <w:adjustRightInd/>
        <w:snapToGrid/>
        <w:spacing w:line="360" w:lineRule="auto"/>
        <w:ind w:firstLine="640" w:firstLineChars="200"/>
        <w:jc w:val="left"/>
        <w:outlineLvl w:val="1"/>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color w:val="auto"/>
          <w:sz w:val="32"/>
          <w:szCs w:val="32"/>
          <w:highlight w:val="none"/>
        </w:rPr>
        <w:t>职责</w:t>
      </w:r>
      <w:r>
        <w:rPr>
          <w:rFonts w:hint="eastAsia" w:ascii="黑体" w:hAnsi="黑体" w:eastAsia="黑体" w:cs="黑体"/>
          <w:bCs/>
          <w:color w:val="auto"/>
          <w:sz w:val="32"/>
          <w:szCs w:val="32"/>
          <w:highlight w:val="none"/>
          <w:lang w:val="en-US" w:eastAsia="zh-CN"/>
        </w:rPr>
        <w:t xml:space="preserve">    </w:t>
      </w:r>
      <w:r>
        <w:rPr>
          <w:rFonts w:hint="eastAsia" w:ascii="楷体" w:hAnsi="楷体" w:eastAsia="楷体" w:cs="楷体"/>
          <w:color w:val="auto"/>
          <w:sz w:val="24"/>
          <w:szCs w:val="24"/>
          <w:highlight w:val="none"/>
          <w:lang w:val="en-US" w:eastAsia="zh-CN"/>
        </w:rPr>
        <w:t xml:space="preserve"> </w:t>
      </w:r>
    </w:p>
    <w:p>
      <w:p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指导全市动物及动物产品检疫工作和全市动物检疫技术培训工作；</w:t>
      </w:r>
    </w:p>
    <w:p>
      <w:pPr>
        <w:adjustRightInd w:val="0"/>
        <w:snapToGrid w:val="0"/>
        <w:spacing w:line="62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（二）</w:t>
      </w:r>
      <w:r>
        <w:rPr>
          <w:rFonts w:hint="eastAsia" w:ascii="仿宋_GB2312" w:hAnsi="仿宋_GB2312" w:eastAsia="仿宋_GB2312" w:cs="仿宋_GB2312"/>
          <w:color w:val="auto"/>
          <w:sz w:val="32"/>
          <w:szCs w:val="32"/>
          <w:highlight w:val="none"/>
          <w:lang w:eastAsia="zh-CN"/>
        </w:rPr>
        <w:t>负责市管功能区动物、动物产品检疫工作；</w:t>
      </w:r>
    </w:p>
    <w:p>
      <w:p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（三）负责全市铁路检疫工作；</w:t>
      </w:r>
    </w:p>
    <w:p>
      <w:p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（四）指导市境临时动物卫生监督检查站工作；</w:t>
      </w:r>
    </w:p>
    <w:p>
      <w:p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（五）负责全市动物检疫证章标志的管理工作；</w:t>
      </w:r>
    </w:p>
    <w:p>
      <w:p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（六）负责实施全市动物疫病可追溯体系和动物检疫基础设施项目建设工作；</w:t>
      </w:r>
    </w:p>
    <w:p>
      <w:pPr>
        <w:adjustRightInd w:val="0"/>
        <w:snapToGrid w:val="0"/>
        <w:spacing w:line="620" w:lineRule="exact"/>
        <w:ind w:firstLine="640" w:firstLineChars="200"/>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（七）参与重大动物疫情应急处置工作及完成上级交办的其它任务。</w:t>
      </w:r>
    </w:p>
    <w:p>
      <w:pPr>
        <w:widowControl/>
        <w:wordWrap/>
        <w:adjustRightInd/>
        <w:snapToGrid/>
        <w:spacing w:line="360" w:lineRule="auto"/>
        <w:ind w:firstLine="640" w:firstLineChars="200"/>
        <w:jc w:val="left"/>
        <w:outlineLvl w:val="1"/>
        <w:rPr>
          <w:rFonts w:hint="eastAsia" w:ascii="仿宋_GB2312" w:hAnsi="仿宋_GB2312" w:eastAsia="仿宋_GB2312" w:cs="仿宋_GB2312"/>
          <w:b w:val="0"/>
          <w:bCs w:val="0"/>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二、机构设置    </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许昌市动物卫生监督所内设机构4个，包括：综合科、检疫科、追溯科、信息科。</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从决算单位构成看，许昌市动物卫生监督所单位决算包括：本级决算（1个）。</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许昌市动物卫生监督所</w:t>
      </w:r>
    </w:p>
    <w:p>
      <w:pPr>
        <w:widowControl/>
        <w:wordWrap/>
        <w:adjustRightInd/>
        <w:snapToGrid/>
        <w:spacing w:line="360" w:lineRule="auto"/>
        <w:ind w:firstLine="630" w:firstLineChars="300"/>
        <w:jc w:val="left"/>
        <w:rPr>
          <w:color w:val="auto"/>
          <w:highlight w:val="none"/>
        </w:rPr>
        <w:sectPr>
          <w:pgSz w:w="11906" w:h="16838"/>
          <w:pgMar w:top="1440" w:right="1800" w:bottom="1440" w:left="1800" w:header="720" w:footer="720" w:gutter="0"/>
          <w:pgNumType w:fmt="numberInDash"/>
          <w:cols w:space="720" w:num="1"/>
          <w:docGrid w:type="lines" w:linePitch="312" w:charSpace="0"/>
        </w:sectPr>
      </w:pPr>
    </w:p>
    <w:p>
      <w:pPr>
        <w:widowControl/>
        <w:wordWrap/>
        <w:adjustRightInd/>
        <w:snapToGrid/>
        <w:spacing w:line="360" w:lineRule="auto"/>
        <w:jc w:val="left"/>
        <w:rPr>
          <w:rFonts w:hint="eastAsia" w:ascii="楷体" w:hAnsi="楷体" w:eastAsia="楷体" w:cs="楷体"/>
          <w:b/>
          <w:bCs/>
          <w:color w:val="auto"/>
          <w:kern w:val="0"/>
          <w:sz w:val="32"/>
          <w:szCs w:val="32"/>
          <w:highlight w:val="none"/>
          <w:lang w:val="en-US" w:eastAsia="zh-CN" w:bidi="ar-SA"/>
        </w:rPr>
      </w:pPr>
    </w:p>
    <w:p>
      <w:pPr>
        <w:widowControl/>
        <w:wordWrap/>
        <w:adjustRightInd/>
        <w:snapToGrid/>
        <w:spacing w:line="360" w:lineRule="auto"/>
        <w:jc w:val="left"/>
        <w:rPr>
          <w:rFonts w:hint="eastAsia" w:ascii="楷体" w:hAnsi="楷体" w:eastAsia="楷体" w:cs="楷体"/>
          <w:b/>
          <w:bCs/>
          <w:color w:val="auto"/>
          <w:kern w:val="0"/>
          <w:sz w:val="32"/>
          <w:szCs w:val="32"/>
          <w:highlight w:val="none"/>
          <w:lang w:val="en-US" w:eastAsia="zh-CN" w:bidi="ar-SA"/>
        </w:rPr>
      </w:pPr>
    </w:p>
    <w:p>
      <w:pPr>
        <w:widowControl/>
        <w:wordWrap/>
        <w:adjustRightInd/>
        <w:snapToGrid/>
        <w:spacing w:line="360" w:lineRule="auto"/>
        <w:jc w:val="left"/>
        <w:rPr>
          <w:rFonts w:hint="eastAsia" w:ascii="楷体" w:hAnsi="楷体" w:eastAsia="楷体" w:cs="楷体"/>
          <w:b/>
          <w:bCs/>
          <w:color w:val="auto"/>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auto"/>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auto"/>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auto"/>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auto"/>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auto"/>
          <w:kern w:val="2"/>
          <w:sz w:val="28"/>
          <w:szCs w:val="28"/>
          <w:highlight w:val="none"/>
          <w:lang w:val="en-US" w:eastAsia="zh-CN" w:bidi="ar-SA"/>
        </w:rPr>
      </w:pPr>
    </w:p>
    <w:p>
      <w:pPr>
        <w:numPr>
          <w:ilvl w:val="0"/>
          <w:numId w:val="2"/>
        </w:numPr>
        <w:wordWrap/>
        <w:adjustRightInd/>
        <w:snapToGrid/>
        <w:spacing w:line="360" w:lineRule="auto"/>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2021年度单位</w:t>
      </w:r>
      <w:r>
        <w:rPr>
          <w:rFonts w:hint="eastAsia" w:ascii="黑体" w:hAnsi="黑体" w:eastAsia="黑体" w:cs="黑体"/>
          <w:color w:val="auto"/>
          <w:sz w:val="48"/>
          <w:szCs w:val="48"/>
          <w:highlight w:val="none"/>
        </w:rPr>
        <w:t>决算表</w:t>
      </w: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 xml:space="preserve">            </w:t>
      </w: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p>
    <w:p>
      <w:pPr>
        <w:widowControl/>
        <w:wordWrap/>
        <w:adjustRightInd/>
        <w:snapToGrid/>
        <w:spacing w:line="360" w:lineRule="auto"/>
        <w:jc w:val="left"/>
        <w:rPr>
          <w:color w:val="auto"/>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color w:val="auto"/>
          <w:sz w:val="48"/>
          <w:szCs w:val="48"/>
          <w:highlight w:val="none"/>
          <w:lang w:val="en-US" w:eastAsia="zh-CN"/>
        </w:rPr>
        <w:t xml:space="preserve">   </w:t>
      </w:r>
    </w:p>
    <w:tbl>
      <w:tblPr>
        <w:tblStyle w:val="7"/>
        <w:tblW w:w="12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756"/>
        <w:gridCol w:w="1009"/>
        <w:gridCol w:w="4050"/>
        <w:gridCol w:w="756"/>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735"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03"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7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0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405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61"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03"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：许昌市动物卫生监督所</w:t>
            </w:r>
          </w:p>
        </w:tc>
        <w:tc>
          <w:tcPr>
            <w:tcW w:w="7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0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405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61"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收入</w:t>
            </w:r>
          </w:p>
        </w:tc>
        <w:tc>
          <w:tcPr>
            <w:tcW w:w="6667"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0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4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8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75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4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75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0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361.13</w:t>
            </w: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三、国有资本经营预算财政拨款收入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四、上级补助收入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五、事业收入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六、经营收入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七、附属单位上缴收入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八、其他收入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20"/>
                <w:szCs w:val="20"/>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24</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0"/>
                <w:szCs w:val="20"/>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0"/>
                <w:szCs w:val="20"/>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0"/>
                <w:szCs w:val="20"/>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0"/>
                <w:szCs w:val="20"/>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0"/>
                <w:szCs w:val="20"/>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0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361.13</w:t>
            </w:r>
          </w:p>
        </w:tc>
        <w:tc>
          <w:tcPr>
            <w:tcW w:w="4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使用非财政拨款结余</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结余分配</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0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34.76</w:t>
            </w: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0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186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756"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0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395.89</w:t>
            </w:r>
          </w:p>
        </w:tc>
        <w:tc>
          <w:tcPr>
            <w:tcW w:w="4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35"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本年度的总收支和年末结转结余情况。本表金额转换为万元时，因四舍五入可能存在尾差。</w:t>
            </w:r>
          </w:p>
        </w:tc>
      </w:tr>
    </w:tbl>
    <w:p>
      <w:pPr>
        <w:wordWrap/>
        <w:adjustRightInd/>
        <w:snapToGrid/>
        <w:spacing w:line="360" w:lineRule="auto"/>
        <w:rPr>
          <w:color w:val="auto"/>
          <w:highlight w:val="none"/>
        </w:rPr>
        <w:sectPr>
          <w:pgSz w:w="16838" w:h="11906" w:orient="landscape"/>
          <w:pgMar w:top="1800" w:right="1440" w:bottom="1800" w:left="1440" w:header="720" w:footer="720" w:gutter="0"/>
          <w:pgNumType w:fmt="numberInDash"/>
          <w:cols w:space="720" w:num="1"/>
          <w:docGrid w:type="lines" w:linePitch="312" w:charSpace="0"/>
        </w:sectPr>
      </w:pPr>
    </w:p>
    <w:p>
      <w:pPr>
        <w:wordWrap/>
        <w:adjustRightInd/>
        <w:snapToGrid/>
        <w:spacing w:line="360" w:lineRule="auto"/>
        <w:rPr>
          <w:rFonts w:hint="eastAsia" w:ascii="仿宋_GB2312" w:hAnsi="仿宋_GB2312" w:eastAsia="仿宋_GB2312" w:cs="仿宋_GB2312"/>
          <w:color w:val="auto"/>
          <w:sz w:val="32"/>
          <w:szCs w:val="32"/>
          <w:highlight w:val="none"/>
        </w:rPr>
      </w:pPr>
    </w:p>
    <w:tbl>
      <w:tblPr>
        <w:tblStyle w:val="7"/>
        <w:tblW w:w="135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1182"/>
        <w:gridCol w:w="1182"/>
        <w:gridCol w:w="584"/>
        <w:gridCol w:w="584"/>
        <w:gridCol w:w="584"/>
        <w:gridCol w:w="58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32"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8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8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：许昌市动物卫生监督所</w:t>
            </w: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8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8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18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本年收入合计</w:t>
            </w:r>
          </w:p>
        </w:tc>
        <w:tc>
          <w:tcPr>
            <w:tcW w:w="118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财政拨款收入</w:t>
            </w:r>
          </w:p>
        </w:tc>
        <w:tc>
          <w:tcPr>
            <w:tcW w:w="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上级补助收入</w:t>
            </w:r>
          </w:p>
        </w:tc>
        <w:tc>
          <w:tcPr>
            <w:tcW w:w="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事业收入</w:t>
            </w:r>
          </w:p>
        </w:tc>
        <w:tc>
          <w:tcPr>
            <w:tcW w:w="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经营收入</w:t>
            </w:r>
          </w:p>
        </w:tc>
        <w:tc>
          <w:tcPr>
            <w:tcW w:w="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附属单位上缴收入</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1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361.13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361.13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31.86</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31.86</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31.86</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31.86</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事业单位离退休</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14.24</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14.24</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17.62</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17.62</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17.11</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17.11</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17.11</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17.11</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8.82</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8.82</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8.29</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8.29</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农林水支出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310.43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310.43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农业农村</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310.43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310.43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130.53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130.53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165.90</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165.90</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科技转化与推广服务</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4.00</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病虫害控制</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10.00</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10.00</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2"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本年度取得的各项收入情况。本表金额转换为万元时，因四舍五入可能存在尾差。</w:t>
            </w:r>
          </w:p>
        </w:tc>
      </w:tr>
    </w:tbl>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tbl>
      <w:tblPr>
        <w:tblStyle w:val="7"/>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1247"/>
        <w:gridCol w:w="1247"/>
        <w:gridCol w:w="1101"/>
        <w:gridCol w:w="638"/>
        <w:gridCol w:w="63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95"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4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4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0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63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63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：许昌市动物卫生监督所</w:t>
            </w: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4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4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0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63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63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24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本年支出合计</w:t>
            </w:r>
          </w:p>
        </w:tc>
        <w:tc>
          <w:tcPr>
            <w:tcW w:w="124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1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63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上缴上级支出</w:t>
            </w:r>
          </w:p>
        </w:tc>
        <w:tc>
          <w:tcPr>
            <w:tcW w:w="6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经营支出</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6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6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6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6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6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6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2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2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63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6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395.89</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371.99</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23.90</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事业单位离退休</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15.15</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21.61</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21.61</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10.17</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10.17</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9.75</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9.75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农林水支出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337.48</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313.58</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23.90</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农业农村</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337.48</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313.58</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23.90</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130.53</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130.53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183.05</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183.05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科技转化与推广服务</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w:t>
            </w:r>
          </w:p>
        </w:tc>
        <w:tc>
          <w:tcPr>
            <w:tcW w:w="12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病虫害控制</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19.88</w:t>
            </w:r>
          </w:p>
        </w:tc>
        <w:tc>
          <w:tcPr>
            <w:tcW w:w="12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19.88</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95"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本年度各项支出情况。本表金额转换为万元时，因四舍五入可能存在尾差。</w:t>
            </w:r>
          </w:p>
        </w:tc>
      </w:tr>
    </w:tbl>
    <w:p>
      <w:pPr>
        <w:wordWrap/>
        <w:adjustRightInd/>
        <w:snapToGrid/>
        <w:spacing w:line="360" w:lineRule="auto"/>
        <w:rPr>
          <w:color w:val="auto"/>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70"/>
        <w:gridCol w:w="1125"/>
        <w:gridCol w:w="3660"/>
        <w:gridCol w:w="570"/>
        <w:gridCol w:w="876"/>
        <w:gridCol w:w="1020"/>
        <w:gridCol w:w="98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15"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90"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57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66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7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7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2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8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90"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：许昌市动物卫生监督所</w:t>
            </w:r>
          </w:p>
        </w:tc>
        <w:tc>
          <w:tcPr>
            <w:tcW w:w="57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2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66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7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7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2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8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     入</w:t>
            </w:r>
          </w:p>
        </w:tc>
        <w:tc>
          <w:tcPr>
            <w:tcW w:w="873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9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36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0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一般公共预算财政拨款</w:t>
            </w:r>
          </w:p>
        </w:tc>
        <w:tc>
          <w:tcPr>
            <w:tcW w:w="98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政府性基金预算财政拨款</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09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6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9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361.13</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337.48</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337.48</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20"/>
                <w:szCs w:val="20"/>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0"/>
                <w:szCs w:val="20"/>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0"/>
                <w:szCs w:val="20"/>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361.13</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395.89</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395.89</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34.76</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34.76</w:t>
            </w: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国有资本经营预算财政拨款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57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395.89</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64</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395.89</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395.89</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515"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wordWrap/>
        <w:adjustRightInd/>
        <w:snapToGrid/>
        <w:spacing w:line="360" w:lineRule="auto"/>
        <w:rPr>
          <w:color w:val="auto"/>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1214"/>
        <w:gridCol w:w="1214"/>
        <w:gridCol w:w="2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1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1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02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：许昌市动物卫生监督所</w:t>
            </w: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1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1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02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445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1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21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202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2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2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2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2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20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395.89</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371.99</w:t>
            </w: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36.76</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事业单位离退休</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15.15</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15.15</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21.61</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21.61</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19.92</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10.17</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10.17</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9.75</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9.75</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农林水支出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337.48</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313.58</w:t>
            </w: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农业农村</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337.48</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313.58</w:t>
            </w: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130.53</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130.53</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183.05</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183.05</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科技转化与推广服务</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w:t>
            </w: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2130108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病虫害控制</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19.88</w:t>
            </w: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70"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本年度一般公共预算财政拨款支出情况。本套报表金额单位转换时可能存在尾数误差。</w:t>
            </w:r>
          </w:p>
        </w:tc>
      </w:tr>
    </w:tbl>
    <w:p>
      <w:pPr>
        <w:wordWrap/>
        <w:adjustRightInd/>
        <w:snapToGrid/>
        <w:spacing w:line="360" w:lineRule="auto"/>
        <w:rPr>
          <w:color w:val="auto"/>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2475"/>
        <w:gridCol w:w="994"/>
        <w:gridCol w:w="862"/>
        <w:gridCol w:w="1800"/>
        <w:gridCol w:w="1032"/>
        <w:gridCol w:w="825"/>
        <w:gridCol w:w="3881"/>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8"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247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6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0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3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2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88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3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53"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：许昌市动物卫生监督所</w:t>
            </w:r>
          </w:p>
        </w:tc>
        <w:tc>
          <w:tcPr>
            <w:tcW w:w="99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6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0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3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2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88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3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w:t>
            </w:r>
          </w:p>
        </w:tc>
        <w:tc>
          <w:tcPr>
            <w:tcW w:w="9834"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4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99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6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18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03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388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43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4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8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工资福利支出</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330.62</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商品和服务支出</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26.21</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债务利息及费用支出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基本工资</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81.74</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30201</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2.58</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30701</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国内债务付息</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津贴补贴</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88.43</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30202</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印刷费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2.47</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30702</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国外债务付息</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奖金</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95.67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30203</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咨询费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资本性支出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30106</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伙食补助费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30204</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手续费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31001</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房屋建筑物购建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30107</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绩效工资</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30205</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水费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0.54</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31002</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办公设备购置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30108</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30206</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电费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0.52</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31003</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专用设备购置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职业年金缴费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30207</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邮电费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0.55</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31005</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基础设施建设</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30110</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职工基本医疗保险缴费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10.17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30208</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取暖费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31006</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大型修缮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公务员医疗补助缴费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9.68</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30209</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物业管理费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0.07</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31007</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信息网络及软件购置更新</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其他社会保障缴费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0.27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30211</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差旅费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31008</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物资储备</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住房公积金</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21.42</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30212</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因公出国（境）费用</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土地补偿</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30114</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30213</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维修（护）费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31010</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安置补助</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30199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其他工资福利支出</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30214</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租赁费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31011</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地上附着物和青苗补偿</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对个人和家庭的补助</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15.15</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30215</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会议费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0.85</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31012</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拆迁补偿</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离休费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30216</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培训费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31013</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退休费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15.15</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30217</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公务接待费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其他交通工具购置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退职（役）费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30218</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专用材料费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0.05</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31021</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文物和陈列品购置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30304</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抚恤金</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30224</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被装购置费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31022</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无形资产购置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30305</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生活补助</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30225</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专用燃料费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31099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其他资本性支出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30306</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救济费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30226</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劳务费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6.88</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30307</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医疗费补助</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30227</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委托业务费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2.51</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39906</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赠与</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30308</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助学金</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30228</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工会经费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39907</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国家赔偿费用支出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奖励金</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30229</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福利费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1.60</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39908</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对民间非营利组织和群众性自治组织补贴</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30310</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个人农业生产补贴</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30231</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公务用车运行维护费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0.99</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39999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代缴社会保险费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30239</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其他交通费用</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88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30399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其他对个人和家庭的补助</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30240</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税金及附加费用</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88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47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30299</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其他商品和服务支出</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0.03</w:t>
            </w:r>
          </w:p>
        </w:tc>
        <w:tc>
          <w:tcPr>
            <w:tcW w:w="8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388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人员经费合计</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345.77</w:t>
            </w:r>
          </w:p>
        </w:tc>
        <w:tc>
          <w:tcPr>
            <w:tcW w:w="840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公用经费合计</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本年度一般公共预算财政拨款基本支出明细情况。本表金额转换为万元时，因四舍五入可能存在尾差。</w:t>
            </w:r>
          </w:p>
        </w:tc>
      </w:tr>
    </w:tbl>
    <w:p>
      <w:pPr>
        <w:wordWrap/>
        <w:adjustRightInd/>
        <w:snapToGrid/>
        <w:spacing w:line="360" w:lineRule="auto"/>
        <w:rPr>
          <w:color w:val="auto"/>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1005"/>
        <w:gridCol w:w="795"/>
        <w:gridCol w:w="722"/>
        <w:gridCol w:w="982"/>
        <w:gridCol w:w="746"/>
        <w:gridCol w:w="1008"/>
        <w:gridCol w:w="1230"/>
        <w:gridCol w:w="840"/>
        <w:gridCol w:w="754"/>
        <w:gridCol w:w="101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3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100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9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8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4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0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3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1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：许昌市动物卫生监督所</w:t>
            </w:r>
          </w:p>
        </w:tc>
        <w:tc>
          <w:tcPr>
            <w:tcW w:w="100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9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2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8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4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0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3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1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6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预算数</w:t>
            </w:r>
          </w:p>
        </w:tc>
        <w:tc>
          <w:tcPr>
            <w:tcW w:w="6464"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00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2499"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74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c>
          <w:tcPr>
            <w:tcW w:w="10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261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0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72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9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74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7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0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0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79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72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9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7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0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7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0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w:t>
            </w:r>
          </w:p>
        </w:tc>
        <w:tc>
          <w:tcPr>
            <w:tcW w:w="7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w:t>
            </w:r>
          </w:p>
        </w:tc>
        <w:tc>
          <w:tcPr>
            <w:tcW w:w="7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0.99</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0.99</w:t>
            </w:r>
          </w:p>
        </w:tc>
        <w:tc>
          <w:tcPr>
            <w:tcW w:w="7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0.99</w:t>
            </w: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3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val="0"/>
        <w:wordWrap/>
        <w:adjustRightInd/>
        <w:snapToGrid/>
        <w:spacing w:line="440" w:lineRule="exact"/>
        <w:textAlignment w:val="auto"/>
        <w:rPr>
          <w:color w:val="auto"/>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4"/>
        <w:gridCol w:w="281"/>
        <w:gridCol w:w="281"/>
        <w:gridCol w:w="1387"/>
        <w:gridCol w:w="1254"/>
        <w:gridCol w:w="1254"/>
        <w:gridCol w:w="1254"/>
        <w:gridCol w:w="1254"/>
        <w:gridCol w:w="1254"/>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64"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28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8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8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047"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64"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单位</w:t>
            </w:r>
            <w:r>
              <w:rPr>
                <w:rFonts w:hint="eastAsia" w:ascii="宋体" w:hAnsi="宋体" w:eastAsia="宋体" w:cs="宋体"/>
                <w:i w:val="0"/>
                <w:iCs w:val="0"/>
                <w:color w:val="auto"/>
                <w:kern w:val="0"/>
                <w:sz w:val="20"/>
                <w:szCs w:val="20"/>
                <w:highlight w:val="none"/>
                <w:u w:val="none"/>
                <w:lang w:val="en-US" w:eastAsia="zh-CN"/>
              </w:rPr>
              <w:t>：许昌市动物卫生监督所</w:t>
            </w:r>
          </w:p>
        </w:tc>
        <w:tc>
          <w:tcPr>
            <w:tcW w:w="28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8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8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254"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047"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25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125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w:t>
            </w:r>
          </w:p>
        </w:tc>
        <w:tc>
          <w:tcPr>
            <w:tcW w:w="376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c>
          <w:tcPr>
            <w:tcW w:w="204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138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2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2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20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8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8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20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3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w:t>
            </w:r>
            <w:r>
              <w:rPr>
                <w:rFonts w:hint="eastAsia" w:ascii="宋体" w:hAnsi="宋体" w:cs="宋体"/>
                <w:i w:val="0"/>
                <w:iCs w:val="0"/>
                <w:color w:val="auto"/>
                <w:kern w:val="0"/>
                <w:sz w:val="22"/>
                <w:szCs w:val="22"/>
                <w:highlight w:val="none"/>
                <w:u w:val="none"/>
                <w:lang w:val="en-US" w:eastAsia="zh-CN"/>
              </w:rPr>
              <w:t>单位</w:t>
            </w:r>
            <w:r>
              <w:rPr>
                <w:rFonts w:hint="eastAsia" w:ascii="宋体" w:hAnsi="宋体" w:eastAsia="宋体" w:cs="宋体"/>
                <w:i w:val="0"/>
                <w:iCs w:val="0"/>
                <w:color w:val="auto"/>
                <w:kern w:val="0"/>
                <w:sz w:val="22"/>
                <w:szCs w:val="22"/>
                <w:highlight w:val="none"/>
                <w:u w:val="none"/>
                <w:lang w:val="en-US" w:eastAsia="zh-CN"/>
              </w:rPr>
              <w:t>本年度政府性基金预算财政拨款收入、支出及结转和结余情况。本表金额转换为万元时，因四舍五入可能存在尾差。</w:t>
            </w:r>
          </w:p>
        </w:tc>
      </w:tr>
    </w:tbl>
    <w:p>
      <w:pPr>
        <w:wordWrap/>
        <w:adjustRightInd/>
        <w:snapToGrid/>
        <w:spacing w:line="360" w:lineRule="auto"/>
        <w:jc w:val="left"/>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28"/>
          <w:szCs w:val="28"/>
          <w:highlight w:val="none"/>
          <w:lang w:val="en-US" w:eastAsia="zh-CN"/>
        </w:rPr>
        <w:t>说明：我单位没有政府性基金收入，也没有使用政府性基金安排的支出，故本表无数据</w:t>
      </w:r>
      <w:r>
        <w:rPr>
          <w:rFonts w:hint="eastAsia" w:ascii="仿宋_GB2312" w:hAnsi="仿宋_GB2312" w:eastAsia="仿宋_GB2312" w:cs="仿宋_GB2312"/>
          <w:color w:val="auto"/>
          <w:sz w:val="32"/>
          <w:szCs w:val="32"/>
          <w:highlight w:val="none"/>
          <w:lang w:val="en-US" w:eastAsia="zh-CN"/>
        </w:rPr>
        <w:t>。</w:t>
      </w:r>
    </w:p>
    <w:p>
      <w:pPr>
        <w:pStyle w:val="3"/>
        <w:rPr>
          <w:color w:val="auto"/>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ordWrap/>
        <w:adjustRightInd/>
        <w:snapToGrid/>
        <w:spacing w:line="360" w:lineRule="auto"/>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2021年度单位</w:t>
      </w:r>
      <w:r>
        <w:rPr>
          <w:rFonts w:hint="eastAsia" w:ascii="黑体" w:hAnsi="黑体" w:eastAsia="黑体" w:cs="黑体"/>
          <w:color w:val="auto"/>
          <w:sz w:val="48"/>
          <w:szCs w:val="48"/>
          <w:highlight w:val="none"/>
        </w:rPr>
        <w:t>决算情况说明</w:t>
      </w:r>
    </w:p>
    <w:p>
      <w:pPr>
        <w:widowControl/>
        <w:wordWrap/>
        <w:adjustRightInd/>
        <w:snapToGrid/>
        <w:spacing w:line="360" w:lineRule="auto"/>
        <w:jc w:val="left"/>
        <w:rPr>
          <w:color w:val="auto"/>
          <w:highlight w:val="none"/>
        </w:rPr>
        <w:sectPr>
          <w:pgSz w:w="11906" w:h="16838"/>
          <w:pgMar w:top="1440" w:right="1800" w:bottom="1440" w:left="1800" w:header="720" w:footer="720" w:gutter="0"/>
          <w:pgNumType w:fmt="numberInDash"/>
          <w:cols w:space="720" w:num="1"/>
          <w:docGrid w:type="lines" w:linePitch="312" w:charSpace="0"/>
        </w:sectPr>
      </w:pP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widowControl/>
        <w:spacing w:line="590" w:lineRule="exact"/>
        <w:ind w:firstLine="640" w:firstLineChars="200"/>
        <w:rPr>
          <w:rFonts w:hint="eastAsia" w:ascii="楷体" w:hAnsi="楷体" w:eastAsia="楷体" w:cs="楷体"/>
          <w:b/>
          <w:bCs/>
          <w:color w:val="auto"/>
          <w:kern w:val="0"/>
          <w:sz w:val="32"/>
          <w:szCs w:val="32"/>
          <w:highlight w:val="none"/>
          <w:lang w:val="en-US" w:eastAsia="zh-CN" w:bidi="ar-SA"/>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395.89</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17.56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4.25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在职转退休，人员经费减少，同时严格控制经费支出</w:t>
      </w:r>
      <w:r>
        <w:rPr>
          <w:rFonts w:hint="eastAsia" w:ascii="仿宋_GB2312" w:hAnsi="仿宋_GB2312" w:eastAsia="仿宋_GB2312" w:cs="仿宋_GB2312"/>
          <w:color w:val="auto"/>
          <w:sz w:val="32"/>
          <w:szCs w:val="32"/>
          <w:highlight w:val="none"/>
        </w:rPr>
        <w:t>。</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widowControl/>
        <w:spacing w:line="590" w:lineRule="exact"/>
        <w:ind w:firstLine="640" w:firstLineChars="200"/>
        <w:rPr>
          <w:rFonts w:hint="eastAsia" w:ascii="黑体" w:hAnsi="黑体" w:eastAsia="黑体" w:cs="黑体"/>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361.13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361.13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widowControl/>
        <w:wordWrap/>
        <w:adjustRightInd/>
        <w:snapToGrid/>
        <w:spacing w:line="600" w:lineRule="exact"/>
        <w:ind w:firstLine="640" w:firstLineChars="200"/>
        <w:textAlignment w:val="auto"/>
        <w:rPr>
          <w:rFonts w:hint="eastAsia" w:ascii="黑体" w:hAnsi="黑体" w:eastAsia="黑体" w:cs="黑体"/>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395.89</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371.99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93.96</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23.90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6.04</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widowControl/>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2021年度财政拨款收、支总计均为395.89万元。与上年度相比，财政拨款收、支总计各减少17.56万元，下降4.25%。主要原因是在职转退休，人员经费减少，同时严格控制经费支出。</w:t>
      </w:r>
    </w:p>
    <w:p>
      <w:pPr>
        <w:widowControl/>
        <w:numPr>
          <w:ilvl w:val="0"/>
          <w:numId w:val="0"/>
        </w:numPr>
        <w:wordWrap/>
        <w:adjustRightInd/>
        <w:snapToGrid/>
        <w:spacing w:line="360" w:lineRule="auto"/>
        <w:ind w:leftChars="200" w:right="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五、一般公共预算财政拨款支出决算情况说明</w:t>
      </w:r>
    </w:p>
    <w:p>
      <w:pPr>
        <w:widowControl/>
        <w:numPr>
          <w:ilvl w:val="0"/>
          <w:numId w:val="0"/>
        </w:numPr>
        <w:wordWrap/>
        <w:adjustRightInd/>
        <w:snapToGrid/>
        <w:spacing w:line="360" w:lineRule="auto"/>
        <w:ind w:leftChars="200" w:right="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widowControl/>
        <w:wordWrap/>
        <w:adjustRightInd/>
        <w:snapToGrid/>
        <w:spacing w:line="360" w:lineRule="auto"/>
        <w:ind w:left="0" w:leftChars="0" w:right="0" w:firstLine="640" w:firstLineChars="200"/>
        <w:jc w:val="both"/>
        <w:textAlignment w:val="auto"/>
        <w:outlineLvl w:val="9"/>
        <w:rPr>
          <w:rFonts w:hint="eastAsia" w:ascii="楷体" w:hAnsi="楷体" w:eastAsia="楷体" w:cs="楷体"/>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2021年度一般公共预算财政拨款支出395.89万元，占支出合计的100%。与上年度相比，一般公共预算财政拨款支出增加9.65万元，增长2.50%。主要原因是养老基数提高。</w:t>
      </w:r>
    </w:p>
    <w:p>
      <w:pPr>
        <w:widowControl/>
        <w:numPr>
          <w:ilvl w:val="0"/>
          <w:numId w:val="3"/>
        </w:numPr>
        <w:wordWrap/>
        <w:adjustRightInd/>
        <w:snapToGrid/>
        <w:spacing w:line="360" w:lineRule="auto"/>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395.89</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36.76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9.29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19.92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5.03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农林水</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337.48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85.25</w:t>
      </w:r>
      <w:r>
        <w:rPr>
          <w:rFonts w:hint="eastAsia" w:ascii="仿宋_GB2312" w:hAnsi="仿宋_GB2312" w:eastAsia="仿宋_GB2312" w:cs="仿宋_GB2312"/>
          <w:color w:val="auto"/>
          <w:sz w:val="32"/>
          <w:szCs w:val="32"/>
          <w:highlight w:val="none"/>
        </w:rPr>
        <w:t>%。</w:t>
      </w:r>
    </w:p>
    <w:p>
      <w:pPr>
        <w:widowControl/>
        <w:numPr>
          <w:ilvl w:val="0"/>
          <w:numId w:val="0"/>
        </w:numPr>
        <w:wordWrap/>
        <w:adjustRightInd/>
        <w:snapToGrid/>
        <w:spacing w:line="360" w:lineRule="auto"/>
        <w:ind w:leftChars="200" w:right="0" w:firstLine="321" w:firstLineChars="1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w:t>
      </w:r>
      <w:r>
        <w:rPr>
          <w:rFonts w:hint="eastAsia" w:ascii="仿宋_GB2312" w:hAnsi="仿宋_GB2312" w:eastAsia="仿宋_GB2312" w:cs="仿宋_GB2312"/>
          <w:color w:val="auto"/>
          <w:sz w:val="32"/>
          <w:szCs w:val="32"/>
          <w:highlight w:val="none"/>
          <w:lang w:val="en-US" w:eastAsia="zh-CN"/>
        </w:rPr>
        <w:t>377.31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395.89</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104.92</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14.50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15.15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104.48</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1名职工退休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21.92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21.61</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98.59</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1名职工退休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11.02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10.17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92.29</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1名职工退休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公务员医疗补助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10.50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9.75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92.86</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1名职工退休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农业农村</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132.22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130.53</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98.72</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1名职工退休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农业农村</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185.42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183.05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98.72</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1名职工退休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农业农村</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科技转化与服务推广</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4.02</w:t>
      </w:r>
      <w:r>
        <w:rPr>
          <w:rFonts w:hint="eastAsia" w:ascii="仿宋_GB2312" w:hAnsi="仿宋_GB2312" w:eastAsia="仿宋_GB2312" w:cs="仿宋_GB2312"/>
          <w:color w:val="auto"/>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lang w:eastAsia="zh-CN"/>
        </w:rPr>
        <w:t>上级追加项目</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 w:hAnsi="楷体" w:eastAsia="楷体" w:cs="楷体"/>
          <w:b/>
          <w:bCs/>
          <w:i w:val="0"/>
          <w:i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农业农村</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病虫害控制</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19.88</w:t>
      </w:r>
      <w:r>
        <w:rPr>
          <w:rFonts w:hint="eastAsia" w:ascii="仿宋_GB2312" w:hAnsi="仿宋_GB2312" w:eastAsia="仿宋_GB2312" w:cs="仿宋_GB2312"/>
          <w:color w:val="auto"/>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lang w:eastAsia="zh-CN"/>
        </w:rPr>
        <w:t>上级追加项目</w:t>
      </w:r>
      <w:r>
        <w:rPr>
          <w:rFonts w:hint="eastAsia" w:ascii="仿宋_GB2312" w:hAnsi="仿宋_GB2312" w:eastAsia="仿宋_GB2312" w:cs="仿宋_GB2312"/>
          <w:color w:val="auto"/>
          <w:sz w:val="32"/>
          <w:szCs w:val="32"/>
          <w:highlight w:val="none"/>
        </w:rPr>
        <w:t>。</w:t>
      </w:r>
    </w:p>
    <w:p>
      <w:pPr>
        <w:widowControl/>
        <w:wordWrap/>
        <w:adjustRightInd/>
        <w:snapToGrid/>
        <w:spacing w:line="360" w:lineRule="auto"/>
        <w:ind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371.98</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345.77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职工基本医疗保险缴费、公务员医保补助缴费、</w:t>
      </w:r>
      <w:r>
        <w:rPr>
          <w:rFonts w:hint="eastAsia" w:ascii="仿宋_GB2312" w:hAnsi="仿宋_GB2312" w:eastAsia="仿宋_GB2312" w:cs="仿宋_GB2312"/>
          <w:color w:val="auto"/>
          <w:sz w:val="32"/>
          <w:szCs w:val="32"/>
          <w:highlight w:val="none"/>
        </w:rPr>
        <w:t>其他社会保障缴费、住房公积金、其他工资福利支出、退休费；公用经费</w:t>
      </w:r>
      <w:r>
        <w:rPr>
          <w:rFonts w:hint="eastAsia" w:ascii="仿宋_GB2312" w:hAnsi="仿宋_GB2312" w:eastAsia="仿宋_GB2312" w:cs="仿宋_GB2312"/>
          <w:color w:val="auto"/>
          <w:sz w:val="32"/>
          <w:szCs w:val="32"/>
          <w:highlight w:val="none"/>
          <w:lang w:val="en-US" w:eastAsia="zh-CN"/>
        </w:rPr>
        <w:t>26.21</w:t>
      </w:r>
      <w:r>
        <w:rPr>
          <w:rFonts w:hint="eastAsia" w:ascii="仿宋_GB2312" w:hAnsi="仿宋_GB2312" w:eastAsia="仿宋_GB2312" w:cs="仿宋_GB2312"/>
          <w:color w:val="auto"/>
          <w:sz w:val="32"/>
          <w:szCs w:val="32"/>
          <w:highlight w:val="none"/>
        </w:rPr>
        <w:t>万元，主要包括：办公费、印刷费、咨询费、水费、电费、邮电费、取暖费、物业管理费、差旅费、维修（护）费、会议费、专用材料费、劳务费、委托业务费、工会经费、福利费、公务用车运行维护费、其他商品和服务支出。</w:t>
      </w:r>
    </w:p>
    <w:p>
      <w:pPr>
        <w:widowControl/>
        <w:numPr>
          <w:ilvl w:val="0"/>
          <w:numId w:val="0"/>
        </w:numPr>
        <w:wordWrap/>
        <w:adjustRightInd/>
        <w:snapToGrid/>
        <w:spacing w:line="360" w:lineRule="auto"/>
        <w:ind w:leftChars="200" w:right="0"/>
        <w:jc w:val="both"/>
        <w:textAlignment w:val="auto"/>
        <w:outlineLvl w:val="1"/>
        <w:rPr>
          <w:rFonts w:hint="default" w:ascii="楷体_GB2312" w:hAnsi="楷体_GB2312" w:eastAsia="楷体_GB2312" w:cs="楷体_GB2312"/>
          <w:b/>
          <w:bCs/>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r>
        <w:rPr>
          <w:rFonts w:hint="eastAsia"/>
          <w:color w:val="auto"/>
          <w:highlight w:val="none"/>
          <w:lang w:val="en-US" w:eastAsia="zh-CN"/>
        </w:rPr>
        <w:t xml:space="preserve">                 </w:t>
      </w:r>
    </w:p>
    <w:p>
      <w:pPr>
        <w:widowControl/>
        <w:wordWrap/>
        <w:adjustRightInd/>
        <w:snapToGrid/>
        <w:spacing w:line="360" w:lineRule="auto"/>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widowControl/>
        <w:spacing w:line="590" w:lineRule="exact"/>
        <w:ind w:firstLine="640" w:firstLineChars="200"/>
        <w:rPr>
          <w:rFonts w:hint="eastAsia" w:ascii="楷体_GB2312" w:hAnsi="楷体_GB2312" w:eastAsia="楷体_GB2312" w:cs="楷体_GB2312"/>
          <w:b/>
          <w:bCs/>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节约支出，减少公务用车</w:t>
      </w:r>
      <w:r>
        <w:rPr>
          <w:rFonts w:hint="eastAsia" w:ascii="仿宋_GB2312" w:hAnsi="仿宋_GB2312" w:eastAsia="仿宋_GB2312" w:cs="仿宋_GB2312"/>
          <w:color w:val="auto"/>
          <w:sz w:val="32"/>
          <w:szCs w:val="32"/>
          <w:highlight w:val="none"/>
        </w:rPr>
        <w:t>。</w:t>
      </w:r>
    </w:p>
    <w:p>
      <w:pPr>
        <w:widowControl/>
        <w:wordWrap/>
        <w:adjustRightInd/>
        <w:snapToGrid/>
        <w:spacing w:line="360" w:lineRule="auto"/>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widowControl/>
        <w:spacing w:line="590" w:lineRule="exact"/>
        <w:ind w:firstLine="640" w:firstLineChars="200"/>
        <w:rPr>
          <w:rFonts w:hint="eastAsia" w:ascii="仿宋_GB2312" w:hAnsi="仿宋_GB2312" w:eastAsia="仿宋_GB2312" w:cs="仿宋_GB2312"/>
          <w:b/>
          <w:bCs/>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0.99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color w:val="auto"/>
          <w:sz w:val="32"/>
          <w:szCs w:val="32"/>
          <w:highlight w:val="none"/>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lang w:eastAsia="zh-CN"/>
        </w:rPr>
        <w:t>预</w:t>
      </w:r>
      <w:r>
        <w:rPr>
          <w:rFonts w:hint="eastAsia" w:ascii="仿宋_GB2312" w:hAnsi="仿宋_GB2312" w:eastAsia="仿宋_GB2312" w:cs="仿宋_GB2312"/>
          <w:color w:val="auto"/>
          <w:sz w:val="32"/>
          <w:szCs w:val="32"/>
          <w:highlight w:val="none"/>
        </w:rPr>
        <w:t>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节约支出，减少公务用车</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0.99</w:t>
      </w:r>
      <w:r>
        <w:rPr>
          <w:rFonts w:hint="eastAsia" w:ascii="仿宋_GB2312" w:hAnsi="仿宋_GB2312" w:eastAsia="仿宋_GB2312" w:cs="仿宋_GB2312"/>
          <w:color w:val="auto"/>
          <w:sz w:val="32"/>
          <w:szCs w:val="32"/>
          <w:highlight w:val="none"/>
        </w:rPr>
        <w:t>万元。主要用于</w:t>
      </w:r>
      <w:r>
        <w:rPr>
          <w:rFonts w:hint="eastAsia" w:eastAsia="仿宋_GB2312"/>
          <w:color w:val="auto"/>
          <w:sz w:val="32"/>
          <w:szCs w:val="32"/>
          <w:highlight w:val="none"/>
          <w:lang w:val="en-US" w:eastAsia="zh-CN"/>
        </w:rPr>
        <w:t>维护、维修、加油、保险、年检</w:t>
      </w:r>
      <w:r>
        <w:rPr>
          <w:rFonts w:hint="eastAsia" w:ascii="仿宋_GB2312" w:hAnsi="仿宋_GB2312" w:eastAsia="仿宋_GB2312"/>
          <w:color w:val="auto"/>
          <w:sz w:val="32"/>
          <w:highlight w:val="none"/>
        </w:rPr>
        <w:t>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wordWrap/>
        <w:adjustRightInd/>
        <w:snapToGrid/>
        <w:spacing w:line="360" w:lineRule="auto"/>
        <w:ind w:left="0" w:leftChars="0" w:right="0" w:firstLine="640" w:firstLineChars="200"/>
        <w:jc w:val="both"/>
        <w:textAlignment w:val="auto"/>
        <w:outlineLvl w:val="1"/>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32"/>
          <w:szCs w:val="32"/>
          <w:highlight w:val="none"/>
          <w:lang w:val="en-US" w:eastAsia="zh-CN"/>
        </w:rPr>
        <w:t xml:space="preserve">八、政府性基金预算财政拨款支出决算情况说明   </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2021年度政府性基金预算财政拨款支出年初预算为0.00万元，支出决算为0.00万元。不存在项目年末结转和结余资金数额较大。</w:t>
      </w:r>
    </w:p>
    <w:p>
      <w:pPr>
        <w:widowControl/>
        <w:spacing w:line="590" w:lineRule="exact"/>
        <w:ind w:firstLine="640" w:firstLineChars="200"/>
        <w:rPr>
          <w:rFonts w:hint="eastAsia" w:ascii="黑体" w:hAnsi="黑体" w:eastAsia="黑体"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情况说明：我单位2021年度没有政府性基金收入，也没有使用政府性基金安排的支出。</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九、机关运行经费支出情况说明  </w:t>
      </w:r>
    </w:p>
    <w:p>
      <w:pPr>
        <w:widowControl/>
        <w:wordWrap/>
        <w:adjustRightInd/>
        <w:snapToGrid/>
        <w:spacing w:line="360" w:lineRule="auto"/>
        <w:ind w:left="0" w:leftChars="0" w:right="0" w:firstLine="640" w:firstLineChars="200"/>
        <w:jc w:val="both"/>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numPr>
          <w:ilvl w:val="0"/>
          <w:numId w:val="0"/>
        </w:numPr>
        <w:wordWrap/>
        <w:adjustRightInd/>
        <w:snapToGrid/>
        <w:spacing w:line="360" w:lineRule="auto"/>
        <w:ind w:leftChars="200" w:right="0" w:firstLine="320" w:firstLineChars="100"/>
        <w:jc w:val="both"/>
        <w:textAlignment w:val="auto"/>
        <w:outlineLvl w:val="1"/>
        <w:rPr>
          <w:rFonts w:hint="eastAsia" w:ascii="楷体" w:hAnsi="楷体" w:eastAsia="楷体" w:cs="楷体"/>
          <w:b/>
          <w:bCs/>
          <w:color w:val="auto"/>
          <w:sz w:val="40"/>
          <w:szCs w:val="40"/>
          <w:highlight w:val="none"/>
          <w:lang w:val="en-US" w:eastAsia="zh-CN"/>
        </w:rPr>
      </w:pPr>
      <w:r>
        <w:rPr>
          <w:rFonts w:hint="eastAsia" w:ascii="黑体" w:hAnsi="黑体" w:eastAsia="黑体" w:cs="黑体"/>
          <w:color w:val="auto"/>
          <w:sz w:val="32"/>
          <w:szCs w:val="32"/>
          <w:highlight w:val="none"/>
          <w:lang w:val="en-US" w:eastAsia="zh-CN"/>
        </w:rPr>
        <w:t xml:space="preserve">十、政府采购支出情况说明  </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numPr>
          <w:ilvl w:val="0"/>
          <w:numId w:val="4"/>
        </w:numPr>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国有资产占用情况说明  </w:t>
      </w:r>
    </w:p>
    <w:p>
      <w:pPr>
        <w:widowControl/>
        <w:spacing w:line="590" w:lineRule="exact"/>
        <w:ind w:firstLine="640" w:firstLineChars="200"/>
        <w:rPr>
          <w:rFonts w:hint="eastAsia" w:ascii="楷体_GB2312" w:hAnsi="楷体_GB2312" w:eastAsia="楷体_GB2312" w:cs="楷体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强化项目绩效目标。我单位对申报的预算项目进行全面梳理，加强审核，申报的项目必须有明细的资金测算依据，对无具体内容、无明细支出测算的或支出测算不够详细的项目，一律不予申报。二是积极推进项目绩效评价。在加强预算编制环节的基础上，组织人员对事前、事中、事后各个环节进行抽查活动。主要内容是对照年初预算确定的项目绩效信息，重点审查资金是否符合规定支出范围，预算执行进度是否及时、合理。</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color w:val="auto"/>
          <w:sz w:val="32"/>
          <w:szCs w:val="32"/>
          <w:highlight w:val="none"/>
        </w:rPr>
        <w:t>（许财效〔</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得分为86.00分，评价等级为“良”。我单位完成保障人员经费和公用经费按照预算项目合理支出、确保单位办公正常运转、按时足额发放职工工资、缴纳五险一金和完成全市生猪瘦肉精检测工作，达成预期指标，效果好。二是项目绩效自评情况：年度各项指标均达成预期指标。我单位年中追加2个项目并批复了绩效目标，项目金额23.90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97.50分。其中：2个项目评价等级为“优”、0个项目评价等级为“良”、0个项目评价等级为“中”、0个项目评价等级为“差”。</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ordWrap/>
        <w:adjustRightInd/>
        <w:snapToGrid/>
        <w:spacing w:line="360" w:lineRule="auto"/>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wordWrap/>
        <w:adjustRightInd/>
        <w:snapToGrid/>
        <w:spacing w:line="360" w:lineRule="auto"/>
        <w:jc w:val="center"/>
        <w:outlineLvl w:val="9"/>
        <w:rPr>
          <w:rFonts w:hint="eastAsia" w:ascii="黑体" w:hAnsi="黑体" w:eastAsia="黑体" w:cs="黑体"/>
          <w:color w:val="auto"/>
          <w:sz w:val="48"/>
          <w:szCs w:val="48"/>
          <w:highlight w:val="none"/>
        </w:rPr>
      </w:pPr>
    </w:p>
    <w:p>
      <w:pPr>
        <w:pStyle w:val="3"/>
        <w:numPr>
          <w:ilvl w:val="0"/>
          <w:numId w:val="0"/>
        </w:numPr>
        <w:ind w:firstLine="643" w:firstLineChars="200"/>
        <w:rPr>
          <w:rFonts w:hint="eastAsia" w:ascii="楷体" w:hAnsi="楷体" w:eastAsia="楷体" w:cs="楷体"/>
          <w:b/>
          <w:bCs/>
          <w:color w:val="auto"/>
          <w:sz w:val="32"/>
          <w:szCs w:val="32"/>
          <w:highlight w:val="none"/>
          <w:lang w:eastAsia="zh-CN"/>
        </w:rPr>
      </w:pPr>
    </w:p>
    <w:p>
      <w:pPr>
        <w:wordWrap/>
        <w:adjustRightInd/>
        <w:snapToGrid/>
        <w:spacing w:line="360" w:lineRule="auto"/>
        <w:jc w:val="center"/>
        <w:outlineLvl w:val="0"/>
        <w:rPr>
          <w:color w:val="auto"/>
          <w:highlight w:val="none"/>
        </w:rPr>
        <w:sectPr>
          <w:pgSz w:w="11906" w:h="16838"/>
          <w:pgMar w:top="1440" w:right="1531" w:bottom="1440" w:left="1587" w:header="850" w:footer="992" w:gutter="0"/>
          <w:pgNumType w:fmt="numberInDash"/>
          <w:cols w:space="720" w:num="1"/>
          <w:rtlGutter w:val="0"/>
          <w:docGrid w:type="lines" w:linePitch="317" w:charSpace="0"/>
        </w:sectPr>
      </w:pP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一、财政拨款收入：单位从同级政府财政部门取得的财政预算资金。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二、事业收入：事业单位开展专业业务活动及其辅助活动取得的收入。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三、上级补助收入：事业单位从主管部门和上级单位取得的非财政补助收入。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九、项目支出：基本支出之外为完成特定行政任务和事业发展目标所发生的支出。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十三、商品和服务支出：单位购买商品和服务的支出。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十四、对个人和家庭的补助支出：单位用于对个人和家庭的补助支出。</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wordWrap/>
        <w:adjustRightInd/>
        <w:snapToGrid/>
        <w:spacing w:line="360" w:lineRule="auto"/>
        <w:ind w:right="0"/>
        <w:jc w:val="left"/>
        <w:textAlignment w:val="auto"/>
        <w:outlineLvl w:val="9"/>
        <w:rPr>
          <w:rFonts w:hint="eastAsia" w:ascii="仿宋_GB2312" w:hAnsi="仿宋_GB2312" w:eastAsia="仿宋_GB2312" w:cs="仿宋_GB2312"/>
          <w:color w:val="auto"/>
          <w:sz w:val="32"/>
          <w:szCs w:val="32"/>
          <w:highlight w:val="none"/>
          <w:lang w:val="en-US" w:eastAsia="zh-CN"/>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205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ocKKAsYBAACSAwAADgAAAAAAAAABACAAAAAf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rect>
          </w:pict>
        </mc:Fallback>
      </mc:AlternateContent>
    </w:r>
    <w:r>
      <w:rPr>
        <w:rFonts w:ascii="Times New Roman" w:hAnsi="Times New Roman"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黑体"/>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205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jaQrOcYBAACSAwAADgAAAAAAAAABACAAAAAf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2"/>
      <w:numFmt w:val="chineseCounting"/>
      <w:suff w:val="space"/>
      <w:lvlText w:val="第%1部分"/>
      <w:lvlJc w:val="left"/>
      <w:rPr>
        <w:rFonts w:hint="eastAsia"/>
      </w:rPr>
    </w:lvl>
  </w:abstractNum>
  <w:abstractNum w:abstractNumId="1">
    <w:nsid w:val="00000009"/>
    <w:multiLevelType w:val="singleLevel"/>
    <w:tmpl w:val="00000009"/>
    <w:lvl w:ilvl="0" w:tentative="0">
      <w:start w:val="2"/>
      <w:numFmt w:val="chineseCounting"/>
      <w:suff w:val="nothing"/>
      <w:lvlText w:val="（%1）"/>
      <w:lvlJc w:val="left"/>
      <w:rPr>
        <w:rFonts w:hint="eastAsia"/>
      </w:rPr>
    </w:lvl>
  </w:abstractNum>
  <w:abstractNum w:abstractNumId="2">
    <w:nsid w:val="0000000A"/>
    <w:multiLevelType w:val="singleLevel"/>
    <w:tmpl w:val="0000000A"/>
    <w:lvl w:ilvl="0" w:tentative="0">
      <w:start w:val="1"/>
      <w:numFmt w:val="chineseCounting"/>
      <w:suff w:val="nothing"/>
      <w:lvlText w:val="%1、"/>
      <w:lvlJc w:val="left"/>
      <w:pPr>
        <w:ind w:left="-10"/>
      </w:pPr>
    </w:lvl>
  </w:abstractNum>
  <w:abstractNum w:abstractNumId="3">
    <w:nsid w:val="0000000B"/>
    <w:multiLevelType w:val="singleLevel"/>
    <w:tmpl w:val="0000000B"/>
    <w:lvl w:ilvl="0" w:tentative="0">
      <w:start w:val="1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00000"/>
    <w:rsid w:val="12E34E3B"/>
    <w:rsid w:val="18EB6063"/>
    <w:rsid w:val="1AF37BE5"/>
    <w:rsid w:val="20CA3197"/>
    <w:rsid w:val="22803E07"/>
    <w:rsid w:val="332F3C9F"/>
    <w:rsid w:val="33D51042"/>
    <w:rsid w:val="37103BA1"/>
    <w:rsid w:val="3F055FB6"/>
    <w:rsid w:val="42FF2D1C"/>
    <w:rsid w:val="47E43422"/>
    <w:rsid w:val="48E354C3"/>
    <w:rsid w:val="52F97788"/>
    <w:rsid w:val="592E133A"/>
    <w:rsid w:val="634265E1"/>
    <w:rsid w:val="6E665CE0"/>
    <w:rsid w:val="72DA05E4"/>
    <w:rsid w:val="75CB4B5C"/>
    <w:rsid w:val="B3B765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4"/>
    <w:qFormat/>
    <w:uiPriority w:val="0"/>
    <w:pPr>
      <w:tabs>
        <w:tab w:val="center" w:pos="4153"/>
        <w:tab w:val="right" w:pos="8306"/>
      </w:tabs>
      <w:snapToGrid w:val="0"/>
      <w:jc w:val="left"/>
    </w:pPr>
    <w:rPr>
      <w:kern w:val="2"/>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footnote text"/>
    <w:basedOn w:val="1"/>
    <w:qFormat/>
    <w:uiPriority w:val="0"/>
    <w:pPr>
      <w:snapToGrid w:val="0"/>
      <w:jc w:val="left"/>
    </w:pPr>
    <w:rPr>
      <w:sz w:val="18"/>
    </w:rPr>
  </w:style>
  <w:style w:type="character" w:styleId="9">
    <w:name w:val="FollowedHyperlink"/>
    <w:qFormat/>
    <w:uiPriority w:val="0"/>
    <w:rPr>
      <w:color w:val="800080"/>
      <w:u w:val="single"/>
    </w:rPr>
  </w:style>
  <w:style w:type="character" w:styleId="10">
    <w:name w:val="Hyperlink"/>
    <w:qFormat/>
    <w:uiPriority w:val="0"/>
    <w:rPr>
      <w:color w:val="0000FF"/>
      <w:u w:val="single"/>
    </w:rPr>
  </w:style>
  <w:style w:type="character" w:styleId="11">
    <w:name w:val="footnote reference"/>
    <w:basedOn w:val="8"/>
    <w:qFormat/>
    <w:uiPriority w:val="0"/>
    <w:rPr>
      <w:vertAlign w:val="superscript"/>
    </w:rPr>
  </w:style>
  <w:style w:type="paragraph" w:customStyle="1" w:styleId="12">
    <w:name w:val="批注框文本 Char Char"/>
    <w:basedOn w:val="1"/>
    <w:qFormat/>
    <w:uiPriority w:val="0"/>
    <w:rPr>
      <w:kern w:val="2"/>
      <w:sz w:val="18"/>
      <w:szCs w:val="18"/>
    </w:rPr>
  </w:style>
  <w:style w:type="paragraph" w:customStyle="1" w:styleId="13">
    <w:name w:val="标题1"/>
    <w:basedOn w:val="2"/>
    <w:qFormat/>
    <w:uiPriority w:val="0"/>
    <w:pPr>
      <w:spacing w:before="0" w:after="0" w:line="240" w:lineRule="auto"/>
      <w:jc w:val="center"/>
    </w:pPr>
    <w:rPr>
      <w:rFonts w:ascii="华文中宋" w:hAnsi="华文中宋" w:eastAsia="华文中宋"/>
      <w:sz w:val="36"/>
      <w:szCs w:val="36"/>
    </w:rPr>
  </w:style>
  <w:style w:type="character" w:customStyle="1" w:styleId="14">
    <w:name w:val="页脚 Char Char"/>
    <w:link w:val="4"/>
    <w:qFormat/>
    <w:uiPriority w:val="0"/>
    <w:rPr>
      <w:kern w:val="2"/>
      <w:sz w:val="18"/>
      <w:szCs w:val="18"/>
    </w:rPr>
  </w:style>
  <w:style w:type="character" w:customStyle="1" w:styleId="15">
    <w:name w:val="页眉 Char Char"/>
    <w:link w:val="5"/>
    <w:qFormat/>
    <w:uiPriority w:val="0"/>
    <w:rPr>
      <w:kern w:val="2"/>
      <w:sz w:val="18"/>
      <w:szCs w:val="18"/>
    </w:rPr>
  </w:style>
  <w:style w:type="character" w:customStyle="1" w:styleId="16">
    <w:name w:val="font21"/>
    <w:basedOn w:val="8"/>
    <w:qFormat/>
    <w:uiPriority w:val="0"/>
    <w:rPr>
      <w:rFonts w:hint="eastAsia" w:ascii="宋体" w:hAnsi="宋体" w:eastAsia="宋体" w:cs="宋体"/>
      <w:color w:val="000000"/>
      <w:sz w:val="22"/>
      <w:szCs w:val="22"/>
      <w:u w:val="none"/>
    </w:rPr>
  </w:style>
  <w:style w:type="character" w:customStyle="1" w:styleId="17">
    <w:name w:val="font11"/>
    <w:basedOn w:val="8"/>
    <w:qFormat/>
    <w:uiPriority w:val="0"/>
    <w:rPr>
      <w:rFonts w:hint="eastAsia" w:ascii="宋体" w:hAnsi="宋体" w:eastAsia="宋体" w:cs="宋体"/>
      <w:color w:val="000000"/>
      <w:sz w:val="20"/>
      <w:szCs w:val="20"/>
      <w:u w:val="none"/>
    </w:rPr>
  </w:style>
  <w:style w:type="character" w:customStyle="1" w:styleId="18">
    <w:name w:val="font01"/>
    <w:basedOn w:val="8"/>
    <w:qFormat/>
    <w:uiPriority w:val="0"/>
    <w:rPr>
      <w:rFonts w:hint="eastAsia" w:ascii="宋体" w:hAnsi="宋体" w:eastAsia="宋体" w:cs="宋体"/>
      <w:color w:val="000000"/>
      <w:sz w:val="22"/>
      <w:szCs w:val="22"/>
      <w:u w:val="none"/>
    </w:rPr>
  </w:style>
  <w:style w:type="character" w:customStyle="1" w:styleId="19">
    <w:name w:val="font51"/>
    <w:basedOn w:val="8"/>
    <w:qFormat/>
    <w:uiPriority w:val="0"/>
    <w:rPr>
      <w:rFonts w:hint="eastAsia" w:ascii="宋体" w:hAnsi="宋体" w:eastAsia="宋体" w:cs="宋体"/>
      <w:color w:val="000000"/>
      <w:sz w:val="24"/>
      <w:szCs w:val="24"/>
      <w:u w:val="none"/>
    </w:rPr>
  </w:style>
  <w:style w:type="character" w:customStyle="1" w:styleId="20">
    <w:name w:val="font4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8222</Words>
  <Characters>10095</Characters>
  <Lines>57</Lines>
  <Paragraphs>16</Paragraphs>
  <TotalTime>29</TotalTime>
  <ScaleCrop>false</ScaleCrop>
  <LinksUpToDate>false</LinksUpToDate>
  <CharactersWithSpaces>10436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2018-07-25T02:50:00Z</cp:lastPrinted>
  <dcterms:modified xsi:type="dcterms:W3CDTF">2023-09-17T11:21:47Z</dcterms:modified>
  <dc:title>刘作帅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9089D343B7E24CC5AB194ADA0FA5BEEC_13</vt:lpwstr>
  </property>
</Properties>
</file>