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ocument.xml" ContentType="application/vnd.openxmlformats-officedocument.wordprocessingml.document.main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center"/>
        <w:rPr>
          <w:rFonts w:ascii="方正宋三简体" w:eastAsia="方正宋三简体"/>
          <w:color w:val="000000"/>
          <w:sz w:val="44"/>
          <w:szCs w:val="44"/>
          <w:highlight w:val="none"/>
        </w:rPr>
      </w:pPr>
      <w:r>
        <w:rPr>
          <w:rFonts w:hint="eastAsia" w:ascii="方正宋三简体" w:eastAsia="方正宋三简体"/>
          <w:color w:val="000000"/>
          <w:sz w:val="44"/>
          <w:szCs w:val="44"/>
          <w:highlight w:val="none"/>
        </w:rPr>
        <w:t>202</w:t>
      </w:r>
      <w:r>
        <w:rPr>
          <w:rFonts w:hint="eastAsia" w:ascii="方正宋三简体" w:eastAsia="方正宋三简体"/>
          <w:color w:val="000000"/>
          <w:sz w:val="44"/>
          <w:szCs w:val="44"/>
          <w:highlight w:val="none"/>
          <w:lang w:val="en-US" w:eastAsia="zh-CN"/>
        </w:rPr>
        <w:t>2</w:t>
      </w:r>
      <w:r>
        <w:rPr>
          <w:rFonts w:hint="eastAsia" w:ascii="方正宋三简体" w:eastAsia="方正宋三简体"/>
          <w:color w:val="000000"/>
          <w:sz w:val="44"/>
          <w:szCs w:val="44"/>
          <w:highlight w:val="none"/>
        </w:rPr>
        <w:t>年长葛市国民经济和社会发展</w:t>
      </w:r>
    </w:p>
    <w:p>
      <w:pPr>
        <w:spacing w:line="580" w:lineRule="exact"/>
        <w:jc w:val="center"/>
        <w:rPr>
          <w:rFonts w:ascii="方正宋三简体" w:eastAsia="方正宋三简体"/>
          <w:color w:val="000000"/>
          <w:sz w:val="44"/>
          <w:szCs w:val="44"/>
          <w:highlight w:val="none"/>
        </w:rPr>
      </w:pPr>
      <w:r>
        <w:rPr>
          <w:rFonts w:hint="eastAsia" w:ascii="方正宋三简体" w:eastAsia="方正宋三简体"/>
          <w:color w:val="000000"/>
          <w:sz w:val="44"/>
          <w:szCs w:val="44"/>
          <w:highlight w:val="none"/>
        </w:rPr>
        <w:t>统计公报</w:t>
      </w:r>
    </w:p>
    <w:p>
      <w:pPr>
        <w:spacing w:line="580" w:lineRule="exact"/>
        <w:jc w:val="center"/>
        <w:rPr>
          <w:rFonts w:ascii="楷体_GB2312" w:hAnsi="黑体" w:eastAsia="楷体_GB2312"/>
          <w:color w:val="000000"/>
          <w:sz w:val="32"/>
          <w:szCs w:val="32"/>
          <w:highlight w:val="none"/>
        </w:rPr>
      </w:pP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</w:rPr>
        <w:t>长葛市统计局</w:t>
      </w:r>
    </w:p>
    <w:p>
      <w:pPr>
        <w:spacing w:line="580" w:lineRule="exact"/>
        <w:jc w:val="center"/>
        <w:rPr>
          <w:rFonts w:ascii="楷体_GB2312" w:hAnsi="黑体" w:eastAsia="楷体_GB2312"/>
          <w:color w:val="FF0000"/>
          <w:sz w:val="32"/>
          <w:szCs w:val="32"/>
          <w:highlight w:val="none"/>
        </w:rPr>
      </w:pP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</w:rPr>
        <w:t>202</w:t>
      </w: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</w:rPr>
        <w:t>年4月</w:t>
      </w: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  <w:lang w:val="en-US" w:eastAsia="zh-CN"/>
        </w:rPr>
        <w:t>25</w:t>
      </w:r>
      <w:r>
        <w:rPr>
          <w:rFonts w:hint="eastAsia" w:ascii="楷体_GB2312" w:hAnsi="黑体" w:eastAsia="楷体_GB2312"/>
          <w:color w:val="000000"/>
          <w:sz w:val="32"/>
          <w:szCs w:val="32"/>
          <w:highlight w:val="none"/>
        </w:rPr>
        <w:t>日</w:t>
      </w:r>
    </w:p>
    <w:p>
      <w:pPr>
        <w:spacing w:line="580" w:lineRule="exact"/>
        <w:jc w:val="center"/>
        <w:rPr>
          <w:rFonts w:ascii="楷体_GB2312" w:hAnsi="黑体" w:eastAsia="楷体_GB2312"/>
          <w:color w:val="FF0000"/>
          <w:sz w:val="32"/>
          <w:szCs w:val="32"/>
          <w:highlight w:val="none"/>
        </w:rPr>
      </w:pPr>
    </w:p>
    <w:p>
      <w:pPr>
        <w:spacing w:line="580" w:lineRule="exact"/>
        <w:ind w:firstLine="616" w:firstLineChars="200"/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2022年，面对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极其复杂的外部环境和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超预期因素冲击，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长葛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市委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、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市政府团结带领全市人民，全面落实“疫情要防住、经济要稳住、发展要安全”要求，有效应对了多重风险挑战，经受住了多种压力考验，保持了经济社会发展大局稳定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，经济社会各项工作取得明显成效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。</w:t>
      </w:r>
    </w:p>
    <w:p>
      <w:pPr>
        <w:spacing w:line="58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一、综合</w:t>
      </w:r>
    </w:p>
    <w:p>
      <w:pPr>
        <w:spacing w:line="580" w:lineRule="exact"/>
        <w:ind w:firstLine="616" w:firstLineChars="200"/>
        <w:rPr>
          <w:rFonts w:ascii="仿宋_GB2312" w:hAnsi="仿宋" w:eastAsia="仿宋_GB2312"/>
          <w:color w:val="FF0000"/>
          <w:spacing w:val="-6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初步核算，全年全市实现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地区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生产总值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8328647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0.7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%，其中，第一产业增加值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336909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4.6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%；第二产业增加值582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4975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-0.1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%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；第三产业增加值21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66763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.0%。三次产业结构为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4.1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：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69.9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：2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6.0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。按照我国地区生产总值统一核算和数据发布制度规定，地区生产总值核算包括初步核算和最终核实两个步骤。经最终核实，202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年全市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eastAsia="zh-CN"/>
        </w:rPr>
        <w:t>地区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生产总值为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8079503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万元，其中第一产业增加值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312040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万元，第二产业增加值5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660828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万元，第三产业增加值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2106635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万元。</w:t>
      </w:r>
    </w:p>
    <w:p>
      <w:pPr>
        <w:spacing w:line="580" w:lineRule="exact"/>
        <w:ind w:firstLine="640" w:firstLineChars="200"/>
        <w:jc w:val="left"/>
        <w:rPr>
          <w:rFonts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二、农林牧渔业</w:t>
      </w:r>
    </w:p>
    <w:p>
      <w:pPr>
        <w:spacing w:line="580" w:lineRule="exact"/>
        <w:ind w:firstLine="616" w:firstLineChars="200"/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2022年，长葛市农林牧渔业总产值达到620591万元，比上年增长5.3%，增加值358144万元，比上年增长4.9%。</w:t>
      </w:r>
    </w:p>
    <w:p>
      <w:pPr>
        <w:spacing w:line="580" w:lineRule="exact"/>
        <w:ind w:firstLine="616" w:firstLineChars="200"/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全年粮食总产量566187吨，同比增长4.3%，其中，夏粮产量310428吨，同比增长0.5%，秋粮产量255759吨，同比增长9.1%。油料产量10140.7吨,增长1.0%；蔬菜产量286556吨，同比增长2.7%；瓜果产量2030吨，同比增长5.9%；肉类总产量57778吨，同比下降8.3%；禽蛋产量66459吨，同比下增长2.3%；奶产量26456吨，同比下降12.2%。</w:t>
      </w:r>
    </w:p>
    <w:p>
      <w:pPr>
        <w:jc w:val="center"/>
        <w:rPr>
          <w:rFonts w:hint="eastAsia"/>
          <w:sz w:val="28"/>
          <w:szCs w:val="28"/>
          <w:highlight w:val="none"/>
        </w:rPr>
      </w:pPr>
    </w:p>
    <w:p>
      <w:pPr>
        <w:jc w:val="center"/>
        <w:rPr>
          <w:sz w:val="28"/>
          <w:szCs w:val="28"/>
          <w:highlight w:val="none"/>
        </w:rPr>
      </w:pPr>
      <w:r>
        <w:rPr>
          <w:highlight w:val="none"/>
        </w:rPr>
        <w:drawing>
          <wp:inline distT="0" distB="0" distL="114300" distR="114300">
            <wp:extent cx="5248275" cy="2819400"/>
            <wp:effectExtent l="4445" t="4445" r="5080" b="14605"/>
            <wp:docPr id="1030" name="总产量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ind w:firstLine="2700" w:firstLineChars="900"/>
        <w:rPr>
          <w:rFonts w:ascii="仿宋" w:hAnsi="仿宋" w:eastAsia="仿宋"/>
          <w:color w:val="000000"/>
          <w:sz w:val="32"/>
          <w:szCs w:val="32"/>
          <w:highlight w:val="none"/>
          <w:shd w:val="clear" w:color="auto" w:fill="FFFFFF" w:themeFill="background1"/>
        </w:rPr>
      </w:pPr>
      <w:r>
        <w:rPr>
          <w:rFonts w:hint="eastAsia" w:ascii="仿宋" w:hAnsi="仿宋" w:eastAsia="仿宋"/>
          <w:color w:val="000000"/>
          <w:sz w:val="30"/>
          <w:szCs w:val="30"/>
          <w:highlight w:val="none"/>
          <w:shd w:val="clear" w:color="auto" w:fill="FFFFFF" w:themeFill="background1"/>
        </w:rPr>
        <w:t>表1.主要农产品产量及增速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9"/>
        <w:gridCol w:w="2410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2409" w:type="dxa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  <w:t>产品名称</w:t>
            </w:r>
          </w:p>
        </w:tc>
        <w:tc>
          <w:tcPr>
            <w:tcW w:w="2410" w:type="dxa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  <w:t>产量</w:t>
            </w:r>
          </w:p>
        </w:tc>
        <w:tc>
          <w:tcPr>
            <w:tcW w:w="2268" w:type="dxa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</w:pPr>
            <w:r>
              <w:rPr>
                <w:rFonts w:hint="eastAsia" w:ascii="宋体" w:hAnsi="宋体"/>
                <w:color w:val="000000"/>
                <w:spacing w:val="-6"/>
                <w:sz w:val="24"/>
                <w:szCs w:val="24"/>
                <w:highlight w:val="none"/>
                <w:shd w:val="clear" w:color="auto" w:fill="FFFFFF" w:themeFill="background1"/>
              </w:rPr>
              <w:t>比上年</w:t>
            </w: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shd w:val="clear" w:color="auto" w:fill="FFFFFF" w:themeFill="background1"/>
              </w:rPr>
              <w:t>增长（%）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粮食（吨）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566187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4.3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2409" w:type="dxa"/>
            <w:vAlign w:val="top"/>
          </w:tcPr>
          <w:p>
            <w:pPr>
              <w:ind w:firstLine="240" w:firstLineChars="100"/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#夏粮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310428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0.5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2409" w:type="dxa"/>
            <w:vAlign w:val="top"/>
          </w:tcPr>
          <w:p>
            <w:pPr>
              <w:ind w:firstLine="240" w:firstLineChars="100"/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#秋粮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255759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9.1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油料（吨）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10140.7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1.0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蔬菜（吨）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286556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2.7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瓜果（吨）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2030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5.9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肉类（吨）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57778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-8.3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禽蛋（吨）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66459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2.3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奶类（吨）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26456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-12.2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2409" w:type="dxa"/>
            <w:vAlign w:val="top"/>
          </w:tcPr>
          <w:p>
            <w:pPr>
              <w:jc w:val="left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</w:rPr>
              <w:t>#牛奶</w:t>
            </w: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26456</w:t>
            </w:r>
          </w:p>
        </w:tc>
        <w:tc>
          <w:tcPr>
            <w:tcW w:w="2268" w:type="dxa"/>
            <w:vAlign w:val="top"/>
          </w:tcPr>
          <w:p>
            <w:pPr>
              <w:jc w:val="center"/>
              <w:rPr>
                <w:rFonts w:ascii="宋体" w:hAnsi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highlight w:val="none"/>
                <w:lang w:val="en-US" w:eastAsia="zh-CN"/>
              </w:rPr>
              <w:t>-12.2</w:t>
            </w:r>
          </w:p>
        </w:tc>
      </w:tr>
    </w:tbl>
    <w:p>
      <w:pPr>
        <w:spacing w:line="580" w:lineRule="exact"/>
        <w:ind w:firstLine="640" w:firstLineChars="200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年末农业机械总动力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64.0193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万千瓦，大中型拖拉机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2584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台。202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年全市总灌溉面积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 xml:space="preserve"> 44.10 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千公顷，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其中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实际耕地灌溉面积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 xml:space="preserve"> 41.62 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千公顷。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rPr>
          <w:rFonts w:ascii="黑体" w:hAnsi="黑体" w:eastAsia="黑体" w:cs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highlight w:val="none"/>
        </w:rPr>
        <w:t>三、工业和建筑业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全年全市工业增加值比上年增长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-0.1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%。其中，规模以上工业（年主营业务收入2000万元及以上）增加值增长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-0.5%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；规模以下工业增加值增长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3.2%。</w:t>
      </w:r>
    </w:p>
    <w:p>
      <w:pPr>
        <w:jc w:val="center"/>
        <w:rPr>
          <w:rFonts w:hint="eastAsia" w:eastAsia="宋体"/>
          <w:sz w:val="28"/>
          <w:szCs w:val="28"/>
          <w:highlight w:val="none"/>
          <w:lang w:eastAsia="zh-CN"/>
        </w:rPr>
      </w:pPr>
      <w:r>
        <w:rPr>
          <w:rFonts w:hint="eastAsia" w:eastAsia="宋体"/>
          <w:sz w:val="28"/>
          <w:szCs w:val="28"/>
          <w:highlight w:val="none"/>
          <w:lang w:eastAsia="zh-CN"/>
        </w:rPr>
        <w:drawing>
          <wp:inline distT="0" distB="0" distL="114300" distR="114300">
            <wp:extent cx="5273040" cy="2735580"/>
            <wp:effectExtent l="0" t="0" r="3810" b="7620"/>
            <wp:docPr id="1" name="图片 1" descr="714f179d913f5f5390bdeb54e28d6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14f179d913f5f5390bdeb54e28d67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735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电子信息产业、现代装备产业、汽车及零部件产业、食品产业、新材料产业五大主导产业实现增加值2178362万元，同比增长1.68%，占规模以上工业增加值的比重为63.6%。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规模以上工业2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个行业大类中有1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个行业呈不同程度增长，1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个行业有所下降。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center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80" w:lineRule="exact"/>
        <w:ind w:firstLine="640" w:firstLineChars="200"/>
        <w:jc w:val="center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表2.规模以上工业增加值及增速（行业大类）</w:t>
      </w:r>
    </w:p>
    <w:tbl>
      <w:tblPr>
        <w:tblStyle w:val="6"/>
        <w:tblW w:w="4998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03"/>
        <w:gridCol w:w="1815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行业名称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增加值（千元）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highlight w:val="none"/>
              </w:rPr>
              <w:t>同比增长（%）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农副食品加工业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312815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10.32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食品制造业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568642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-27.41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纺织业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327623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9.02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皮革、毛皮、羽毛及其制品和制鞋业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370649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-16.09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木材加工和木、竹、藤、棕、草制品业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167505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10.25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家具制造业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14303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-36.08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造纸和纸制品业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32105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-49.17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印刷和记录媒介复制业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1066291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-9.91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文教、工美、体育和娱乐用品制造业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453846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-15.44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化学原料和化学制品制造业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514322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-10.47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医药制造业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195336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-27.24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橡胶和塑料制品业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282368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-12.78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非金属矿物制品业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2499662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-34.21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黑色金属冶炼和压延加工业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13633692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32.36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有色金属冶炼和压延加工业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4902030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6.71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金属制品业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1855516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1.55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通用设备制造业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1507104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-18.63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专用设备制造业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803979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-14.32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汽车制造业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1193896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-39.93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铁路、船舶、航空航天和其他运输设备制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  <w:lang w:eastAsia="zh-CN"/>
              </w:rPr>
              <w:t>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68083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10.74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电气机械和器材制造业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2441360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-13.47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计算机、通信和其他电子设备制造业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294486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-72.01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仪器仪表制造业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6305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39.14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其他制造业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31953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23.55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废弃资源综合利用业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474928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205.58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29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燃气生产和供应业</w:t>
            </w:r>
          </w:p>
        </w:tc>
        <w:tc>
          <w:tcPr>
            <w:tcW w:w="106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218414</w:t>
            </w:r>
          </w:p>
        </w:tc>
        <w:tc>
          <w:tcPr>
            <w:tcW w:w="9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highlight w:val="none"/>
              </w:rPr>
              <w:t>-4.31</w:t>
            </w:r>
          </w:p>
        </w:tc>
      </w:tr>
    </w:tbl>
    <w:p>
      <w:pPr>
        <w:ind w:firstLine="640" w:firstLineChars="200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ind w:firstLine="640" w:firstLineChars="200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spacing w:line="580" w:lineRule="exact"/>
        <w:ind w:firstLine="640" w:firstLineChars="200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年，全市规模以上工业企业实现主营业务收入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17406882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-4.4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%，实现利润总额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826747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万元，同比增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长-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10.1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%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。</w:t>
      </w:r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  <w:bookmarkStart w:id="0" w:name="_GoBack"/>
      <w:bookmarkEnd w:id="0"/>
    </w:p>
    <w:p>
      <w:pPr>
        <w:pStyle w:val="5"/>
        <w:spacing w:before="0" w:beforeAutospacing="0" w:afterLines="100" w:afterAutospacing="0" w:line="580" w:lineRule="exact"/>
        <w:ind w:firstLine="640" w:firstLineChars="200"/>
        <w:jc w:val="center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表3.主要工业产品产量及增速</w:t>
      </w:r>
    </w:p>
    <w:tbl>
      <w:tblPr>
        <w:tblStyle w:val="6"/>
        <w:tblpPr w:leftFromText="180" w:rightFromText="180" w:vertAnchor="text" w:horzAnchor="page" w:tblpX="2011" w:tblpY="415"/>
        <w:tblOverlap w:val="never"/>
        <w:tblW w:w="8428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8"/>
        <w:gridCol w:w="1680"/>
        <w:gridCol w:w="1991"/>
        <w:gridCol w:w="21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highlight w:val="none"/>
              </w:rPr>
              <w:t>产品名称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计量单位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产量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同比增长（%）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鲜、冷藏肉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万吨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260.89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32.28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人造板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万立方米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1316.46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6.36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卫生陶瓷制品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万件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5460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13.34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人造金刚石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亿克拉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146.32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-7.09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钢材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万吨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4335.97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3.72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铜材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万吨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86.7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22.16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铝材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万吨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1006.35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5.74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钢结构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万吨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321.4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12.13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汽车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辆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527860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-3.90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其中：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  <w:lang w:eastAsia="zh-CN"/>
              </w:rPr>
              <w:t>新能源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汽车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辆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60506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14.35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高压成套开关设备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台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136851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1.24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低压开关成套设备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台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98108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50.52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26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干式变压器</w:t>
            </w:r>
          </w:p>
        </w:tc>
        <w:tc>
          <w:tcPr>
            <w:tcW w:w="16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ascii="宋体" w:hAnsi="宋体" w:cs="宋体"/>
                <w:color w:val="00000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highlight w:val="none"/>
              </w:rPr>
              <w:t>台</w:t>
            </w:r>
          </w:p>
        </w:tc>
        <w:tc>
          <w:tcPr>
            <w:tcW w:w="19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  <w:highlight w:val="none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47165</w:t>
            </w:r>
          </w:p>
        </w:tc>
        <w:tc>
          <w:tcPr>
            <w:tcW w:w="21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>
            <w:pPr>
              <w:widowControl/>
              <w:jc w:val="center"/>
              <w:textAlignment w:val="bottom"/>
              <w:rPr>
                <w:rFonts w:hint="default" w:ascii="Arial" w:hAnsi="Arial" w:eastAsia="宋体" w:cs="Arial"/>
                <w:color w:val="000000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Arial" w:hAnsi="Arial" w:cs="Arial"/>
                <w:color w:val="000000"/>
                <w:kern w:val="0"/>
                <w:sz w:val="20"/>
                <w:szCs w:val="20"/>
                <w:highlight w:val="none"/>
                <w:lang w:val="en-US" w:eastAsia="zh-CN"/>
              </w:rPr>
              <w:t>69.43</w:t>
            </w:r>
          </w:p>
        </w:tc>
      </w:tr>
    </w:tbl>
    <w:p>
      <w:pPr>
        <w:pStyle w:val="5"/>
        <w:spacing w:before="0" w:beforeAutospacing="0" w:after="0" w:afterAutospacing="0" w:line="580" w:lineRule="exact"/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 xml:space="preserve"> 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B0F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规模以上工业能源消费量同比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eastAsia="zh-CN"/>
        </w:rPr>
        <w:t>增长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47.6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%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，单位增加值能耗同比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增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eastAsia="zh-CN"/>
        </w:rPr>
        <w:t>长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48.34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%。单位GDP能耗同比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增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eastAsia="zh-CN"/>
        </w:rPr>
        <w:t>长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  <w:lang w:val="en-US" w:eastAsia="zh-CN"/>
        </w:rPr>
        <w:t>10.88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rPr>
          <w:rFonts w:ascii="仿宋_GB2312" w:hAnsi="仿宋" w:eastAsia="仿宋_GB2312" w:cs="Times New Roman"/>
          <w:color w:val="000000"/>
          <w:kern w:val="2"/>
          <w:sz w:val="32"/>
          <w:szCs w:val="32"/>
          <w:highlight w:val="none"/>
        </w:rPr>
      </w:pPr>
      <w:r>
        <w:rPr>
          <w:rFonts w:hint="eastAsia" w:ascii="仿宋_GB2312" w:hAnsi="仿宋" w:eastAsia="仿宋_GB2312" w:cs="Times New Roman"/>
          <w:color w:val="000000"/>
          <w:kern w:val="2"/>
          <w:sz w:val="32"/>
          <w:szCs w:val="32"/>
          <w:highlight w:val="none"/>
        </w:rPr>
        <w:t>全年建筑业实现增加值14</w:t>
      </w:r>
      <w:r>
        <w:rPr>
          <w:rFonts w:hint="eastAsia" w:ascii="仿宋_GB2312" w:hAnsi="仿宋" w:eastAsia="仿宋_GB2312" w:cs="Times New Roman"/>
          <w:color w:val="000000"/>
          <w:kern w:val="2"/>
          <w:sz w:val="32"/>
          <w:szCs w:val="32"/>
          <w:highlight w:val="none"/>
          <w:lang w:val="en-US" w:eastAsia="zh-CN"/>
        </w:rPr>
        <w:t>5265</w:t>
      </w:r>
      <w:r>
        <w:rPr>
          <w:rFonts w:hint="eastAsia" w:ascii="仿宋_GB2312" w:hAnsi="仿宋" w:eastAsia="仿宋_GB2312" w:cs="Times New Roman"/>
          <w:color w:val="000000"/>
          <w:kern w:val="2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 w:cs="Times New Roman"/>
          <w:color w:val="000000"/>
          <w:kern w:val="2"/>
          <w:sz w:val="32"/>
          <w:szCs w:val="32"/>
          <w:highlight w:val="none"/>
          <w:lang w:val="en-US" w:eastAsia="zh-CN"/>
        </w:rPr>
        <w:t>-0.2</w:t>
      </w:r>
      <w:r>
        <w:rPr>
          <w:rFonts w:hint="eastAsia" w:ascii="仿宋_GB2312" w:hAnsi="仿宋" w:eastAsia="仿宋_GB2312" w:cs="Times New Roman"/>
          <w:color w:val="000000"/>
          <w:kern w:val="2"/>
          <w:sz w:val="32"/>
          <w:szCs w:val="32"/>
          <w:highlight w:val="none"/>
        </w:rPr>
        <w:t>%。</w:t>
      </w:r>
    </w:p>
    <w:p>
      <w:pPr>
        <w:pStyle w:val="5"/>
        <w:spacing w:line="580" w:lineRule="exact"/>
        <w:ind w:firstLine="640" w:firstLineChars="200"/>
        <w:rPr>
          <w:rFonts w:ascii="仿宋_GB2312" w:hAnsi="仿宋" w:eastAsia="仿宋_GB2312" w:cs="Times New Roman"/>
          <w:color w:val="000000"/>
          <w:kern w:val="2"/>
          <w:sz w:val="32"/>
          <w:szCs w:val="32"/>
          <w:highlight w:val="none"/>
        </w:rPr>
      </w:pPr>
      <w:r>
        <w:rPr>
          <w:rFonts w:hint="eastAsia" w:ascii="黑体" w:hAnsi="黑体" w:eastAsia="黑体" w:cs="Times New Roman"/>
          <w:color w:val="000000"/>
          <w:kern w:val="2"/>
          <w:sz w:val="32"/>
          <w:szCs w:val="32"/>
          <w:highlight w:val="none"/>
        </w:rPr>
        <w:t>四、固定资产投资和房地产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  <w:highlight w:val="none"/>
        </w:rPr>
        <w:t>202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年，全市固定资产投资（不含农户）同比增长1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1.2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  <w:highlight w:val="none"/>
        </w:rPr>
        <w:t>在固定资产投资中（不含农户），第一产业投资比上年增长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66.8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%，第二产业投资增长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12.4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%，第三产业投资增长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7.2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%。基础设施投资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下降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13.3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%，民间投资增长1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5.6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%，工业投资增长1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2.4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  <w:highlight w:val="none"/>
        </w:rPr>
        <w:t>全市具有资质等级的房地产企业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71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家，完成房地产开发投资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395036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15.8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%。其中，住宅投资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350255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17.6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%。商品房销售面积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652214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平方米，同比下降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22.9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%。房屋竣工面积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184684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平方米, 同比下降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45.9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%；房屋施工面积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3901665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平方米，同比</w:t>
      </w:r>
      <w:r>
        <w:rPr>
          <w:rFonts w:hint="eastAsia" w:ascii="仿宋_GB2312" w:hAnsi="仿宋" w:eastAsia="仿宋_GB2312"/>
          <w:sz w:val="32"/>
          <w:szCs w:val="32"/>
          <w:highlight w:val="none"/>
          <w:lang w:eastAsia="zh-CN"/>
        </w:rPr>
        <w:t>下降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3.3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%；本年新开工面积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652734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平方米，同比下降</w:t>
      </w:r>
      <w:r>
        <w:rPr>
          <w:rFonts w:hint="eastAsia" w:ascii="仿宋_GB2312" w:hAnsi="仿宋" w:eastAsia="仿宋_GB2312"/>
          <w:sz w:val="32"/>
          <w:szCs w:val="32"/>
          <w:highlight w:val="none"/>
          <w:lang w:val="en-US" w:eastAsia="zh-CN"/>
        </w:rPr>
        <w:t>22.3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%。</w:t>
      </w:r>
    </w:p>
    <w:p>
      <w:pPr>
        <w:pStyle w:val="5"/>
        <w:spacing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五、批零贸易、住宿餐饮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FF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年全市实现社会消费品零售总额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2086709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同比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-4.8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%。分城乡看，城镇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1623987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-5.0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%；乡村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462722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-3.7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%。分行业看，批发业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144432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万元，增长-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%；零售业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1542391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-2.9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%；住宿业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17483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-10.1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%；餐饮业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382403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-2.7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批零住餐销售总额（营业额）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5277978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同比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1.8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%。其中，批发业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3167125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6.5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%；零售业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1895156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-5.0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%；住宿业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14706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万元，增长-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17.0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%；餐饮业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200991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0.8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rPr>
          <w:rFonts w:ascii="黑体" w:hAnsi="黑体" w:eastAsia="黑体"/>
          <w:color w:val="FF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六、对外经济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2022年进出口总额14.25亿元，比上年下降2.66%；实际利用外资200万美元；引进省外资金129.78亿元；跨境电商交易额3.19亿美元。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rPr>
          <w:rFonts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  <w:lang w:eastAsia="zh-CN"/>
        </w:rPr>
        <w:t>七</w:t>
      </w: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、财政、金融</w:t>
      </w:r>
    </w:p>
    <w:p>
      <w:pPr>
        <w:pStyle w:val="5"/>
        <w:spacing w:before="0" w:beforeAutospacing="0" w:after="0" w:afterAutospacing="0" w:line="580" w:lineRule="exact"/>
        <w:ind w:firstLine="616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全年公共财政预算收入完成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  <w:lang w:val="en-US" w:eastAsia="zh-CN"/>
        </w:rPr>
        <w:t>389070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万元，同比增长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4.6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%，其中：税收收入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294477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下降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2%，税收占公共预算收入的比重为7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5.7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%。公共财政预算支出为5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34822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26.0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%，其中：教育支出增长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2.4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%，社会保障和就业支出下降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16.4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%，卫生健康支出下降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41.9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%，一般公共服务支出下降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0.8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21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年末全部金融机构人民币各项存款余额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4971774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万元，比上年年末增长1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1.01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%；人民币各项贷款余额为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3529632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万元，比上年年末增长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12.49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210" w:afterAutospacing="0" w:line="540" w:lineRule="atLeast"/>
        <w:ind w:firstLine="640" w:firstLineChars="200"/>
        <w:rPr>
          <w:rFonts w:eastAsia="仿宋_GB2312"/>
          <w:color w:val="000000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  <w:lang w:eastAsia="zh-CN"/>
        </w:rPr>
        <w:t>八</w:t>
      </w: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、人口和人民生活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年末全市常住人口71万人，其中，城镇人口40.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万人,乡村人口30.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万人，城镇化率达到57.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%，比上年提高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0.65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个百分点，其中男性36.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万人，女性34.7万人，性别比为104.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。全市年内出生0.5万人，出生率为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6.34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‰，年内死亡0.6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万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人，死亡率为8.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‰，自然增长率为-1.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69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‰。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全年居民人均可支配收入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30035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元，</w:t>
      </w:r>
      <w:r>
        <w:rPr>
          <w:rFonts w:hint="eastAsia" w:ascii="仿宋_GB2312" w:hAnsi="仿宋" w:eastAsia="仿宋_GB2312"/>
          <w:color w:val="000000"/>
          <w:spacing w:val="-6"/>
          <w:sz w:val="32"/>
          <w:szCs w:val="32"/>
          <w:highlight w:val="none"/>
        </w:rPr>
        <w:t>同比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4.8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%。其中，城镇居民人均可支配收入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36610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3.2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%；农村居民人均可支配收入2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3148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元，增长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5.9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rPr>
          <w:rFonts w:hint="eastAsia"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  <w:lang w:eastAsia="zh-CN"/>
        </w:rPr>
        <w:t>九</w:t>
      </w: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、教育、文化、广播电视、卫生、体育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年全市拥有普通中学39所，在校学生4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9546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人，普通中学专任教师37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59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人；小学12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所，在校学生6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3869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人，小学专任教师4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343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人。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年末全市共有专业艺术表演团体1个，公共图书馆1个,公共图书馆藏书量161千册，群众文化事业机构2个，文物管理机构1个。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年末全市共有广播电台1座，广播人口覆盖率100%。电视台1座，电视人口覆盖率100%。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年末全市共有卫生机构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523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个，其中医院、卫生院2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个；拥有床位3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312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张，其中医院、卫生院床位2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945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张；卫生技术人员4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223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人，其中执业医师、执业助理医师16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86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人，注册护士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1769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人。疾病预防控制中心1个，卫生技术人员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65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人；妇幼保健院1个，卫生技术人员2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60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人。乡镇卫生院11个，卫生技术人员6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95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人，床位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  <w:lang w:val="en-US" w:eastAsia="zh-CN"/>
        </w:rPr>
        <w:t>962</w:t>
      </w:r>
      <w:r>
        <w:rPr>
          <w:rFonts w:hint="eastAsia" w:ascii="仿宋_GB2312" w:hAnsi="仿宋" w:eastAsia="仿宋_GB2312" w:cs="Tahoma"/>
          <w:bCs/>
          <w:color w:val="000000"/>
          <w:sz w:val="32"/>
          <w:szCs w:val="32"/>
          <w:highlight w:val="none"/>
        </w:rPr>
        <w:t>张。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黑体" w:hAnsi="黑体" w:eastAsia="黑体"/>
          <w:color w:val="FF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年，全市在全国、省、市比赛中共获奖牌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191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枚，其中，金牌4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枚、银牌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47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枚、铜牌1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04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枚。其中，获得省级金牌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枚，银牌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枚，铜牌1枚；获得许昌市级金牌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38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枚，银牌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46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枚，铜牌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val="en-US" w:eastAsia="zh-CN"/>
        </w:rPr>
        <w:t>103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枚。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ascii="黑体" w:hAnsi="黑体" w:eastAsia="黑体"/>
          <w:color w:val="000000"/>
          <w:sz w:val="32"/>
          <w:szCs w:val="32"/>
          <w:highlight w:val="none"/>
        </w:rPr>
      </w:pPr>
      <w:r>
        <w:rPr>
          <w:rFonts w:hint="eastAsia" w:ascii="黑体" w:hAnsi="黑体" w:eastAsia="黑体"/>
          <w:color w:val="000000"/>
          <w:sz w:val="32"/>
          <w:szCs w:val="32"/>
          <w:highlight w:val="none"/>
        </w:rPr>
        <w:t>十、环境保护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2022年，PM10年累计浓度82微克/立方米，同比2021年降低2微克/立方米；PM2.5年累计浓度49微克/立方米，同比2021年降低1微克/立方米；优良天240天，同比2021年增加1天。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  <w:lang w:eastAsia="zh-CN"/>
        </w:rPr>
        <w:t>清潩河</w:t>
      </w:r>
      <w:r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  <w:t>禄马桥、石梁河三张闸、小洪河京广高铁桥、饮马河关庄村、双洎河毛庄村下游5个出境断面水质稳定达到许昌市考核要求。全市饮用水水源达标率100%。</w:t>
      </w:r>
    </w:p>
    <w:p>
      <w:pPr>
        <w:pStyle w:val="5"/>
        <w:spacing w:before="0" w:beforeAutospacing="0" w:after="0" w:afterAutospacing="0" w:line="580" w:lineRule="exact"/>
        <w:ind w:firstLine="640" w:firstLineChars="200"/>
        <w:jc w:val="both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320" w:firstLineChars="100"/>
        <w:rPr>
          <w:rFonts w:hint="eastAsia" w:ascii="仿宋_GB2312" w:hAnsi="仿宋" w:eastAsia="仿宋_GB2312"/>
          <w:color w:val="000000"/>
          <w:sz w:val="32"/>
          <w:szCs w:val="32"/>
          <w:highlight w:val="none"/>
        </w:rPr>
      </w:pPr>
    </w:p>
    <w:p>
      <w:pPr>
        <w:pStyle w:val="5"/>
        <w:spacing w:before="0" w:beforeAutospacing="0" w:after="0" w:afterAutospacing="0" w:line="500" w:lineRule="exact"/>
        <w:ind w:firstLine="240" w:firstLineChars="100"/>
        <w:rPr>
          <w:highlight w:val="none"/>
        </w:rPr>
      </w:pPr>
      <w:r>
        <w:rPr>
          <w:rFonts w:hint="eastAsia" w:cs="Tahoma"/>
          <w:bCs/>
          <w:highlight w:val="none"/>
        </w:rPr>
        <w:t>注：</w:t>
      </w:r>
    </w:p>
    <w:p>
      <w:pPr>
        <w:pStyle w:val="5"/>
        <w:spacing w:before="0" w:beforeAutospacing="0" w:after="0" w:afterAutospacing="0" w:line="500" w:lineRule="exact"/>
        <w:ind w:firstLine="480" w:firstLineChars="200"/>
        <w:rPr>
          <w:highlight w:val="none"/>
        </w:rPr>
      </w:pPr>
      <w:r>
        <w:rPr>
          <w:rFonts w:hint="eastAsia" w:cs="Tahoma"/>
          <w:bCs/>
          <w:highlight w:val="none"/>
        </w:rPr>
        <w:t>1．本公报数据为初步统计数。</w:t>
      </w:r>
    </w:p>
    <w:p>
      <w:pPr>
        <w:pStyle w:val="5"/>
        <w:spacing w:before="0" w:beforeAutospacing="0" w:after="0" w:afterAutospacing="0" w:line="480" w:lineRule="exact"/>
        <w:ind w:firstLine="480" w:firstLineChars="200"/>
        <w:rPr>
          <w:rFonts w:cs="Tahoma"/>
          <w:bCs/>
          <w:highlight w:val="none"/>
        </w:rPr>
      </w:pPr>
      <w:r>
        <w:rPr>
          <w:rFonts w:hint="eastAsia" w:cs="Tahoma"/>
          <w:bCs/>
          <w:highlight w:val="none"/>
        </w:rPr>
        <w:t>2.三次产业分类依据国家统计局2018年修订的《三次产业划分规定》，第一产业是指农、林、牧、渔业(不含农、林、牧、渔专业及辅助性活动)；第二产业是指采矿业(不含开采专业及辅助性活动)，制造业(不含金属制品、机械和设备修理业)，电力、热力、燃气及水生产和供应业，建筑业；第三产业即服务业，是指除第一产业、第二产业以外的其他行业。</w:t>
      </w:r>
    </w:p>
    <w:p>
      <w:pPr>
        <w:pStyle w:val="5"/>
        <w:spacing w:before="0" w:beforeAutospacing="0" w:after="0" w:afterAutospacing="0" w:line="480" w:lineRule="exact"/>
        <w:ind w:firstLine="480" w:firstLineChars="200"/>
        <w:rPr>
          <w:rFonts w:cs="Tahoma"/>
          <w:bCs/>
          <w:highlight w:val="none"/>
        </w:rPr>
      </w:pPr>
      <w:r>
        <w:rPr>
          <w:rFonts w:hint="eastAsia" w:cs="Tahoma"/>
          <w:bCs/>
          <w:highlight w:val="none"/>
        </w:rPr>
        <w:t>3.资料来源：本公报中对外经济数据来自市商务局；财政数据来自市财政局；金融数据来自人行长葛支行；</w:t>
      </w:r>
      <w:r>
        <w:rPr>
          <w:rFonts w:hint="eastAsia" w:cs="Tahoma"/>
          <w:bCs/>
          <w:highlight w:val="none"/>
          <w:lang w:eastAsia="zh-CN"/>
        </w:rPr>
        <w:t>人民生活数据来自国家统计局长葛调查队；</w:t>
      </w:r>
      <w:r>
        <w:rPr>
          <w:rFonts w:hint="eastAsia" w:cs="Tahoma"/>
          <w:bCs/>
          <w:highlight w:val="none"/>
        </w:rPr>
        <w:t>教育数据来自市教育局；艺术表演团体、公共图书馆、群众文化事业机构、文化管理机构单位数、广播电台、电视台、广播电视人口覆盖率数据来自市文化广电和旅游局；医疗卫生数据来自市卫生健康委员会；体育数据来自市体育发展中心；环境保护数据来自市生态环境局；其他数据来自市统计局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宋三简体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DljYjVmMWU4MGMxNDJiZGVhNmNlMTFmNGZiOTgwMGYifQ=="/>
  </w:docVars>
  <w:rsids>
    <w:rsidRoot w:val="005D5C3B"/>
    <w:rsid w:val="00001CF9"/>
    <w:rsid w:val="00005943"/>
    <w:rsid w:val="0002123B"/>
    <w:rsid w:val="0002241E"/>
    <w:rsid w:val="00032E26"/>
    <w:rsid w:val="00055843"/>
    <w:rsid w:val="000611EB"/>
    <w:rsid w:val="000750EE"/>
    <w:rsid w:val="000A40A9"/>
    <w:rsid w:val="000D571D"/>
    <w:rsid w:val="000F4008"/>
    <w:rsid w:val="000F496B"/>
    <w:rsid w:val="001027E7"/>
    <w:rsid w:val="00105F29"/>
    <w:rsid w:val="001175B1"/>
    <w:rsid w:val="00127408"/>
    <w:rsid w:val="00127BD2"/>
    <w:rsid w:val="00133B5D"/>
    <w:rsid w:val="00134561"/>
    <w:rsid w:val="001356BD"/>
    <w:rsid w:val="00147E6A"/>
    <w:rsid w:val="00174C68"/>
    <w:rsid w:val="00175735"/>
    <w:rsid w:val="00176093"/>
    <w:rsid w:val="00183001"/>
    <w:rsid w:val="001A0A63"/>
    <w:rsid w:val="001A43CD"/>
    <w:rsid w:val="001B752E"/>
    <w:rsid w:val="001C3F24"/>
    <w:rsid w:val="001C55EB"/>
    <w:rsid w:val="001D0590"/>
    <w:rsid w:val="001D0BD4"/>
    <w:rsid w:val="001F0172"/>
    <w:rsid w:val="001F2877"/>
    <w:rsid w:val="001F744F"/>
    <w:rsid w:val="002018DB"/>
    <w:rsid w:val="00205DA0"/>
    <w:rsid w:val="002203E0"/>
    <w:rsid w:val="00220D5A"/>
    <w:rsid w:val="00231362"/>
    <w:rsid w:val="002368D3"/>
    <w:rsid w:val="00243EA0"/>
    <w:rsid w:val="00251B42"/>
    <w:rsid w:val="00255B97"/>
    <w:rsid w:val="00272DD2"/>
    <w:rsid w:val="00277569"/>
    <w:rsid w:val="00290D36"/>
    <w:rsid w:val="0029714B"/>
    <w:rsid w:val="002D0FB6"/>
    <w:rsid w:val="002D398D"/>
    <w:rsid w:val="00304D39"/>
    <w:rsid w:val="00306B76"/>
    <w:rsid w:val="003211BA"/>
    <w:rsid w:val="00344BC6"/>
    <w:rsid w:val="003627D5"/>
    <w:rsid w:val="00367CB5"/>
    <w:rsid w:val="003819DB"/>
    <w:rsid w:val="00385171"/>
    <w:rsid w:val="00390370"/>
    <w:rsid w:val="00393071"/>
    <w:rsid w:val="003A60DA"/>
    <w:rsid w:val="003E2750"/>
    <w:rsid w:val="003E3178"/>
    <w:rsid w:val="003E6039"/>
    <w:rsid w:val="003F2571"/>
    <w:rsid w:val="003F7185"/>
    <w:rsid w:val="004115F8"/>
    <w:rsid w:val="004146F7"/>
    <w:rsid w:val="00422D97"/>
    <w:rsid w:val="00466D5B"/>
    <w:rsid w:val="00480649"/>
    <w:rsid w:val="00480DCE"/>
    <w:rsid w:val="00494DA6"/>
    <w:rsid w:val="004E0B07"/>
    <w:rsid w:val="00504EFD"/>
    <w:rsid w:val="00523AC9"/>
    <w:rsid w:val="00527650"/>
    <w:rsid w:val="00531F86"/>
    <w:rsid w:val="00533640"/>
    <w:rsid w:val="0054302A"/>
    <w:rsid w:val="00580B92"/>
    <w:rsid w:val="005879F2"/>
    <w:rsid w:val="005D3EB4"/>
    <w:rsid w:val="005D5C3B"/>
    <w:rsid w:val="005F7C08"/>
    <w:rsid w:val="0060783F"/>
    <w:rsid w:val="00611516"/>
    <w:rsid w:val="00626F91"/>
    <w:rsid w:val="00627AF7"/>
    <w:rsid w:val="00630971"/>
    <w:rsid w:val="00647F62"/>
    <w:rsid w:val="006A09B2"/>
    <w:rsid w:val="006C1C9F"/>
    <w:rsid w:val="006C51FF"/>
    <w:rsid w:val="006D240E"/>
    <w:rsid w:val="006E68C1"/>
    <w:rsid w:val="00721EE2"/>
    <w:rsid w:val="00723A5D"/>
    <w:rsid w:val="00736780"/>
    <w:rsid w:val="0073769D"/>
    <w:rsid w:val="00755156"/>
    <w:rsid w:val="0077177E"/>
    <w:rsid w:val="007A34E1"/>
    <w:rsid w:val="007A7D2D"/>
    <w:rsid w:val="007D6F2A"/>
    <w:rsid w:val="007F2D7A"/>
    <w:rsid w:val="007F69A8"/>
    <w:rsid w:val="00824AE0"/>
    <w:rsid w:val="00832154"/>
    <w:rsid w:val="00834FA8"/>
    <w:rsid w:val="00836D55"/>
    <w:rsid w:val="008544E6"/>
    <w:rsid w:val="00860773"/>
    <w:rsid w:val="008643DB"/>
    <w:rsid w:val="0088733A"/>
    <w:rsid w:val="008B4A72"/>
    <w:rsid w:val="008B6F4A"/>
    <w:rsid w:val="008B7DC6"/>
    <w:rsid w:val="008C10A3"/>
    <w:rsid w:val="008D1B33"/>
    <w:rsid w:val="008F325E"/>
    <w:rsid w:val="008F3A2A"/>
    <w:rsid w:val="009014FB"/>
    <w:rsid w:val="009068E2"/>
    <w:rsid w:val="009135D9"/>
    <w:rsid w:val="0091736C"/>
    <w:rsid w:val="00935C5E"/>
    <w:rsid w:val="00937EAB"/>
    <w:rsid w:val="00940FF5"/>
    <w:rsid w:val="00942E61"/>
    <w:rsid w:val="00951F21"/>
    <w:rsid w:val="009B7BE9"/>
    <w:rsid w:val="009D2912"/>
    <w:rsid w:val="009F2CA3"/>
    <w:rsid w:val="00A13984"/>
    <w:rsid w:val="00A306E5"/>
    <w:rsid w:val="00A3424C"/>
    <w:rsid w:val="00A70054"/>
    <w:rsid w:val="00A83FB7"/>
    <w:rsid w:val="00A946EA"/>
    <w:rsid w:val="00A96546"/>
    <w:rsid w:val="00AA5615"/>
    <w:rsid w:val="00B05AD5"/>
    <w:rsid w:val="00B06D2C"/>
    <w:rsid w:val="00B13C96"/>
    <w:rsid w:val="00B218B3"/>
    <w:rsid w:val="00B307D8"/>
    <w:rsid w:val="00B308C0"/>
    <w:rsid w:val="00B72A17"/>
    <w:rsid w:val="00B72F4B"/>
    <w:rsid w:val="00B83992"/>
    <w:rsid w:val="00BD28BB"/>
    <w:rsid w:val="00BE20B4"/>
    <w:rsid w:val="00BE5374"/>
    <w:rsid w:val="00C04F18"/>
    <w:rsid w:val="00C174D2"/>
    <w:rsid w:val="00C25127"/>
    <w:rsid w:val="00C25E4C"/>
    <w:rsid w:val="00C338DC"/>
    <w:rsid w:val="00C529A3"/>
    <w:rsid w:val="00C6056A"/>
    <w:rsid w:val="00C72CCB"/>
    <w:rsid w:val="00CD7CFD"/>
    <w:rsid w:val="00CE1725"/>
    <w:rsid w:val="00CE3C6F"/>
    <w:rsid w:val="00CE619F"/>
    <w:rsid w:val="00D01B5F"/>
    <w:rsid w:val="00D32CAF"/>
    <w:rsid w:val="00D36C15"/>
    <w:rsid w:val="00D60A1C"/>
    <w:rsid w:val="00D638A6"/>
    <w:rsid w:val="00D7031F"/>
    <w:rsid w:val="00D77DF9"/>
    <w:rsid w:val="00D862C9"/>
    <w:rsid w:val="00D91E40"/>
    <w:rsid w:val="00D93A03"/>
    <w:rsid w:val="00DA383A"/>
    <w:rsid w:val="00DA51DC"/>
    <w:rsid w:val="00DA6B8D"/>
    <w:rsid w:val="00DC17E7"/>
    <w:rsid w:val="00DD0742"/>
    <w:rsid w:val="00DD7C7F"/>
    <w:rsid w:val="00DE5893"/>
    <w:rsid w:val="00E17200"/>
    <w:rsid w:val="00E70E74"/>
    <w:rsid w:val="00E75422"/>
    <w:rsid w:val="00EC238A"/>
    <w:rsid w:val="00EC6250"/>
    <w:rsid w:val="00EC70DF"/>
    <w:rsid w:val="00EE14C9"/>
    <w:rsid w:val="00EF4349"/>
    <w:rsid w:val="00F0302D"/>
    <w:rsid w:val="00F33DA1"/>
    <w:rsid w:val="00F40B26"/>
    <w:rsid w:val="00F46B1A"/>
    <w:rsid w:val="00F61352"/>
    <w:rsid w:val="00F618B9"/>
    <w:rsid w:val="00F803B6"/>
    <w:rsid w:val="00F90177"/>
    <w:rsid w:val="00FA18B3"/>
    <w:rsid w:val="00FB457D"/>
    <w:rsid w:val="00FC31DB"/>
    <w:rsid w:val="00FD46B7"/>
    <w:rsid w:val="00FD7E54"/>
    <w:rsid w:val="060E16BC"/>
    <w:rsid w:val="075716CE"/>
    <w:rsid w:val="10BA246E"/>
    <w:rsid w:val="13F91A6B"/>
    <w:rsid w:val="1932736A"/>
    <w:rsid w:val="1B34774C"/>
    <w:rsid w:val="1FF136F9"/>
    <w:rsid w:val="24774CE6"/>
    <w:rsid w:val="277D71B5"/>
    <w:rsid w:val="348507A8"/>
    <w:rsid w:val="348F2204"/>
    <w:rsid w:val="356E2CF6"/>
    <w:rsid w:val="3B0B4C52"/>
    <w:rsid w:val="41FD7793"/>
    <w:rsid w:val="44D42135"/>
    <w:rsid w:val="470B52EE"/>
    <w:rsid w:val="4BF934B1"/>
    <w:rsid w:val="4CB22D72"/>
    <w:rsid w:val="559A036E"/>
    <w:rsid w:val="56616D9D"/>
    <w:rsid w:val="5E666146"/>
    <w:rsid w:val="60D7188C"/>
    <w:rsid w:val="679965A2"/>
    <w:rsid w:val="67AC4971"/>
    <w:rsid w:val="6CB06CB1"/>
    <w:rsid w:val="712748FB"/>
    <w:rsid w:val="748050AF"/>
    <w:rsid w:val="766E5529"/>
    <w:rsid w:val="7C3B4EDA"/>
    <w:rsid w:val="7C7B6D86"/>
    <w:rsid w:val="7DF000DD"/>
    <w:rsid w:val="7E2E5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8">
    <w:name w:val="批注框文本 Char"/>
    <w:basedOn w:val="7"/>
    <w:link w:val="2"/>
    <w:semiHidden/>
    <w:qFormat/>
    <w:uiPriority w:val="99"/>
    <w:rPr>
      <w:sz w:val="18"/>
      <w:szCs w:val="18"/>
    </w:rPr>
  </w:style>
  <w:style w:type="character" w:customStyle="1" w:styleId="9">
    <w:name w:val="页眉 Char"/>
    <w:basedOn w:val="7"/>
    <w:link w:val="4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脚 Char"/>
    <w:basedOn w:val="7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D:\2022&#24180;&#20844;&#25253;\&#22270;&#34920;3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>
              <a:defRPr lang="zh-CN" sz="1800" b="1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zh-CN"/>
              <a:t>图</a:t>
            </a:r>
            <a:r>
              <a:rPr lang="en-US"/>
              <a:t>1.2018</a:t>
            </a:r>
            <a:r>
              <a:rPr lang="zh-CN"/>
              <a:t>年以来粮食总产量</a:t>
            </a:r>
            <a:endParaRPr lang="zh-CN"/>
          </a:p>
        </c:rich>
      </c:tx>
      <c:layout/>
      <c:overlay val="0"/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"总产量（吨）"</c:f>
              <c:strCache>
                <c:ptCount val="1"/>
                <c:pt idx="0">
                  <c:v>总产量（吨）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-0.00222913606034963"/>
                  <c:y val="-0.309195677951424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1"/>
              <c:layout>
                <c:manualLayout>
                  <c:x val="0.00109600762549508"/>
                  <c:y val="-0.323183713710913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2"/>
              <c:layout>
                <c:manualLayout>
                  <c:x val="0.000673837064813562"/>
                  <c:y val="-0.319829263093382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3"/>
              <c:layout>
                <c:manualLayout>
                  <c:x val="-0.000361560877603044"/>
                  <c:y val="-0.327775890323354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dLbl>
              <c:idx val="4"/>
              <c:layout>
                <c:manualLayout>
                  <c:x val="-0.00236335819588672"/>
                  <c:y val="-0.30655102122387"/>
                </c:manualLayout>
              </c:layout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0"/>
                <c15:leaderLines/>
              </c:ext>
            </c:extLst>
          </c:dLbls>
          <c:cat>
            <c:strRef>
              <c:f>'[图表3.xlsx]2022'!$A$24:$A$28</c:f>
              <c:strCache>
                <c:ptCount val="5"/>
                <c:pt idx="0">
                  <c:v>2018年</c:v>
                </c:pt>
                <c:pt idx="1">
                  <c:v>2019年</c:v>
                </c:pt>
                <c:pt idx="2">
                  <c:v>2020年</c:v>
                </c:pt>
                <c:pt idx="3">
                  <c:v>2021年</c:v>
                </c:pt>
                <c:pt idx="4">
                  <c:v>2022年</c:v>
                </c:pt>
              </c:strCache>
            </c:strRef>
          </c:cat>
          <c:val>
            <c:numRef>
              <c:f>'[图表3.xlsx]2022'!$B$24:$B$28</c:f>
              <c:numCache>
                <c:formatCode>General</c:formatCode>
                <c:ptCount val="5"/>
                <c:pt idx="0">
                  <c:v>570913</c:v>
                </c:pt>
                <c:pt idx="1">
                  <c:v>576843</c:v>
                </c:pt>
                <c:pt idx="2">
                  <c:v>585580</c:v>
                </c:pt>
                <c:pt idx="3">
                  <c:v>543077</c:v>
                </c:pt>
                <c:pt idx="4">
                  <c:v>566187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5"/>
        <c:overlap val="48"/>
        <c:axId val="107440768"/>
        <c:axId val="107442560"/>
      </c:barChart>
      <c:catAx>
        <c:axId val="10744076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07442560"/>
        <c:crosses val="autoZero"/>
        <c:auto val="1"/>
        <c:lblAlgn val="ctr"/>
        <c:lblOffset val="100"/>
        <c:noMultiLvlLbl val="0"/>
      </c:catAx>
      <c:valAx>
        <c:axId val="107442560"/>
        <c:scaling>
          <c:orientation val="minMax"/>
          <c:max val="600000"/>
          <c:min val="0"/>
        </c:scaling>
        <c:delete val="0"/>
        <c:axPos val="l"/>
        <c:majorGridlines/>
        <c:numFmt formatCode="General" sourceLinked="1"/>
        <c:majorTickMark val="none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07440768"/>
        <c:crosses val="autoZero"/>
        <c:crossBetween val="between"/>
        <c:majorUnit val="100000"/>
      </c:valAx>
    </c:plotArea>
    <c:legend>
      <c:legendPos val="t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txPr>
    <a:bodyPr/>
    <a:lstStyle/>
    <a:p>
      <a:pPr>
        <a:defRPr lang="zh-CN"/>
      </a:pPr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0.25449</cdr:x>
      <cdr:y>0.17513</cdr:y>
    </cdr:from>
    <cdr:to>
      <cdr:x>0.44626</cdr:x>
      <cdr:y>0.27411</cdr:y>
    </cdr:to>
    <cdr:sp>
      <cdr:nvSpPr>
        <cdr:cNvPr id="2" name="矩形 1"/>
        <cdr:cNvSpPr/>
      </cdr:nvSpPr>
      <cdr:spPr xmlns:a="http://schemas.openxmlformats.org/drawingml/2006/main">
        <a:xfrm xmlns:a="http://schemas.openxmlformats.org/drawingml/2006/main">
          <a:off x="1213485" y="525780"/>
          <a:ext cx="914400" cy="297180"/>
        </a:xfrm>
        <a:prstGeom xmlns:a="http://schemas.openxmlformats.org/drawingml/2006/main" prst="rect">
          <a:avLst/>
        </a:prstGeom>
      </cdr:spPr>
      <cdr:txBody xmlns:a="http://schemas.openxmlformats.org/drawingml/2006/main">
        <a:bodyPr vertOverflow="clip" vert="horz" wrap="square" lIns="45720" tIns="45720" rIns="45720" bIns="45720" rtlCol="0" anchor="t" anchorCtr="0">
          <a:normAutofit/>
        </a:bodyPr>
        <a:lstStyle/>
        <a:p>
          <a:endParaRPr lang="zh-CN" altLang="en-US" sz="1100"/>
        </a:p>
      </cdr:txBody>
    </cdr:sp>
  </cdr:relSizeAnchor>
</c:userShape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3136</Words>
  <Characters>4278</Characters>
  <Lines>33</Lines>
  <Paragraphs>9</Paragraphs>
  <TotalTime>7</TotalTime>
  <ScaleCrop>false</ScaleCrop>
  <LinksUpToDate>false</LinksUpToDate>
  <CharactersWithSpaces>4285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2021-03-29T07:52:00Z</dcterms:created>
  <dc:creator>Administrator</dc:creator>
  <cp:lastModifiedBy>Administrator</cp:lastModifiedBy>
  <cp:lastPrinted>2021-05-13T00:25:00Z</cp:lastPrinted>
  <dcterms:modified xsi:type="dcterms:W3CDTF">2023-09-05T00:51:53Z</dcterms:modified>
  <cp:revision>107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EF9DC650E3544346B10D230EA9AD1347</vt:lpwstr>
  </property>
</Properties>
</file>