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381" w:afterLines="100" w:line="520" w:lineRule="exact"/>
        <w:ind w:firstLine="0" w:firstLineChars="0"/>
        <w:jc w:val="both"/>
        <w:textAlignment w:val="auto"/>
        <w:rPr>
          <w:rFonts w:hint="eastAsia" w:ascii="黑体" w:hAnsi="黑体" w:eastAsia="黑体" w:cs="Times New Roman"/>
          <w:color w:val="auto"/>
          <w:sz w:val="52"/>
          <w:szCs w:val="52"/>
          <w:lang w:val="en-US" w:eastAsia="zh-CN"/>
        </w:rPr>
      </w:pPr>
    </w:p>
    <w:p>
      <w:pPr>
        <w:keepNext w:val="0"/>
        <w:keepLines w:val="0"/>
        <w:pageBreakBefore w:val="0"/>
        <w:widowControl w:val="0"/>
        <w:kinsoku/>
        <w:wordWrap/>
        <w:overflowPunct/>
        <w:topLinePunct w:val="0"/>
        <w:autoSpaceDE/>
        <w:autoSpaceDN/>
        <w:bidi w:val="0"/>
        <w:adjustRightInd/>
        <w:snapToGrid/>
        <w:spacing w:after="381" w:afterLines="100" w:line="520" w:lineRule="exact"/>
        <w:ind w:firstLine="0" w:firstLineChars="0"/>
        <w:jc w:val="both"/>
        <w:textAlignment w:val="auto"/>
        <w:rPr>
          <w:rFonts w:hint="eastAsia" w:ascii="黑体" w:hAnsi="黑体" w:eastAsia="黑体" w:cs="Times New Roman"/>
          <w:color w:val="auto"/>
          <w:sz w:val="52"/>
          <w:szCs w:val="52"/>
          <w:lang w:val="en-US" w:eastAsia="zh-CN"/>
        </w:rPr>
      </w:pPr>
    </w:p>
    <w:p>
      <w:pPr>
        <w:keepNext w:val="0"/>
        <w:keepLines w:val="0"/>
        <w:pageBreakBefore w:val="0"/>
        <w:widowControl w:val="0"/>
        <w:kinsoku/>
        <w:wordWrap/>
        <w:overflowPunct/>
        <w:topLinePunct w:val="0"/>
        <w:autoSpaceDE/>
        <w:autoSpaceDN/>
        <w:bidi w:val="0"/>
        <w:adjustRightInd/>
        <w:snapToGrid/>
        <w:spacing w:after="381" w:afterLines="100" w:line="240" w:lineRule="auto"/>
        <w:ind w:firstLine="0" w:firstLineChars="0"/>
        <w:jc w:val="center"/>
        <w:textAlignment w:val="auto"/>
        <w:rPr>
          <w:rFonts w:hint="eastAsia" w:ascii="黑体" w:hAnsi="黑体" w:eastAsia="黑体" w:cs="Times New Roman"/>
          <w:color w:val="auto"/>
          <w:sz w:val="72"/>
          <w:szCs w:val="72"/>
          <w:lang w:val="en-US" w:eastAsia="zh-CN"/>
        </w:rPr>
      </w:pPr>
      <w:r>
        <w:rPr>
          <w:rFonts w:hint="eastAsia" w:ascii="黑体" w:hAnsi="黑体" w:eastAsia="黑体" w:cs="Times New Roman"/>
          <w:color w:val="auto"/>
          <w:sz w:val="72"/>
          <w:szCs w:val="72"/>
          <w:lang w:val="en-US" w:eastAsia="zh-CN"/>
        </w:rPr>
        <w:t>禹州市</w:t>
      </w:r>
    </w:p>
    <w:p>
      <w:pPr>
        <w:keepNext w:val="0"/>
        <w:keepLines w:val="0"/>
        <w:pageBreakBefore w:val="0"/>
        <w:widowControl w:val="0"/>
        <w:kinsoku/>
        <w:wordWrap/>
        <w:overflowPunct/>
        <w:topLinePunct w:val="0"/>
        <w:autoSpaceDE/>
        <w:autoSpaceDN/>
        <w:bidi w:val="0"/>
        <w:adjustRightInd/>
        <w:snapToGrid/>
        <w:spacing w:after="381" w:afterLines="100" w:line="240" w:lineRule="auto"/>
        <w:ind w:firstLine="0" w:firstLineChars="0"/>
        <w:jc w:val="center"/>
        <w:textAlignment w:val="auto"/>
        <w:rPr>
          <w:rFonts w:hint="eastAsia" w:ascii="黑体" w:hAnsi="黑体" w:eastAsia="黑体" w:cs="Times New Roman"/>
          <w:color w:val="auto"/>
          <w:sz w:val="72"/>
          <w:szCs w:val="72"/>
          <w:lang w:val="en-US" w:eastAsia="zh-CN"/>
        </w:rPr>
      </w:pPr>
      <w:bookmarkStart w:id="0" w:name="_Toc26534"/>
      <w:bookmarkStart w:id="1" w:name="_Toc31977"/>
      <w:bookmarkStart w:id="2" w:name="_Toc29069"/>
      <w:bookmarkStart w:id="3" w:name="_Toc19634"/>
      <w:bookmarkStart w:id="4" w:name="_Toc11769"/>
      <w:bookmarkStart w:id="5" w:name="_Toc20852"/>
      <w:bookmarkStart w:id="6" w:name="_Toc27503"/>
      <w:bookmarkStart w:id="7" w:name="_Toc8734"/>
      <w:bookmarkStart w:id="8" w:name="_Toc20966"/>
      <w:r>
        <w:rPr>
          <w:rFonts w:hint="eastAsia" w:ascii="黑体" w:hAnsi="黑体" w:eastAsia="黑体" w:cs="Times New Roman"/>
          <w:color w:val="auto"/>
          <w:sz w:val="72"/>
          <w:szCs w:val="72"/>
          <w:lang w:val="en-US" w:eastAsia="zh-CN"/>
        </w:rPr>
        <w:t>畜禽养殖污染防治规划</w:t>
      </w:r>
      <w:bookmarkEnd w:id="0"/>
      <w:bookmarkEnd w:id="1"/>
      <w:bookmarkEnd w:id="2"/>
      <w:bookmarkEnd w:id="3"/>
      <w:bookmarkEnd w:id="4"/>
      <w:bookmarkEnd w:id="5"/>
      <w:bookmarkEnd w:id="6"/>
      <w:bookmarkEnd w:id="7"/>
      <w:bookmarkEnd w:id="8"/>
    </w:p>
    <w:p>
      <w:pPr>
        <w:keepNext w:val="0"/>
        <w:keepLines w:val="0"/>
        <w:pageBreakBefore w:val="0"/>
        <w:widowControl w:val="0"/>
        <w:kinsoku/>
        <w:wordWrap/>
        <w:overflowPunct/>
        <w:topLinePunct w:val="0"/>
        <w:autoSpaceDE/>
        <w:autoSpaceDN/>
        <w:bidi w:val="0"/>
        <w:adjustRightInd/>
        <w:snapToGrid/>
        <w:spacing w:after="381" w:afterLines="100" w:line="240" w:lineRule="auto"/>
        <w:ind w:firstLine="0" w:firstLineChars="0"/>
        <w:jc w:val="center"/>
        <w:textAlignment w:val="auto"/>
        <w:rPr>
          <w:rFonts w:ascii="黑体" w:hAnsi="黑体" w:eastAsia="黑体"/>
          <w:b/>
          <w:bCs/>
          <w:color w:val="auto"/>
          <w:sz w:val="48"/>
          <w:szCs w:val="48"/>
        </w:rPr>
      </w:pPr>
      <w:r>
        <w:rPr>
          <w:rFonts w:ascii="黑体" w:hAnsi="黑体" w:eastAsia="黑体"/>
          <w:b/>
          <w:bCs/>
          <w:color w:val="auto"/>
          <w:sz w:val="48"/>
          <w:szCs w:val="48"/>
        </w:rPr>
        <w:t>（2021-2025</w:t>
      </w:r>
      <w:r>
        <w:rPr>
          <w:rFonts w:hint="eastAsia" w:ascii="黑体" w:hAnsi="黑体" w:eastAsia="黑体"/>
          <w:b/>
          <w:bCs/>
          <w:color w:val="auto"/>
          <w:sz w:val="48"/>
          <w:szCs w:val="48"/>
        </w:rPr>
        <w:t>年）</w:t>
      </w: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both"/>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8"/>
          <w:szCs w:val="48"/>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40"/>
          <w:szCs w:val="40"/>
          <w:lang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36"/>
          <w:szCs w:val="36"/>
          <w:lang w:eastAsia="zh-CN"/>
        </w:rPr>
      </w:pPr>
      <w:r>
        <w:rPr>
          <w:rFonts w:hint="eastAsia" w:ascii="黑体" w:hAnsi="黑体" w:eastAsia="黑体"/>
          <w:color w:val="auto"/>
          <w:sz w:val="36"/>
          <w:szCs w:val="36"/>
          <w:lang w:val="en-US" w:eastAsia="zh-CN"/>
        </w:rPr>
        <w:t>禹州市人民政府</w:t>
      </w:r>
    </w:p>
    <w:p>
      <w:pPr>
        <w:keepNext w:val="0"/>
        <w:keepLines w:val="0"/>
        <w:pageBreakBefore w:val="0"/>
        <w:widowControl w:val="0"/>
        <w:kinsoku/>
        <w:wordWrap/>
        <w:overflowPunct/>
        <w:topLinePunct w:val="0"/>
        <w:autoSpaceDE/>
        <w:autoSpaceDN/>
        <w:bidi w:val="0"/>
        <w:adjustRightInd/>
        <w:snapToGrid/>
        <w:spacing w:line="520" w:lineRule="exact"/>
        <w:ind w:firstLine="0" w:firstLineChars="0"/>
        <w:jc w:val="center"/>
        <w:textAlignment w:val="auto"/>
        <w:rPr>
          <w:rFonts w:hint="eastAsia" w:ascii="黑体" w:hAnsi="黑体" w:eastAsia="黑体"/>
          <w:color w:val="auto"/>
          <w:sz w:val="36"/>
          <w:szCs w:val="36"/>
        </w:rPr>
      </w:pPr>
      <w:r>
        <w:rPr>
          <w:rFonts w:hint="eastAsia" w:ascii="黑体" w:hAnsi="黑体" w:eastAsia="黑体"/>
          <w:color w:val="auto"/>
          <w:sz w:val="36"/>
          <w:szCs w:val="36"/>
        </w:rPr>
        <w:t>二〇二二年</w:t>
      </w:r>
      <w:r>
        <w:rPr>
          <w:rFonts w:hint="eastAsia" w:ascii="黑体" w:hAnsi="黑体" w:eastAsia="黑体"/>
          <w:color w:val="auto"/>
          <w:sz w:val="36"/>
          <w:szCs w:val="36"/>
          <w:lang w:eastAsia="zh-CN"/>
        </w:rPr>
        <w:t>十</w:t>
      </w:r>
      <w:r>
        <w:rPr>
          <w:rFonts w:hint="eastAsia" w:ascii="黑体" w:hAnsi="黑体" w:eastAsia="黑体"/>
          <w:color w:val="auto"/>
          <w:sz w:val="36"/>
          <w:szCs w:val="36"/>
          <w:lang w:val="en-US" w:eastAsia="zh-CN"/>
        </w:rPr>
        <w:t>二</w:t>
      </w:r>
      <w:r>
        <w:rPr>
          <w:rFonts w:hint="eastAsia" w:ascii="黑体" w:hAnsi="黑体" w:eastAsia="黑体"/>
          <w:color w:val="auto"/>
          <w:sz w:val="36"/>
          <w:szCs w:val="36"/>
        </w:rPr>
        <w:t>月</w:t>
      </w:r>
    </w:p>
    <w:p>
      <w:pPr>
        <w:rPr>
          <w:rFonts w:hint="eastAsia" w:ascii="黑体" w:hAnsi="黑体" w:eastAsia="黑体"/>
          <w:color w:val="auto"/>
          <w:sz w:val="36"/>
          <w:szCs w:val="36"/>
        </w:rPr>
      </w:pPr>
      <w:r>
        <w:rPr>
          <w:rFonts w:hint="eastAsia" w:ascii="黑体" w:hAnsi="黑体" w:eastAsia="黑体"/>
          <w:color w:val="auto"/>
          <w:sz w:val="36"/>
          <w:szCs w:val="36"/>
        </w:rPr>
        <w:br w:type="page"/>
      </w:r>
    </w:p>
    <w:p>
      <w:pPr>
        <w:pStyle w:val="2"/>
        <w:ind w:left="0" w:leftChars="0" w:firstLine="0" w:firstLineChars="0"/>
        <w:rPr>
          <w:rFonts w:hint="eastAsia"/>
          <w:b/>
          <w:bCs/>
          <w:color w:val="auto"/>
          <w:sz w:val="44"/>
          <w:szCs w:val="44"/>
          <w:lang w:val="en-US" w:eastAsia="zh-CN"/>
        </w:rPr>
      </w:pPr>
      <w:r>
        <w:rPr>
          <w:rFonts w:hint="eastAsia"/>
          <w:b/>
          <w:bCs/>
          <w:color w:val="auto"/>
          <w:sz w:val="44"/>
          <w:szCs w:val="44"/>
          <w:lang w:val="en-US" w:eastAsia="zh-CN"/>
        </w:rPr>
        <w:t>编制单位：</w:t>
      </w:r>
    </w:p>
    <w:p>
      <w:pPr>
        <w:pStyle w:val="2"/>
        <w:ind w:left="0" w:leftChars="0" w:firstLine="0" w:firstLineChars="0"/>
        <w:rPr>
          <w:rFonts w:hint="default"/>
          <w:color w:val="auto"/>
          <w:sz w:val="44"/>
          <w:szCs w:val="44"/>
          <w:lang w:val="en-US" w:eastAsia="zh-CN"/>
        </w:rPr>
      </w:pPr>
      <w:r>
        <w:rPr>
          <w:rFonts w:hint="eastAsia"/>
          <w:color w:val="auto"/>
          <w:sz w:val="44"/>
          <w:szCs w:val="44"/>
          <w:lang w:val="en-US" w:eastAsia="zh-CN"/>
        </w:rPr>
        <w:t>许昌市生态环境局禹州分局</w:t>
      </w:r>
    </w:p>
    <w:p>
      <w:pPr>
        <w:pStyle w:val="2"/>
        <w:ind w:left="0" w:leftChars="0" w:firstLine="0" w:firstLineChars="0"/>
        <w:rPr>
          <w:rFonts w:hint="eastAsia"/>
          <w:b/>
          <w:bCs/>
          <w:color w:val="auto"/>
          <w:sz w:val="44"/>
          <w:szCs w:val="44"/>
          <w:lang w:val="en-US" w:eastAsia="zh-CN"/>
        </w:rPr>
      </w:pPr>
    </w:p>
    <w:p>
      <w:pPr>
        <w:pStyle w:val="2"/>
        <w:ind w:left="0" w:leftChars="0" w:firstLine="0" w:firstLineChars="0"/>
        <w:rPr>
          <w:rFonts w:hint="eastAsia"/>
          <w:b/>
          <w:bCs/>
          <w:color w:val="auto"/>
          <w:sz w:val="44"/>
          <w:szCs w:val="44"/>
          <w:lang w:val="en-US" w:eastAsia="zh-CN"/>
        </w:rPr>
      </w:pPr>
      <w:r>
        <w:rPr>
          <w:rFonts w:hint="eastAsia"/>
          <w:b/>
          <w:bCs/>
          <w:color w:val="auto"/>
          <w:sz w:val="44"/>
          <w:szCs w:val="44"/>
          <w:lang w:val="en-US" w:eastAsia="zh-CN"/>
        </w:rPr>
        <w:t>编制人员：</w:t>
      </w:r>
    </w:p>
    <w:p>
      <w:pPr>
        <w:pStyle w:val="2"/>
        <w:ind w:left="0" w:leftChars="0" w:firstLine="0" w:firstLineChars="0"/>
        <w:rPr>
          <w:rFonts w:hint="default"/>
          <w:color w:val="auto"/>
          <w:sz w:val="44"/>
          <w:szCs w:val="44"/>
          <w:lang w:val="en-US" w:eastAsia="zh-CN"/>
        </w:rPr>
      </w:pPr>
      <w:r>
        <w:rPr>
          <w:rFonts w:hint="eastAsia"/>
          <w:color w:val="auto"/>
          <w:sz w:val="44"/>
          <w:szCs w:val="44"/>
          <w:lang w:val="en-US" w:eastAsia="zh-CN"/>
        </w:rPr>
        <w:t>李勇   张静   赵晓娜   马会普</w:t>
      </w:r>
    </w:p>
    <w:p>
      <w:pPr>
        <w:pStyle w:val="2"/>
        <w:ind w:left="0" w:leftChars="0" w:firstLine="0" w:firstLineChars="0"/>
        <w:rPr>
          <w:rFonts w:hint="default"/>
          <w:color w:val="auto"/>
          <w:sz w:val="44"/>
          <w:szCs w:val="44"/>
          <w:lang w:val="en-US" w:eastAsia="zh-CN"/>
        </w:rPr>
      </w:pPr>
      <w:r>
        <w:rPr>
          <w:rFonts w:hint="eastAsia"/>
          <w:color w:val="auto"/>
          <w:sz w:val="44"/>
          <w:szCs w:val="44"/>
          <w:lang w:val="en-US" w:eastAsia="zh-CN"/>
        </w:rPr>
        <w:t>吴俊朝（禹州市畜牧服务中心副主任）</w:t>
      </w:r>
    </w:p>
    <w:p>
      <w:pPr>
        <w:spacing w:before="0" w:beforeLines="0" w:after="0" w:afterLines="0" w:line="240" w:lineRule="auto"/>
        <w:ind w:left="0" w:leftChars="0" w:right="0" w:rightChars="0" w:firstLine="0" w:firstLineChars="0"/>
        <w:jc w:val="center"/>
        <w:rPr>
          <w:rFonts w:ascii="宋体" w:hAnsi="宋体" w:eastAsia="宋体" w:cs="Times New Roman"/>
          <w:color w:val="auto"/>
          <w:kern w:val="2"/>
          <w:sz w:val="44"/>
          <w:szCs w:val="44"/>
          <w:lang w:val="en-US" w:eastAsia="zh-CN" w:bidi="ar-SA"/>
        </w:rPr>
        <w:sectPr>
          <w:pgSz w:w="11906" w:h="16838"/>
          <w:pgMar w:top="1440" w:right="1797" w:bottom="1440" w:left="1797" w:header="851" w:footer="992" w:gutter="0"/>
          <w:pgNumType w:fmt="upperRoman" w:start="1"/>
          <w:cols w:space="425" w:num="1"/>
          <w:titlePg/>
          <w:docGrid w:type="lines" w:linePitch="381" w:charSpace="0"/>
        </w:sectPr>
      </w:pPr>
    </w:p>
    <w:sdt>
      <w:sdtPr>
        <w:rPr>
          <w:rFonts w:ascii="宋体" w:hAnsi="宋体" w:eastAsia="宋体" w:cs="Times New Roman"/>
          <w:b/>
          <w:bCs/>
          <w:color w:val="auto"/>
          <w:kern w:val="2"/>
          <w:sz w:val="32"/>
          <w:szCs w:val="32"/>
          <w:highlight w:val="none"/>
          <w:lang w:val="en-US" w:eastAsia="zh-CN" w:bidi="ar-SA"/>
        </w:rPr>
        <w:id w:val="147480250"/>
        <w15:color w:val="DBDBDB"/>
        <w:docPartObj>
          <w:docPartGallery w:val="Table of Contents"/>
          <w:docPartUnique/>
        </w:docPartObj>
      </w:sdtPr>
      <w:sdtEndPr>
        <w:rPr>
          <w:rFonts w:ascii="宋体" w:hAnsi="宋体" w:eastAsia="宋体" w:cs="Times New Roman"/>
          <w:b/>
          <w:bCs/>
          <w:color w:val="auto"/>
          <w:kern w:val="2"/>
          <w:sz w:val="28"/>
          <w:szCs w:val="28"/>
          <w:highlight w:val="none"/>
          <w:lang w:val="en-US" w:eastAsia="zh-CN" w:bidi="ar-SA"/>
        </w:rPr>
      </w:sdtEndPr>
      <w:sdtContent>
        <w:p>
          <w:pPr>
            <w:spacing w:before="0" w:beforeLines="0" w:after="0" w:afterLines="0" w:line="240" w:lineRule="auto"/>
            <w:ind w:left="0" w:leftChars="0" w:right="0" w:rightChars="0" w:firstLine="0" w:firstLineChars="0"/>
            <w:jc w:val="center"/>
            <w:rPr>
              <w:b/>
              <w:bCs/>
              <w:color w:val="auto"/>
              <w:sz w:val="32"/>
              <w:szCs w:val="32"/>
              <w:highlight w:val="none"/>
            </w:rPr>
          </w:pPr>
          <w:r>
            <w:rPr>
              <w:rFonts w:ascii="宋体" w:hAnsi="宋体" w:eastAsia="宋体"/>
              <w:b/>
              <w:bCs/>
              <w:color w:val="auto"/>
              <w:sz w:val="32"/>
              <w:szCs w:val="32"/>
              <w:highlight w:val="none"/>
            </w:rPr>
            <w:t>目录</w:t>
          </w:r>
        </w:p>
        <w:p>
          <w:pPr>
            <w:pStyle w:val="12"/>
            <w:tabs>
              <w:tab w:val="right" w:leader="dot" w:pos="8306"/>
            </w:tabs>
          </w:pPr>
          <w:r>
            <w:rPr>
              <w:color w:val="auto"/>
            </w:rPr>
            <w:fldChar w:fldCharType="begin"/>
          </w:r>
          <w:r>
            <w:rPr>
              <w:color w:val="auto"/>
            </w:rPr>
            <w:instrText xml:space="preserve">TOC \o "1-2" \h \u </w:instrText>
          </w:r>
          <w:r>
            <w:rPr>
              <w:color w:val="auto"/>
            </w:rPr>
            <w:fldChar w:fldCharType="separate"/>
          </w:r>
          <w:r>
            <w:rPr>
              <w:color w:val="auto"/>
            </w:rPr>
            <w:fldChar w:fldCharType="begin"/>
          </w:r>
          <w:r>
            <w:instrText xml:space="preserve"> HYPERLINK \l _Toc11260 </w:instrText>
          </w:r>
          <w:r>
            <w:fldChar w:fldCharType="separate"/>
          </w:r>
          <w:r>
            <w:rPr>
              <w:rFonts w:hint="eastAsia"/>
              <w:bCs w:val="0"/>
              <w:lang w:val="en-US" w:eastAsia="zh-CN"/>
            </w:rPr>
            <w:t>1</w:t>
          </w:r>
          <w:r>
            <w:rPr>
              <w:rFonts w:hint="eastAsia"/>
              <w:bCs w:val="0"/>
            </w:rPr>
            <w:t xml:space="preserve"> 规划总则</w:t>
          </w:r>
          <w:r>
            <w:tab/>
          </w:r>
          <w:r>
            <w:fldChar w:fldCharType="begin"/>
          </w:r>
          <w:r>
            <w:instrText xml:space="preserve"> PAGEREF _Toc11260 \h </w:instrText>
          </w:r>
          <w:r>
            <w:fldChar w:fldCharType="separate"/>
          </w:r>
          <w:r>
            <w:t>1</w:t>
          </w:r>
          <w:r>
            <w:fldChar w:fldCharType="end"/>
          </w:r>
          <w:r>
            <w:rPr>
              <w:color w:val="auto"/>
            </w:rPr>
            <w:fldChar w:fldCharType="end"/>
          </w:r>
        </w:p>
        <w:p>
          <w:pPr>
            <w:pStyle w:val="13"/>
            <w:tabs>
              <w:tab w:val="right" w:leader="dot" w:pos="8306"/>
            </w:tabs>
          </w:pPr>
          <w:r>
            <w:rPr>
              <w:color w:val="auto"/>
            </w:rPr>
            <w:fldChar w:fldCharType="begin"/>
          </w:r>
          <w:r>
            <w:instrText xml:space="preserve"> HYPERLINK \l _Toc14970 </w:instrText>
          </w:r>
          <w:r>
            <w:fldChar w:fldCharType="separate"/>
          </w:r>
          <w:r>
            <w:rPr>
              <w:rFonts w:hint="eastAsia"/>
            </w:rPr>
            <w:t>1</w:t>
          </w:r>
          <w:r>
            <w:t>.</w:t>
          </w:r>
          <w:r>
            <w:rPr>
              <w:rFonts w:hint="eastAsia"/>
              <w:lang w:val="en-US" w:eastAsia="zh-CN"/>
            </w:rPr>
            <w:t>1编制</w:t>
          </w:r>
          <w:r>
            <w:rPr>
              <w:rFonts w:hint="eastAsia"/>
            </w:rPr>
            <w:t>背景</w:t>
          </w:r>
          <w:r>
            <w:tab/>
          </w:r>
          <w:r>
            <w:fldChar w:fldCharType="begin"/>
          </w:r>
          <w:r>
            <w:instrText xml:space="preserve"> PAGEREF _Toc14970 \h </w:instrText>
          </w:r>
          <w:r>
            <w:fldChar w:fldCharType="separate"/>
          </w:r>
          <w:r>
            <w:t>1</w:t>
          </w:r>
          <w:r>
            <w:fldChar w:fldCharType="end"/>
          </w:r>
          <w:r>
            <w:rPr>
              <w:color w:val="auto"/>
            </w:rPr>
            <w:fldChar w:fldCharType="end"/>
          </w:r>
        </w:p>
        <w:p>
          <w:pPr>
            <w:pStyle w:val="13"/>
            <w:tabs>
              <w:tab w:val="right" w:leader="dot" w:pos="8306"/>
            </w:tabs>
          </w:pPr>
          <w:r>
            <w:rPr>
              <w:color w:val="auto"/>
            </w:rPr>
            <w:fldChar w:fldCharType="begin"/>
          </w:r>
          <w:r>
            <w:instrText xml:space="preserve"> HYPERLINK \l _Toc21616 </w:instrText>
          </w:r>
          <w:r>
            <w:fldChar w:fldCharType="separate"/>
          </w:r>
          <w:r>
            <w:rPr>
              <w:rFonts w:hint="eastAsia"/>
            </w:rPr>
            <w:t>1</w:t>
          </w:r>
          <w:r>
            <w:t>.</w:t>
          </w:r>
          <w:r>
            <w:rPr>
              <w:rFonts w:hint="eastAsia"/>
              <w:lang w:val="en-US" w:eastAsia="zh-CN"/>
            </w:rPr>
            <w:t>2</w:t>
          </w:r>
          <w:r>
            <w:rPr>
              <w:rFonts w:hint="eastAsia"/>
            </w:rPr>
            <w:t>编制依据</w:t>
          </w:r>
          <w:r>
            <w:tab/>
          </w:r>
          <w:r>
            <w:fldChar w:fldCharType="begin"/>
          </w:r>
          <w:r>
            <w:instrText xml:space="preserve"> PAGEREF _Toc21616 \h </w:instrText>
          </w:r>
          <w:r>
            <w:fldChar w:fldCharType="separate"/>
          </w:r>
          <w:r>
            <w:t>1</w:t>
          </w:r>
          <w:r>
            <w:fldChar w:fldCharType="end"/>
          </w:r>
          <w:r>
            <w:rPr>
              <w:color w:val="auto"/>
            </w:rPr>
            <w:fldChar w:fldCharType="end"/>
          </w:r>
        </w:p>
        <w:p>
          <w:pPr>
            <w:pStyle w:val="13"/>
            <w:tabs>
              <w:tab w:val="right" w:leader="dot" w:pos="8306"/>
            </w:tabs>
          </w:pPr>
          <w:r>
            <w:rPr>
              <w:color w:val="auto"/>
            </w:rPr>
            <w:fldChar w:fldCharType="begin"/>
          </w:r>
          <w:r>
            <w:instrText xml:space="preserve"> HYPERLINK \l _Toc8176 </w:instrText>
          </w:r>
          <w:r>
            <w:fldChar w:fldCharType="separate"/>
          </w:r>
          <w:r>
            <w:rPr>
              <w:rFonts w:hint="eastAsia"/>
            </w:rPr>
            <w:t>1.</w:t>
          </w:r>
          <w:r>
            <w:rPr>
              <w:rFonts w:hint="eastAsia"/>
              <w:lang w:val="en-US" w:eastAsia="zh-CN"/>
            </w:rPr>
            <w:t>3</w:t>
          </w:r>
          <w:r>
            <w:rPr>
              <w:rFonts w:hint="eastAsia"/>
            </w:rPr>
            <w:t>规划期限</w:t>
          </w:r>
          <w:r>
            <w:rPr>
              <w:rFonts w:hint="eastAsia"/>
              <w:lang w:eastAsia="zh-CN"/>
            </w:rPr>
            <w:t>及范围</w:t>
          </w:r>
          <w:r>
            <w:tab/>
          </w:r>
          <w:r>
            <w:fldChar w:fldCharType="begin"/>
          </w:r>
          <w:r>
            <w:instrText xml:space="preserve"> PAGEREF _Toc8176 \h </w:instrText>
          </w:r>
          <w:r>
            <w:fldChar w:fldCharType="separate"/>
          </w:r>
          <w:r>
            <w:t>4</w:t>
          </w:r>
          <w:r>
            <w:fldChar w:fldCharType="end"/>
          </w:r>
          <w:r>
            <w:rPr>
              <w:color w:val="auto"/>
            </w:rPr>
            <w:fldChar w:fldCharType="end"/>
          </w:r>
        </w:p>
        <w:p>
          <w:pPr>
            <w:pStyle w:val="12"/>
            <w:tabs>
              <w:tab w:val="right" w:leader="dot" w:pos="8306"/>
            </w:tabs>
          </w:pPr>
          <w:r>
            <w:rPr>
              <w:color w:val="auto"/>
            </w:rPr>
            <w:fldChar w:fldCharType="begin"/>
          </w:r>
          <w:r>
            <w:instrText xml:space="preserve"> HYPERLINK \l _Toc29748 </w:instrText>
          </w:r>
          <w:r>
            <w:fldChar w:fldCharType="separate"/>
          </w:r>
          <w:r>
            <w:rPr>
              <w:rFonts w:hint="eastAsia"/>
              <w:lang w:val="en-US" w:eastAsia="zh-CN"/>
            </w:rPr>
            <w:t xml:space="preserve">2 </w:t>
          </w:r>
          <w:r>
            <w:rPr>
              <w:rFonts w:hint="eastAsia"/>
            </w:rPr>
            <w:t>区域概况</w:t>
          </w:r>
          <w:r>
            <w:tab/>
          </w:r>
          <w:r>
            <w:fldChar w:fldCharType="begin"/>
          </w:r>
          <w:r>
            <w:instrText xml:space="preserve"> PAGEREF _Toc29748 \h </w:instrText>
          </w:r>
          <w:r>
            <w:fldChar w:fldCharType="separate"/>
          </w:r>
          <w:r>
            <w:t>6</w:t>
          </w:r>
          <w:r>
            <w:fldChar w:fldCharType="end"/>
          </w:r>
          <w:r>
            <w:rPr>
              <w:color w:val="auto"/>
            </w:rPr>
            <w:fldChar w:fldCharType="end"/>
          </w:r>
        </w:p>
        <w:p>
          <w:pPr>
            <w:pStyle w:val="13"/>
            <w:tabs>
              <w:tab w:val="right" w:leader="dot" w:pos="8306"/>
            </w:tabs>
          </w:pPr>
          <w:r>
            <w:rPr>
              <w:color w:val="auto"/>
            </w:rPr>
            <w:fldChar w:fldCharType="begin"/>
          </w:r>
          <w:r>
            <w:instrText xml:space="preserve"> HYPERLINK \l _Toc2635 </w:instrText>
          </w:r>
          <w:r>
            <w:fldChar w:fldCharType="separate"/>
          </w:r>
          <w:r>
            <w:rPr>
              <w:rFonts w:hint="eastAsia"/>
            </w:rPr>
            <w:t>2.1</w:t>
          </w:r>
          <w:r>
            <w:rPr>
              <w:rFonts w:hint="eastAsia"/>
              <w:lang w:val="en-US" w:eastAsia="zh-CN"/>
            </w:rPr>
            <w:t>自然气候条件</w:t>
          </w:r>
          <w:r>
            <w:tab/>
          </w:r>
          <w:r>
            <w:fldChar w:fldCharType="begin"/>
          </w:r>
          <w:r>
            <w:instrText xml:space="preserve"> PAGEREF _Toc2635 \h </w:instrText>
          </w:r>
          <w:r>
            <w:fldChar w:fldCharType="separate"/>
          </w:r>
          <w:r>
            <w:t>6</w:t>
          </w:r>
          <w:r>
            <w:fldChar w:fldCharType="end"/>
          </w:r>
          <w:r>
            <w:rPr>
              <w:color w:val="auto"/>
            </w:rPr>
            <w:fldChar w:fldCharType="end"/>
          </w:r>
        </w:p>
        <w:p>
          <w:pPr>
            <w:pStyle w:val="13"/>
            <w:tabs>
              <w:tab w:val="right" w:leader="dot" w:pos="8306"/>
            </w:tabs>
          </w:pPr>
          <w:r>
            <w:rPr>
              <w:color w:val="auto"/>
            </w:rPr>
            <w:fldChar w:fldCharType="begin"/>
          </w:r>
          <w:r>
            <w:instrText xml:space="preserve"> HYPERLINK \l _Toc10699 </w:instrText>
          </w:r>
          <w:r>
            <w:fldChar w:fldCharType="separate"/>
          </w:r>
          <w:r>
            <w:rPr>
              <w:rFonts w:hint="eastAsia"/>
            </w:rPr>
            <w:t>2.</w:t>
          </w:r>
          <w:r>
            <w:rPr>
              <w:rFonts w:hint="eastAsia"/>
              <w:lang w:val="en-US" w:eastAsia="zh-CN"/>
            </w:rPr>
            <w:t>2</w:t>
          </w:r>
          <w:r>
            <w:rPr>
              <w:rFonts w:hint="eastAsia"/>
            </w:rPr>
            <w:t>社会经济状况</w:t>
          </w:r>
          <w:r>
            <w:tab/>
          </w:r>
          <w:r>
            <w:fldChar w:fldCharType="begin"/>
          </w:r>
          <w:r>
            <w:instrText xml:space="preserve"> PAGEREF _Toc10699 \h </w:instrText>
          </w:r>
          <w:r>
            <w:fldChar w:fldCharType="separate"/>
          </w:r>
          <w:r>
            <w:t>6</w:t>
          </w:r>
          <w:r>
            <w:fldChar w:fldCharType="end"/>
          </w:r>
          <w:r>
            <w:rPr>
              <w:color w:val="auto"/>
            </w:rPr>
            <w:fldChar w:fldCharType="end"/>
          </w:r>
        </w:p>
        <w:p>
          <w:pPr>
            <w:pStyle w:val="13"/>
            <w:tabs>
              <w:tab w:val="right" w:leader="dot" w:pos="8306"/>
            </w:tabs>
          </w:pPr>
          <w:r>
            <w:rPr>
              <w:color w:val="auto"/>
            </w:rPr>
            <w:fldChar w:fldCharType="begin"/>
          </w:r>
          <w:r>
            <w:instrText xml:space="preserve"> HYPERLINK \l _Toc5807 </w:instrText>
          </w:r>
          <w:r>
            <w:fldChar w:fldCharType="separate"/>
          </w:r>
          <w:r>
            <w:rPr>
              <w:rFonts w:hint="eastAsia"/>
            </w:rPr>
            <w:t>2.</w:t>
          </w:r>
          <w:r>
            <w:rPr>
              <w:rFonts w:hint="eastAsia"/>
              <w:lang w:val="en-US" w:eastAsia="zh-CN"/>
            </w:rPr>
            <w:t>3</w:t>
          </w:r>
          <w:r>
            <w:rPr>
              <w:rFonts w:hint="eastAsia"/>
            </w:rPr>
            <w:t>生态环境概况</w:t>
          </w:r>
          <w:r>
            <w:tab/>
          </w:r>
          <w:r>
            <w:fldChar w:fldCharType="begin"/>
          </w:r>
          <w:r>
            <w:instrText xml:space="preserve"> PAGEREF _Toc5807 \h </w:instrText>
          </w:r>
          <w:r>
            <w:fldChar w:fldCharType="separate"/>
          </w:r>
          <w:r>
            <w:t>7</w:t>
          </w:r>
          <w:r>
            <w:fldChar w:fldCharType="end"/>
          </w:r>
          <w:r>
            <w:rPr>
              <w:color w:val="auto"/>
            </w:rPr>
            <w:fldChar w:fldCharType="end"/>
          </w:r>
        </w:p>
        <w:p>
          <w:pPr>
            <w:pStyle w:val="13"/>
            <w:tabs>
              <w:tab w:val="right" w:leader="dot" w:pos="8306"/>
            </w:tabs>
          </w:pPr>
          <w:r>
            <w:rPr>
              <w:color w:val="auto"/>
            </w:rPr>
            <w:fldChar w:fldCharType="begin"/>
          </w:r>
          <w:r>
            <w:instrText xml:space="preserve"> HYPERLINK \l _Toc23499 </w:instrText>
          </w:r>
          <w:r>
            <w:fldChar w:fldCharType="separate"/>
          </w:r>
          <w:r>
            <w:rPr>
              <w:rFonts w:hint="eastAsia"/>
            </w:rPr>
            <w:t>2.</w:t>
          </w:r>
          <w:r>
            <w:rPr>
              <w:rFonts w:hint="eastAsia"/>
              <w:lang w:val="en-US" w:eastAsia="zh-CN"/>
            </w:rPr>
            <w:t>4</w:t>
          </w:r>
          <w:r>
            <w:rPr>
              <w:rFonts w:hint="eastAsia"/>
            </w:rPr>
            <w:t>畜禽养殖污染防治现状</w:t>
          </w:r>
          <w:r>
            <w:tab/>
          </w:r>
          <w:r>
            <w:fldChar w:fldCharType="begin"/>
          </w:r>
          <w:r>
            <w:instrText xml:space="preserve"> PAGEREF _Toc23499 \h </w:instrText>
          </w:r>
          <w:r>
            <w:fldChar w:fldCharType="separate"/>
          </w:r>
          <w:r>
            <w:t>8</w:t>
          </w:r>
          <w:r>
            <w:fldChar w:fldCharType="end"/>
          </w:r>
          <w:r>
            <w:rPr>
              <w:color w:val="auto"/>
            </w:rPr>
            <w:fldChar w:fldCharType="end"/>
          </w:r>
        </w:p>
        <w:p>
          <w:pPr>
            <w:pStyle w:val="12"/>
            <w:tabs>
              <w:tab w:val="right" w:leader="dot" w:pos="8306"/>
            </w:tabs>
          </w:pPr>
          <w:r>
            <w:rPr>
              <w:color w:val="auto"/>
            </w:rPr>
            <w:fldChar w:fldCharType="begin"/>
          </w:r>
          <w:r>
            <w:instrText xml:space="preserve"> HYPERLINK \l _Toc24399 </w:instrText>
          </w:r>
          <w:r>
            <w:fldChar w:fldCharType="separate"/>
          </w:r>
          <w:r>
            <w:rPr>
              <w:rFonts w:hint="eastAsia"/>
              <w:lang w:val="en-US" w:eastAsia="zh-CN"/>
            </w:rPr>
            <w:t xml:space="preserve">3 </w:t>
          </w:r>
          <w:r>
            <w:rPr>
              <w:rFonts w:hint="eastAsia"/>
            </w:rPr>
            <w:t>规划</w:t>
          </w:r>
          <w:r>
            <w:t>指标</w:t>
          </w:r>
          <w:r>
            <w:rPr>
              <w:rFonts w:hint="eastAsia"/>
            </w:rPr>
            <w:t>与目标</w:t>
          </w:r>
          <w:r>
            <w:tab/>
          </w:r>
          <w:r>
            <w:fldChar w:fldCharType="begin"/>
          </w:r>
          <w:r>
            <w:instrText xml:space="preserve"> PAGEREF _Toc24399 \h </w:instrText>
          </w:r>
          <w:r>
            <w:fldChar w:fldCharType="separate"/>
          </w:r>
          <w:r>
            <w:t>14</w:t>
          </w:r>
          <w:r>
            <w:fldChar w:fldCharType="end"/>
          </w:r>
          <w:r>
            <w:rPr>
              <w:color w:val="auto"/>
            </w:rPr>
            <w:fldChar w:fldCharType="end"/>
          </w:r>
        </w:p>
        <w:p>
          <w:pPr>
            <w:pStyle w:val="13"/>
            <w:tabs>
              <w:tab w:val="right" w:leader="dot" w:pos="8306"/>
            </w:tabs>
          </w:pPr>
          <w:r>
            <w:rPr>
              <w:color w:val="auto"/>
            </w:rPr>
            <w:fldChar w:fldCharType="begin"/>
          </w:r>
          <w:r>
            <w:instrText xml:space="preserve"> HYPERLINK \l _Toc14762 </w:instrText>
          </w:r>
          <w:r>
            <w:fldChar w:fldCharType="separate"/>
          </w:r>
          <w:r>
            <w:rPr>
              <w:rFonts w:hint="eastAsia"/>
              <w:lang w:val="en-US" w:eastAsia="zh-CN"/>
            </w:rPr>
            <w:t>3</w:t>
          </w:r>
          <w:r>
            <w:rPr>
              <w:rFonts w:hint="eastAsia"/>
            </w:rPr>
            <w:t>.1</w:t>
          </w:r>
          <w:r>
            <w:rPr>
              <w:rFonts w:hint="eastAsia"/>
              <w:lang w:val="en-US" w:eastAsia="zh-CN"/>
            </w:rPr>
            <w:t>规划目标指标</w:t>
          </w:r>
          <w:r>
            <w:tab/>
          </w:r>
          <w:r>
            <w:fldChar w:fldCharType="begin"/>
          </w:r>
          <w:r>
            <w:instrText xml:space="preserve"> PAGEREF _Toc14762 \h </w:instrText>
          </w:r>
          <w:r>
            <w:fldChar w:fldCharType="separate"/>
          </w:r>
          <w:r>
            <w:t>14</w:t>
          </w:r>
          <w:r>
            <w:fldChar w:fldCharType="end"/>
          </w:r>
          <w:r>
            <w:rPr>
              <w:color w:val="auto"/>
            </w:rPr>
            <w:fldChar w:fldCharType="end"/>
          </w:r>
        </w:p>
        <w:p>
          <w:pPr>
            <w:pStyle w:val="13"/>
            <w:tabs>
              <w:tab w:val="right" w:leader="dot" w:pos="8306"/>
            </w:tabs>
          </w:pPr>
          <w:r>
            <w:rPr>
              <w:color w:val="auto"/>
            </w:rPr>
            <w:fldChar w:fldCharType="begin"/>
          </w:r>
          <w:r>
            <w:instrText xml:space="preserve"> HYPERLINK \l _Toc9111 </w:instrText>
          </w:r>
          <w:r>
            <w:fldChar w:fldCharType="separate"/>
          </w:r>
          <w:r>
            <w:rPr>
              <w:rFonts w:hint="eastAsia"/>
            </w:rPr>
            <w:t>3.2畜禽粪污环境承载力分析</w:t>
          </w:r>
          <w:r>
            <w:tab/>
          </w:r>
          <w:r>
            <w:fldChar w:fldCharType="begin"/>
          </w:r>
          <w:r>
            <w:instrText xml:space="preserve"> PAGEREF _Toc9111 \h </w:instrText>
          </w:r>
          <w:r>
            <w:fldChar w:fldCharType="separate"/>
          </w:r>
          <w:r>
            <w:t>14</w:t>
          </w:r>
          <w:r>
            <w:fldChar w:fldCharType="end"/>
          </w:r>
          <w:r>
            <w:rPr>
              <w:color w:val="auto"/>
            </w:rPr>
            <w:fldChar w:fldCharType="end"/>
          </w:r>
        </w:p>
        <w:p>
          <w:pPr>
            <w:pStyle w:val="13"/>
            <w:tabs>
              <w:tab w:val="right" w:leader="dot" w:pos="8306"/>
            </w:tabs>
          </w:pPr>
          <w:r>
            <w:rPr>
              <w:color w:val="auto"/>
            </w:rPr>
            <w:fldChar w:fldCharType="begin"/>
          </w:r>
          <w:r>
            <w:instrText xml:space="preserve"> HYPERLINK \l _Toc17351 </w:instrText>
          </w:r>
          <w:r>
            <w:fldChar w:fldCharType="separate"/>
          </w:r>
          <w:r>
            <w:rPr>
              <w:rFonts w:hint="eastAsia" w:ascii="Times New Roman" w:hAnsi="Times New Roman" w:cs="Times New Roman"/>
              <w:highlight w:val="none"/>
              <w:lang w:val="en-US" w:eastAsia="zh-CN"/>
            </w:rPr>
            <w:t>3.3目标可达性分析</w:t>
          </w:r>
          <w:r>
            <w:tab/>
          </w:r>
          <w:r>
            <w:fldChar w:fldCharType="begin"/>
          </w:r>
          <w:r>
            <w:instrText xml:space="preserve"> PAGEREF _Toc17351 \h </w:instrText>
          </w:r>
          <w:r>
            <w:fldChar w:fldCharType="separate"/>
          </w:r>
          <w:r>
            <w:t>15</w:t>
          </w:r>
          <w:r>
            <w:fldChar w:fldCharType="end"/>
          </w:r>
          <w:r>
            <w:rPr>
              <w:color w:val="auto"/>
            </w:rPr>
            <w:fldChar w:fldCharType="end"/>
          </w:r>
        </w:p>
        <w:p>
          <w:pPr>
            <w:pStyle w:val="12"/>
            <w:tabs>
              <w:tab w:val="right" w:leader="dot" w:pos="8306"/>
            </w:tabs>
          </w:pPr>
          <w:r>
            <w:rPr>
              <w:color w:val="auto"/>
            </w:rPr>
            <w:fldChar w:fldCharType="begin"/>
          </w:r>
          <w:r>
            <w:instrText xml:space="preserve"> HYPERLINK \l _Toc11904 </w:instrText>
          </w:r>
          <w:r>
            <w:fldChar w:fldCharType="separate"/>
          </w:r>
          <w:r>
            <w:rPr>
              <w:rFonts w:hint="eastAsia"/>
            </w:rPr>
            <w:t>4</w:t>
          </w:r>
          <w:r>
            <w:rPr>
              <w:rFonts w:hint="eastAsia"/>
              <w:lang w:val="en-US" w:eastAsia="zh-CN"/>
            </w:rPr>
            <w:t xml:space="preserve"> </w:t>
          </w:r>
          <w:r>
            <w:rPr>
              <w:rFonts w:hint="eastAsia"/>
            </w:rPr>
            <w:t>主要任务</w:t>
          </w:r>
          <w:r>
            <w:tab/>
          </w:r>
          <w:r>
            <w:fldChar w:fldCharType="begin"/>
          </w:r>
          <w:r>
            <w:instrText xml:space="preserve"> PAGEREF _Toc11904 \h </w:instrText>
          </w:r>
          <w:r>
            <w:fldChar w:fldCharType="separate"/>
          </w:r>
          <w:r>
            <w:t>17</w:t>
          </w:r>
          <w:r>
            <w:fldChar w:fldCharType="end"/>
          </w:r>
          <w:r>
            <w:rPr>
              <w:color w:val="auto"/>
            </w:rPr>
            <w:fldChar w:fldCharType="end"/>
          </w:r>
        </w:p>
        <w:p>
          <w:pPr>
            <w:pStyle w:val="13"/>
            <w:tabs>
              <w:tab w:val="right" w:leader="dot" w:pos="8306"/>
            </w:tabs>
          </w:pPr>
          <w:r>
            <w:rPr>
              <w:color w:val="auto"/>
            </w:rPr>
            <w:fldChar w:fldCharType="begin"/>
          </w:r>
          <w:r>
            <w:instrText xml:space="preserve"> HYPERLINK \l _Toc7401 </w:instrText>
          </w:r>
          <w:r>
            <w:fldChar w:fldCharType="separate"/>
          </w:r>
          <w:r>
            <w:rPr>
              <w:rFonts w:hint="eastAsia"/>
            </w:rPr>
            <w:t>4.</w:t>
          </w:r>
          <w:r>
            <w:rPr>
              <w:rFonts w:hint="eastAsia"/>
              <w:lang w:val="en-US" w:eastAsia="zh-CN"/>
            </w:rPr>
            <w:t>1畜禽养殖污染防治总体要求</w:t>
          </w:r>
          <w:r>
            <w:tab/>
          </w:r>
          <w:r>
            <w:fldChar w:fldCharType="begin"/>
          </w:r>
          <w:r>
            <w:instrText xml:space="preserve"> PAGEREF _Toc7401 \h </w:instrText>
          </w:r>
          <w:r>
            <w:fldChar w:fldCharType="separate"/>
          </w:r>
          <w:r>
            <w:t>17</w:t>
          </w:r>
          <w:r>
            <w:fldChar w:fldCharType="end"/>
          </w:r>
          <w:r>
            <w:rPr>
              <w:color w:val="auto"/>
            </w:rPr>
            <w:fldChar w:fldCharType="end"/>
          </w:r>
        </w:p>
        <w:p>
          <w:pPr>
            <w:pStyle w:val="13"/>
            <w:tabs>
              <w:tab w:val="right" w:leader="dot" w:pos="8306"/>
            </w:tabs>
          </w:pPr>
          <w:r>
            <w:rPr>
              <w:color w:val="auto"/>
            </w:rPr>
            <w:fldChar w:fldCharType="begin"/>
          </w:r>
          <w:r>
            <w:instrText xml:space="preserve"> HYPERLINK \l _Toc21665 </w:instrText>
          </w:r>
          <w:r>
            <w:fldChar w:fldCharType="separate"/>
          </w:r>
          <w:r>
            <w:rPr>
              <w:rFonts w:hint="eastAsia"/>
            </w:rPr>
            <w:t>4.</w:t>
          </w:r>
          <w:r>
            <w:rPr>
              <w:rFonts w:hint="eastAsia"/>
              <w:lang w:val="en-US" w:eastAsia="zh-CN"/>
            </w:rPr>
            <w:t>2</w:t>
          </w:r>
          <w:r>
            <w:rPr>
              <w:rFonts w:hint="eastAsia"/>
            </w:rPr>
            <w:t>完善粪污处理</w:t>
          </w:r>
          <w:r>
            <w:rPr>
              <w:rFonts w:hint="eastAsia"/>
              <w:lang w:val="en-US" w:eastAsia="zh-CN"/>
            </w:rPr>
            <w:t>和</w:t>
          </w:r>
          <w:r>
            <w:rPr>
              <w:rFonts w:hint="eastAsia"/>
            </w:rPr>
            <w:t>利用设施</w:t>
          </w:r>
          <w:r>
            <w:tab/>
          </w:r>
          <w:r>
            <w:fldChar w:fldCharType="begin"/>
          </w:r>
          <w:r>
            <w:instrText xml:space="preserve"> PAGEREF _Toc21665 \h </w:instrText>
          </w:r>
          <w:r>
            <w:fldChar w:fldCharType="separate"/>
          </w:r>
          <w:r>
            <w:t>18</w:t>
          </w:r>
          <w:r>
            <w:fldChar w:fldCharType="end"/>
          </w:r>
          <w:r>
            <w:rPr>
              <w:color w:val="auto"/>
            </w:rPr>
            <w:fldChar w:fldCharType="end"/>
          </w:r>
        </w:p>
        <w:p>
          <w:pPr>
            <w:pStyle w:val="13"/>
            <w:tabs>
              <w:tab w:val="right" w:leader="dot" w:pos="8306"/>
            </w:tabs>
          </w:pPr>
          <w:r>
            <w:rPr>
              <w:color w:val="auto"/>
            </w:rPr>
            <w:fldChar w:fldCharType="begin"/>
          </w:r>
          <w:r>
            <w:instrText xml:space="preserve"> HYPERLINK \l _Toc14476 </w:instrText>
          </w:r>
          <w:r>
            <w:fldChar w:fldCharType="separate"/>
          </w:r>
          <w:r>
            <w:rPr>
              <w:rFonts w:hint="eastAsia"/>
              <w:highlight w:val="none"/>
            </w:rPr>
            <w:t>4.</w:t>
          </w:r>
          <w:r>
            <w:rPr>
              <w:rFonts w:hint="eastAsia"/>
              <w:highlight w:val="none"/>
              <w:lang w:val="en-US" w:eastAsia="zh-CN"/>
            </w:rPr>
            <w:t>3提升畜禽粪污资源化利用水平</w:t>
          </w:r>
          <w:r>
            <w:tab/>
          </w:r>
          <w:r>
            <w:fldChar w:fldCharType="begin"/>
          </w:r>
          <w:r>
            <w:instrText xml:space="preserve"> PAGEREF _Toc14476 \h </w:instrText>
          </w:r>
          <w:r>
            <w:fldChar w:fldCharType="separate"/>
          </w:r>
          <w:r>
            <w:t>20</w:t>
          </w:r>
          <w:r>
            <w:fldChar w:fldCharType="end"/>
          </w:r>
          <w:r>
            <w:rPr>
              <w:color w:val="auto"/>
            </w:rPr>
            <w:fldChar w:fldCharType="end"/>
          </w:r>
        </w:p>
        <w:p>
          <w:pPr>
            <w:pStyle w:val="13"/>
            <w:tabs>
              <w:tab w:val="right" w:leader="dot" w:pos="8306"/>
            </w:tabs>
          </w:pPr>
          <w:r>
            <w:rPr>
              <w:color w:val="auto"/>
            </w:rPr>
            <w:fldChar w:fldCharType="begin"/>
          </w:r>
          <w:r>
            <w:instrText xml:space="preserve"> HYPERLINK \l _Toc28610 </w:instrText>
          </w:r>
          <w:r>
            <w:fldChar w:fldCharType="separate"/>
          </w:r>
          <w:r>
            <w:rPr>
              <w:rFonts w:hint="eastAsia"/>
              <w:highlight w:val="none"/>
            </w:rPr>
            <w:t>4.</w:t>
          </w:r>
          <w:r>
            <w:rPr>
              <w:rFonts w:hint="eastAsia"/>
              <w:highlight w:val="none"/>
              <w:lang w:val="en-US" w:eastAsia="zh-CN"/>
            </w:rPr>
            <w:t>4</w:t>
          </w:r>
          <w:r>
            <w:rPr>
              <w:rFonts w:hint="eastAsia"/>
              <w:highlight w:val="none"/>
            </w:rPr>
            <w:t>建立健全台账管理制度</w:t>
          </w:r>
          <w:r>
            <w:tab/>
          </w:r>
          <w:r>
            <w:fldChar w:fldCharType="begin"/>
          </w:r>
          <w:r>
            <w:instrText xml:space="preserve"> PAGEREF _Toc28610 \h </w:instrText>
          </w:r>
          <w:r>
            <w:fldChar w:fldCharType="separate"/>
          </w:r>
          <w:r>
            <w:t>22</w:t>
          </w:r>
          <w:r>
            <w:fldChar w:fldCharType="end"/>
          </w:r>
          <w:r>
            <w:rPr>
              <w:color w:val="auto"/>
            </w:rPr>
            <w:fldChar w:fldCharType="end"/>
          </w:r>
        </w:p>
        <w:p>
          <w:pPr>
            <w:pStyle w:val="13"/>
            <w:tabs>
              <w:tab w:val="right" w:leader="dot" w:pos="8306"/>
            </w:tabs>
          </w:pPr>
          <w:r>
            <w:rPr>
              <w:color w:val="auto"/>
            </w:rPr>
            <w:fldChar w:fldCharType="begin"/>
          </w:r>
          <w:r>
            <w:instrText xml:space="preserve"> HYPERLINK \l _Toc21678 </w:instrText>
          </w:r>
          <w:r>
            <w:fldChar w:fldCharType="separate"/>
          </w:r>
          <w:r>
            <w:rPr>
              <w:rFonts w:hint="eastAsia"/>
              <w:highlight w:val="none"/>
            </w:rPr>
            <w:t>4.</w:t>
          </w:r>
          <w:r>
            <w:rPr>
              <w:rFonts w:hint="eastAsia"/>
              <w:highlight w:val="none"/>
              <w:lang w:val="en-US" w:eastAsia="zh-CN"/>
            </w:rPr>
            <w:t>5</w:t>
          </w:r>
          <w:r>
            <w:rPr>
              <w:rFonts w:hint="eastAsia"/>
              <w:highlight w:val="none"/>
            </w:rPr>
            <w:t>强化环境监管</w:t>
          </w:r>
          <w:r>
            <w:tab/>
          </w:r>
          <w:r>
            <w:fldChar w:fldCharType="begin"/>
          </w:r>
          <w:r>
            <w:instrText xml:space="preserve"> PAGEREF _Toc21678 \h </w:instrText>
          </w:r>
          <w:r>
            <w:fldChar w:fldCharType="separate"/>
          </w:r>
          <w:r>
            <w:t>23</w:t>
          </w:r>
          <w:r>
            <w:fldChar w:fldCharType="end"/>
          </w:r>
          <w:r>
            <w:rPr>
              <w:color w:val="auto"/>
            </w:rPr>
            <w:fldChar w:fldCharType="end"/>
          </w:r>
        </w:p>
        <w:p>
          <w:pPr>
            <w:pStyle w:val="12"/>
            <w:tabs>
              <w:tab w:val="right" w:leader="dot" w:pos="8306"/>
            </w:tabs>
          </w:pPr>
          <w:r>
            <w:rPr>
              <w:color w:val="auto"/>
            </w:rPr>
            <w:fldChar w:fldCharType="begin"/>
          </w:r>
          <w:r>
            <w:instrText xml:space="preserve"> HYPERLINK \l _Toc11250 </w:instrText>
          </w:r>
          <w:r>
            <w:fldChar w:fldCharType="separate"/>
          </w:r>
          <w:r>
            <w:rPr>
              <w:rFonts w:hint="eastAsia"/>
              <w:highlight w:val="none"/>
            </w:rPr>
            <w:t>5</w:t>
          </w:r>
          <w:r>
            <w:rPr>
              <w:rFonts w:hint="eastAsia"/>
              <w:highlight w:val="none"/>
              <w:lang w:val="en-US" w:eastAsia="zh-CN"/>
            </w:rPr>
            <w:t xml:space="preserve"> </w:t>
          </w:r>
          <w:r>
            <w:rPr>
              <w:rFonts w:hint="eastAsia"/>
              <w:highlight w:val="none"/>
            </w:rPr>
            <w:t>重点工程</w:t>
          </w:r>
          <w:r>
            <w:tab/>
          </w:r>
          <w:r>
            <w:fldChar w:fldCharType="begin"/>
          </w:r>
          <w:r>
            <w:instrText xml:space="preserve"> PAGEREF _Toc11250 \h </w:instrText>
          </w:r>
          <w:r>
            <w:fldChar w:fldCharType="separate"/>
          </w:r>
          <w:r>
            <w:t>25</w:t>
          </w:r>
          <w:r>
            <w:fldChar w:fldCharType="end"/>
          </w:r>
          <w:r>
            <w:rPr>
              <w:color w:val="auto"/>
            </w:rPr>
            <w:fldChar w:fldCharType="end"/>
          </w:r>
        </w:p>
        <w:p>
          <w:pPr>
            <w:pStyle w:val="13"/>
            <w:tabs>
              <w:tab w:val="right" w:leader="dot" w:pos="8306"/>
            </w:tabs>
          </w:pPr>
          <w:r>
            <w:rPr>
              <w:color w:val="auto"/>
            </w:rPr>
            <w:fldChar w:fldCharType="begin"/>
          </w:r>
          <w:r>
            <w:instrText xml:space="preserve"> HYPERLINK \l _Toc25344 </w:instrText>
          </w:r>
          <w:r>
            <w:fldChar w:fldCharType="separate"/>
          </w:r>
          <w:r>
            <w:rPr>
              <w:rFonts w:hint="eastAsia"/>
            </w:rPr>
            <w:t>5.1畜禽粪污处理利用设施提升</w:t>
          </w:r>
          <w:r>
            <w:rPr>
              <w:rFonts w:hint="eastAsia"/>
              <w:lang w:val="en-US" w:eastAsia="zh-CN"/>
            </w:rPr>
            <w:t>工程</w:t>
          </w:r>
          <w:r>
            <w:tab/>
          </w:r>
          <w:r>
            <w:fldChar w:fldCharType="begin"/>
          </w:r>
          <w:r>
            <w:instrText xml:space="preserve"> PAGEREF _Toc25344 \h </w:instrText>
          </w:r>
          <w:r>
            <w:fldChar w:fldCharType="separate"/>
          </w:r>
          <w:r>
            <w:t>25</w:t>
          </w:r>
          <w:r>
            <w:fldChar w:fldCharType="end"/>
          </w:r>
          <w:r>
            <w:rPr>
              <w:color w:val="auto"/>
            </w:rPr>
            <w:fldChar w:fldCharType="end"/>
          </w:r>
        </w:p>
        <w:p>
          <w:pPr>
            <w:pStyle w:val="13"/>
            <w:tabs>
              <w:tab w:val="right" w:leader="dot" w:pos="8306"/>
            </w:tabs>
          </w:pPr>
          <w:r>
            <w:rPr>
              <w:color w:val="auto"/>
            </w:rPr>
            <w:fldChar w:fldCharType="begin"/>
          </w:r>
          <w:r>
            <w:instrText xml:space="preserve"> HYPERLINK \l _Toc23158 </w:instrText>
          </w:r>
          <w:r>
            <w:fldChar w:fldCharType="separate"/>
          </w:r>
          <w:r>
            <w:rPr>
              <w:rFonts w:hint="eastAsia"/>
            </w:rPr>
            <w:t>5.</w:t>
          </w:r>
          <w:r>
            <w:rPr>
              <w:rFonts w:hint="eastAsia"/>
              <w:lang w:val="en-US" w:eastAsia="zh-CN"/>
            </w:rPr>
            <w:t>2</w:t>
          </w:r>
          <w:r>
            <w:rPr>
              <w:rFonts w:hint="eastAsia"/>
            </w:rPr>
            <w:t>畜禽粪污转运及集中处理中心建设工程</w:t>
          </w:r>
          <w:r>
            <w:tab/>
          </w:r>
          <w:r>
            <w:fldChar w:fldCharType="begin"/>
          </w:r>
          <w:r>
            <w:instrText xml:space="preserve"> PAGEREF _Toc23158 \h </w:instrText>
          </w:r>
          <w:r>
            <w:fldChar w:fldCharType="separate"/>
          </w:r>
          <w:r>
            <w:t>25</w:t>
          </w:r>
          <w:r>
            <w:fldChar w:fldCharType="end"/>
          </w:r>
          <w:r>
            <w:rPr>
              <w:color w:val="auto"/>
            </w:rPr>
            <w:fldChar w:fldCharType="end"/>
          </w:r>
        </w:p>
        <w:p>
          <w:pPr>
            <w:pStyle w:val="13"/>
            <w:tabs>
              <w:tab w:val="right" w:leader="dot" w:pos="8306"/>
            </w:tabs>
          </w:pPr>
          <w:r>
            <w:rPr>
              <w:color w:val="auto"/>
            </w:rPr>
            <w:fldChar w:fldCharType="begin"/>
          </w:r>
          <w:r>
            <w:instrText xml:space="preserve"> HYPERLINK \l _Toc25766 </w:instrText>
          </w:r>
          <w:r>
            <w:fldChar w:fldCharType="separate"/>
          </w:r>
          <w:r>
            <w:rPr>
              <w:rFonts w:hint="eastAsia"/>
              <w:lang w:val="en-US" w:eastAsia="zh-CN"/>
            </w:rPr>
            <w:t>5.3</w:t>
          </w:r>
          <w:r>
            <w:rPr>
              <w:rFonts w:hint="default"/>
            </w:rPr>
            <w:t>监管体系建设工</w:t>
          </w:r>
          <w:r>
            <w:rPr>
              <w:rFonts w:hint="eastAsia"/>
              <w:lang w:val="en-US" w:eastAsia="zh-CN"/>
            </w:rPr>
            <w:t>程</w:t>
          </w:r>
          <w:r>
            <w:tab/>
          </w:r>
          <w:r>
            <w:fldChar w:fldCharType="begin"/>
          </w:r>
          <w:r>
            <w:instrText xml:space="preserve"> PAGEREF _Toc25766 \h </w:instrText>
          </w:r>
          <w:r>
            <w:fldChar w:fldCharType="separate"/>
          </w:r>
          <w:r>
            <w:t>25</w:t>
          </w:r>
          <w:r>
            <w:fldChar w:fldCharType="end"/>
          </w:r>
          <w:r>
            <w:rPr>
              <w:color w:val="auto"/>
            </w:rPr>
            <w:fldChar w:fldCharType="end"/>
          </w:r>
        </w:p>
        <w:p>
          <w:pPr>
            <w:pStyle w:val="12"/>
            <w:tabs>
              <w:tab w:val="right" w:leader="dot" w:pos="8306"/>
            </w:tabs>
          </w:pPr>
          <w:r>
            <w:rPr>
              <w:color w:val="auto"/>
            </w:rPr>
            <w:fldChar w:fldCharType="begin"/>
          </w:r>
          <w:r>
            <w:instrText xml:space="preserve"> HYPERLINK \l _Toc24843 </w:instrText>
          </w:r>
          <w:r>
            <w:fldChar w:fldCharType="separate"/>
          </w:r>
          <w:r>
            <w:rPr>
              <w:rFonts w:hint="eastAsia"/>
            </w:rPr>
            <w:t>6</w:t>
          </w:r>
          <w:r>
            <w:rPr>
              <w:rFonts w:hint="eastAsia"/>
              <w:lang w:val="en-US" w:eastAsia="zh-CN"/>
            </w:rPr>
            <w:t xml:space="preserve"> </w:t>
          </w:r>
          <w:r>
            <w:rPr>
              <w:rFonts w:hint="eastAsia"/>
            </w:rPr>
            <w:t>工程投资估算与资金筹措</w:t>
          </w:r>
          <w:r>
            <w:tab/>
          </w:r>
          <w:r>
            <w:fldChar w:fldCharType="begin"/>
          </w:r>
          <w:r>
            <w:instrText xml:space="preserve"> PAGEREF _Toc24843 \h </w:instrText>
          </w:r>
          <w:r>
            <w:fldChar w:fldCharType="separate"/>
          </w:r>
          <w:r>
            <w:t>27</w:t>
          </w:r>
          <w:r>
            <w:fldChar w:fldCharType="end"/>
          </w:r>
          <w:r>
            <w:rPr>
              <w:color w:val="auto"/>
            </w:rPr>
            <w:fldChar w:fldCharType="end"/>
          </w:r>
        </w:p>
        <w:p>
          <w:pPr>
            <w:pStyle w:val="13"/>
            <w:tabs>
              <w:tab w:val="right" w:leader="dot" w:pos="8306"/>
            </w:tabs>
          </w:pPr>
          <w:r>
            <w:rPr>
              <w:color w:val="auto"/>
            </w:rPr>
            <w:fldChar w:fldCharType="begin"/>
          </w:r>
          <w:r>
            <w:instrText xml:space="preserve"> HYPERLINK \l _Toc5356 </w:instrText>
          </w:r>
          <w:r>
            <w:fldChar w:fldCharType="separate"/>
          </w:r>
          <w:r>
            <w:rPr>
              <w:rFonts w:hint="eastAsia"/>
            </w:rPr>
            <w:t>6.1投资估算</w:t>
          </w:r>
          <w:r>
            <w:tab/>
          </w:r>
          <w:r>
            <w:fldChar w:fldCharType="begin"/>
          </w:r>
          <w:r>
            <w:instrText xml:space="preserve"> PAGEREF _Toc5356 \h </w:instrText>
          </w:r>
          <w:r>
            <w:fldChar w:fldCharType="separate"/>
          </w:r>
          <w:r>
            <w:t>27</w:t>
          </w:r>
          <w:r>
            <w:fldChar w:fldCharType="end"/>
          </w:r>
          <w:r>
            <w:rPr>
              <w:color w:val="auto"/>
            </w:rPr>
            <w:fldChar w:fldCharType="end"/>
          </w:r>
        </w:p>
        <w:p>
          <w:pPr>
            <w:pStyle w:val="13"/>
            <w:tabs>
              <w:tab w:val="right" w:leader="dot" w:pos="8306"/>
            </w:tabs>
          </w:pPr>
          <w:r>
            <w:rPr>
              <w:color w:val="auto"/>
            </w:rPr>
            <w:fldChar w:fldCharType="begin"/>
          </w:r>
          <w:r>
            <w:instrText xml:space="preserve"> HYPERLINK \l _Toc20556 </w:instrText>
          </w:r>
          <w:r>
            <w:fldChar w:fldCharType="separate"/>
          </w:r>
          <w:r>
            <w:rPr>
              <w:rFonts w:hint="eastAsia"/>
            </w:rPr>
            <w:t>6.2资金筹措</w:t>
          </w:r>
          <w:r>
            <w:tab/>
          </w:r>
          <w:r>
            <w:fldChar w:fldCharType="begin"/>
          </w:r>
          <w:r>
            <w:instrText xml:space="preserve"> PAGEREF _Toc20556 \h </w:instrText>
          </w:r>
          <w:r>
            <w:fldChar w:fldCharType="separate"/>
          </w:r>
          <w:r>
            <w:t>27</w:t>
          </w:r>
          <w:r>
            <w:fldChar w:fldCharType="end"/>
          </w:r>
          <w:r>
            <w:rPr>
              <w:color w:val="auto"/>
            </w:rPr>
            <w:fldChar w:fldCharType="end"/>
          </w:r>
        </w:p>
        <w:p>
          <w:pPr>
            <w:pStyle w:val="12"/>
            <w:tabs>
              <w:tab w:val="right" w:leader="dot" w:pos="8306"/>
            </w:tabs>
          </w:pPr>
          <w:r>
            <w:rPr>
              <w:color w:val="auto"/>
            </w:rPr>
            <w:fldChar w:fldCharType="begin"/>
          </w:r>
          <w:r>
            <w:instrText xml:space="preserve"> HYPERLINK \l _Toc25234 </w:instrText>
          </w:r>
          <w:r>
            <w:fldChar w:fldCharType="separate"/>
          </w:r>
          <w:r>
            <w:rPr>
              <w:rFonts w:hint="eastAsia"/>
              <w:highlight w:val="none"/>
            </w:rPr>
            <w:t>7</w:t>
          </w:r>
          <w:r>
            <w:rPr>
              <w:rFonts w:hint="eastAsia"/>
              <w:highlight w:val="none"/>
              <w:lang w:val="en-US" w:eastAsia="zh-CN"/>
            </w:rPr>
            <w:t xml:space="preserve"> </w:t>
          </w:r>
          <w:r>
            <w:rPr>
              <w:rFonts w:hint="eastAsia"/>
              <w:highlight w:val="none"/>
            </w:rPr>
            <w:t>效益分析</w:t>
          </w:r>
          <w:r>
            <w:tab/>
          </w:r>
          <w:r>
            <w:fldChar w:fldCharType="begin"/>
          </w:r>
          <w:r>
            <w:instrText xml:space="preserve"> PAGEREF _Toc25234 \h </w:instrText>
          </w:r>
          <w:r>
            <w:fldChar w:fldCharType="separate"/>
          </w:r>
          <w:r>
            <w:t>28</w:t>
          </w:r>
          <w:r>
            <w:fldChar w:fldCharType="end"/>
          </w:r>
          <w:r>
            <w:rPr>
              <w:color w:val="auto"/>
            </w:rPr>
            <w:fldChar w:fldCharType="end"/>
          </w:r>
        </w:p>
        <w:p>
          <w:pPr>
            <w:pStyle w:val="13"/>
            <w:tabs>
              <w:tab w:val="right" w:leader="dot" w:pos="8306"/>
            </w:tabs>
          </w:pPr>
          <w:r>
            <w:rPr>
              <w:color w:val="auto"/>
            </w:rPr>
            <w:fldChar w:fldCharType="begin"/>
          </w:r>
          <w:r>
            <w:instrText xml:space="preserve"> HYPERLINK \l _Toc16960 </w:instrText>
          </w:r>
          <w:r>
            <w:fldChar w:fldCharType="separate"/>
          </w:r>
          <w:r>
            <w:rPr>
              <w:rFonts w:hint="eastAsia"/>
            </w:rPr>
            <w:t>7.1经济效益</w:t>
          </w:r>
          <w:r>
            <w:tab/>
          </w:r>
          <w:r>
            <w:fldChar w:fldCharType="begin"/>
          </w:r>
          <w:r>
            <w:instrText xml:space="preserve"> PAGEREF _Toc16960 \h </w:instrText>
          </w:r>
          <w:r>
            <w:fldChar w:fldCharType="separate"/>
          </w:r>
          <w:r>
            <w:t>28</w:t>
          </w:r>
          <w:r>
            <w:fldChar w:fldCharType="end"/>
          </w:r>
          <w:r>
            <w:rPr>
              <w:color w:val="auto"/>
            </w:rPr>
            <w:fldChar w:fldCharType="end"/>
          </w:r>
        </w:p>
        <w:p>
          <w:pPr>
            <w:pStyle w:val="13"/>
            <w:tabs>
              <w:tab w:val="right" w:leader="dot" w:pos="8306"/>
            </w:tabs>
          </w:pPr>
          <w:r>
            <w:rPr>
              <w:color w:val="auto"/>
            </w:rPr>
            <w:fldChar w:fldCharType="begin"/>
          </w:r>
          <w:r>
            <w:instrText xml:space="preserve"> HYPERLINK \l _Toc29862 </w:instrText>
          </w:r>
          <w:r>
            <w:fldChar w:fldCharType="separate"/>
          </w:r>
          <w:r>
            <w:rPr>
              <w:rFonts w:hint="eastAsia"/>
            </w:rPr>
            <w:t>7.2社会效益</w:t>
          </w:r>
          <w:r>
            <w:tab/>
          </w:r>
          <w:r>
            <w:fldChar w:fldCharType="begin"/>
          </w:r>
          <w:r>
            <w:instrText xml:space="preserve"> PAGEREF _Toc29862 \h </w:instrText>
          </w:r>
          <w:r>
            <w:fldChar w:fldCharType="separate"/>
          </w:r>
          <w:r>
            <w:t>28</w:t>
          </w:r>
          <w:r>
            <w:fldChar w:fldCharType="end"/>
          </w:r>
          <w:r>
            <w:rPr>
              <w:color w:val="auto"/>
            </w:rPr>
            <w:fldChar w:fldCharType="end"/>
          </w:r>
        </w:p>
        <w:p>
          <w:pPr>
            <w:pStyle w:val="13"/>
            <w:tabs>
              <w:tab w:val="right" w:leader="dot" w:pos="8306"/>
            </w:tabs>
          </w:pPr>
          <w:r>
            <w:rPr>
              <w:color w:val="auto"/>
            </w:rPr>
            <w:fldChar w:fldCharType="begin"/>
          </w:r>
          <w:r>
            <w:instrText xml:space="preserve"> HYPERLINK \l _Toc27224 </w:instrText>
          </w:r>
          <w:r>
            <w:fldChar w:fldCharType="separate"/>
          </w:r>
          <w:r>
            <w:rPr>
              <w:rFonts w:hint="eastAsia"/>
            </w:rPr>
            <w:t>7.3环境效益</w:t>
          </w:r>
          <w:r>
            <w:tab/>
          </w:r>
          <w:r>
            <w:fldChar w:fldCharType="begin"/>
          </w:r>
          <w:r>
            <w:instrText xml:space="preserve"> PAGEREF _Toc27224 \h </w:instrText>
          </w:r>
          <w:r>
            <w:fldChar w:fldCharType="separate"/>
          </w:r>
          <w:r>
            <w:t>29</w:t>
          </w:r>
          <w:r>
            <w:fldChar w:fldCharType="end"/>
          </w:r>
          <w:r>
            <w:rPr>
              <w:color w:val="auto"/>
            </w:rPr>
            <w:fldChar w:fldCharType="end"/>
          </w:r>
        </w:p>
        <w:p>
          <w:pPr>
            <w:pStyle w:val="12"/>
            <w:tabs>
              <w:tab w:val="right" w:leader="dot" w:pos="8306"/>
            </w:tabs>
          </w:pPr>
          <w:r>
            <w:rPr>
              <w:color w:val="auto"/>
            </w:rPr>
            <w:fldChar w:fldCharType="begin"/>
          </w:r>
          <w:r>
            <w:instrText xml:space="preserve"> HYPERLINK \l _Toc7939 </w:instrText>
          </w:r>
          <w:r>
            <w:fldChar w:fldCharType="separate"/>
          </w:r>
          <w:r>
            <w:rPr>
              <w:rFonts w:hint="eastAsia"/>
            </w:rPr>
            <w:t>8</w:t>
          </w:r>
          <w:r>
            <w:rPr>
              <w:rFonts w:hint="eastAsia"/>
              <w:lang w:val="en-US" w:eastAsia="zh-CN"/>
            </w:rPr>
            <w:t xml:space="preserve"> </w:t>
          </w:r>
          <w:r>
            <w:rPr>
              <w:rFonts w:hint="eastAsia"/>
            </w:rPr>
            <w:t>保障措施</w:t>
          </w:r>
          <w:r>
            <w:tab/>
          </w:r>
          <w:r>
            <w:fldChar w:fldCharType="begin"/>
          </w:r>
          <w:r>
            <w:instrText xml:space="preserve"> PAGEREF _Toc7939 \h </w:instrText>
          </w:r>
          <w:r>
            <w:fldChar w:fldCharType="separate"/>
          </w:r>
          <w:r>
            <w:t>30</w:t>
          </w:r>
          <w:r>
            <w:fldChar w:fldCharType="end"/>
          </w:r>
          <w:r>
            <w:rPr>
              <w:color w:val="auto"/>
            </w:rPr>
            <w:fldChar w:fldCharType="end"/>
          </w:r>
        </w:p>
        <w:p>
          <w:pPr>
            <w:pStyle w:val="13"/>
            <w:tabs>
              <w:tab w:val="right" w:leader="dot" w:pos="8306"/>
            </w:tabs>
          </w:pPr>
          <w:r>
            <w:rPr>
              <w:color w:val="auto"/>
            </w:rPr>
            <w:fldChar w:fldCharType="begin"/>
          </w:r>
          <w:r>
            <w:instrText xml:space="preserve"> HYPERLINK \l _Toc19051 </w:instrText>
          </w:r>
          <w:r>
            <w:fldChar w:fldCharType="separate"/>
          </w:r>
          <w:r>
            <w:rPr>
              <w:rFonts w:hint="eastAsia"/>
            </w:rPr>
            <w:t>8.1加强</w:t>
          </w:r>
          <w:r>
            <w:rPr>
              <w:rFonts w:hint="eastAsia"/>
              <w:lang w:val="en-US" w:eastAsia="zh-CN"/>
            </w:rPr>
            <w:t>组织</w:t>
          </w:r>
          <w:r>
            <w:rPr>
              <w:rFonts w:hint="eastAsia"/>
            </w:rPr>
            <w:t>领导</w:t>
          </w:r>
          <w:r>
            <w:rPr>
              <w:rFonts w:hint="eastAsia"/>
              <w:lang w:eastAsia="zh-CN"/>
            </w:rPr>
            <w:t>、</w:t>
          </w:r>
          <w:r>
            <w:rPr>
              <w:rFonts w:hint="eastAsia"/>
              <w:lang w:val="en-US" w:eastAsia="zh-CN"/>
            </w:rPr>
            <w:t>责任分工</w:t>
          </w:r>
          <w:r>
            <w:tab/>
          </w:r>
          <w:r>
            <w:fldChar w:fldCharType="begin"/>
          </w:r>
          <w:r>
            <w:instrText xml:space="preserve"> PAGEREF _Toc19051 \h </w:instrText>
          </w:r>
          <w:r>
            <w:fldChar w:fldCharType="separate"/>
          </w:r>
          <w:r>
            <w:t>30</w:t>
          </w:r>
          <w:r>
            <w:fldChar w:fldCharType="end"/>
          </w:r>
          <w:r>
            <w:rPr>
              <w:color w:val="auto"/>
            </w:rPr>
            <w:fldChar w:fldCharType="end"/>
          </w:r>
        </w:p>
        <w:p>
          <w:pPr>
            <w:pStyle w:val="13"/>
            <w:tabs>
              <w:tab w:val="right" w:leader="dot" w:pos="8306"/>
            </w:tabs>
          </w:pPr>
          <w:r>
            <w:rPr>
              <w:color w:val="auto"/>
            </w:rPr>
            <w:fldChar w:fldCharType="begin"/>
          </w:r>
          <w:r>
            <w:instrText xml:space="preserve"> HYPERLINK \l _Toc3053 </w:instrText>
          </w:r>
          <w:r>
            <w:fldChar w:fldCharType="separate"/>
          </w:r>
          <w:r>
            <w:rPr>
              <w:rFonts w:hint="eastAsia"/>
            </w:rPr>
            <w:t>8.</w:t>
          </w:r>
          <w:r>
            <w:rPr>
              <w:rFonts w:hint="eastAsia"/>
              <w:lang w:val="en-US" w:eastAsia="zh-CN"/>
            </w:rPr>
            <w:t>2加大政策支持</w:t>
          </w:r>
          <w:r>
            <w:tab/>
          </w:r>
          <w:r>
            <w:fldChar w:fldCharType="begin"/>
          </w:r>
          <w:r>
            <w:instrText xml:space="preserve"> PAGEREF _Toc3053 \h </w:instrText>
          </w:r>
          <w:r>
            <w:fldChar w:fldCharType="separate"/>
          </w:r>
          <w:r>
            <w:t>30</w:t>
          </w:r>
          <w:r>
            <w:fldChar w:fldCharType="end"/>
          </w:r>
          <w:r>
            <w:rPr>
              <w:color w:val="auto"/>
            </w:rPr>
            <w:fldChar w:fldCharType="end"/>
          </w:r>
        </w:p>
        <w:p>
          <w:pPr>
            <w:pStyle w:val="13"/>
            <w:tabs>
              <w:tab w:val="right" w:leader="dot" w:pos="8306"/>
            </w:tabs>
          </w:pPr>
          <w:r>
            <w:rPr>
              <w:color w:val="auto"/>
            </w:rPr>
            <w:fldChar w:fldCharType="begin"/>
          </w:r>
          <w:r>
            <w:instrText xml:space="preserve"> HYPERLINK \l _Toc23657 </w:instrText>
          </w:r>
          <w:r>
            <w:fldChar w:fldCharType="separate"/>
          </w:r>
          <w:r>
            <w:rPr>
              <w:rFonts w:hint="eastAsia" w:ascii="Times New Roman" w:hAnsi="Times New Roman" w:cs="Times New Roman"/>
              <w:highlight w:val="none"/>
              <w:lang w:val="en-US" w:eastAsia="zh-CN"/>
            </w:rPr>
            <w:t>8.</w:t>
          </w:r>
          <w:r>
            <w:rPr>
              <w:rFonts w:hint="eastAsia" w:cs="Times New Roman"/>
              <w:highlight w:val="none"/>
              <w:lang w:val="en-US" w:eastAsia="zh-CN"/>
            </w:rPr>
            <w:t>3强化</w:t>
          </w:r>
          <w:r>
            <w:rPr>
              <w:rFonts w:hint="eastAsia" w:ascii="Times New Roman" w:hAnsi="Times New Roman" w:cs="Times New Roman"/>
              <w:highlight w:val="none"/>
            </w:rPr>
            <w:t>技术</w:t>
          </w:r>
          <w:r>
            <w:rPr>
              <w:rFonts w:hint="eastAsia" w:cs="Times New Roman"/>
              <w:highlight w:val="none"/>
              <w:lang w:val="en-US" w:eastAsia="zh-CN"/>
            </w:rPr>
            <w:t>指导</w:t>
          </w:r>
          <w:r>
            <w:tab/>
          </w:r>
          <w:r>
            <w:fldChar w:fldCharType="begin"/>
          </w:r>
          <w:r>
            <w:instrText xml:space="preserve"> PAGEREF _Toc23657 \h </w:instrText>
          </w:r>
          <w:r>
            <w:fldChar w:fldCharType="separate"/>
          </w:r>
          <w:r>
            <w:t>31</w:t>
          </w:r>
          <w:r>
            <w:fldChar w:fldCharType="end"/>
          </w:r>
          <w:r>
            <w:rPr>
              <w:color w:val="auto"/>
            </w:rPr>
            <w:fldChar w:fldCharType="end"/>
          </w:r>
        </w:p>
        <w:p>
          <w:pPr>
            <w:pStyle w:val="13"/>
            <w:tabs>
              <w:tab w:val="right" w:leader="dot" w:pos="8306"/>
            </w:tabs>
          </w:pPr>
          <w:r>
            <w:rPr>
              <w:color w:val="auto"/>
            </w:rPr>
            <w:fldChar w:fldCharType="begin"/>
          </w:r>
          <w:r>
            <w:instrText xml:space="preserve"> HYPERLINK \l _Toc19297 </w:instrText>
          </w:r>
          <w:r>
            <w:fldChar w:fldCharType="separate"/>
          </w:r>
          <w:r>
            <w:rPr>
              <w:rFonts w:hint="eastAsia"/>
              <w:lang w:val="en-US" w:eastAsia="zh-CN"/>
            </w:rPr>
            <w:t>8.</w:t>
          </w:r>
          <w:r>
            <w:rPr>
              <w:rFonts w:hint="eastAsia"/>
            </w:rPr>
            <w:t>4健全</w:t>
          </w:r>
          <w:r>
            <w:rPr>
              <w:rFonts w:hint="eastAsia"/>
              <w:lang w:val="en-US" w:eastAsia="zh-CN"/>
            </w:rPr>
            <w:t>监督</w:t>
          </w:r>
          <w:r>
            <w:rPr>
              <w:rFonts w:hint="eastAsia"/>
            </w:rPr>
            <w:t>考核</w:t>
          </w:r>
          <w:r>
            <w:tab/>
          </w:r>
          <w:r>
            <w:fldChar w:fldCharType="begin"/>
          </w:r>
          <w:r>
            <w:instrText xml:space="preserve"> PAGEREF _Toc19297 \h </w:instrText>
          </w:r>
          <w:r>
            <w:fldChar w:fldCharType="separate"/>
          </w:r>
          <w:r>
            <w:t>31</w:t>
          </w:r>
          <w:r>
            <w:fldChar w:fldCharType="end"/>
          </w:r>
          <w:r>
            <w:rPr>
              <w:color w:val="auto"/>
            </w:rPr>
            <w:fldChar w:fldCharType="end"/>
          </w:r>
        </w:p>
        <w:p>
          <w:pPr>
            <w:pStyle w:val="13"/>
            <w:tabs>
              <w:tab w:val="right" w:leader="dot" w:pos="8306"/>
            </w:tabs>
          </w:pPr>
          <w:r>
            <w:rPr>
              <w:color w:val="auto"/>
            </w:rPr>
            <w:fldChar w:fldCharType="begin"/>
          </w:r>
          <w:r>
            <w:instrText xml:space="preserve"> HYPERLINK \l _Toc16097 </w:instrText>
          </w:r>
          <w:r>
            <w:fldChar w:fldCharType="separate"/>
          </w:r>
          <w:r>
            <w:rPr>
              <w:rFonts w:hint="eastAsia"/>
            </w:rPr>
            <w:t>8.</w:t>
          </w:r>
          <w:r>
            <w:rPr>
              <w:rFonts w:hint="eastAsia"/>
              <w:lang w:val="en-US" w:eastAsia="zh-CN"/>
            </w:rPr>
            <w:t>5强化</w:t>
          </w:r>
          <w:r>
            <w:rPr>
              <w:rFonts w:hint="eastAsia"/>
            </w:rPr>
            <w:t>宣传</w:t>
          </w:r>
          <w:r>
            <w:rPr>
              <w:rFonts w:hint="eastAsia"/>
              <w:lang w:val="en-US" w:eastAsia="zh-CN"/>
            </w:rPr>
            <w:t>培训</w:t>
          </w:r>
          <w:r>
            <w:tab/>
          </w:r>
          <w:r>
            <w:fldChar w:fldCharType="begin"/>
          </w:r>
          <w:r>
            <w:instrText xml:space="preserve"> PAGEREF _Toc16097 \h </w:instrText>
          </w:r>
          <w:r>
            <w:fldChar w:fldCharType="separate"/>
          </w:r>
          <w:r>
            <w:t>31</w:t>
          </w:r>
          <w:r>
            <w:fldChar w:fldCharType="end"/>
          </w:r>
          <w:r>
            <w:rPr>
              <w:color w:val="auto"/>
            </w:rPr>
            <w:fldChar w:fldCharType="end"/>
          </w:r>
        </w:p>
        <w:p>
          <w:pPr>
            <w:rPr>
              <w:color w:val="auto"/>
            </w:rPr>
          </w:pPr>
          <w:r>
            <w:rPr>
              <w:color w:val="auto"/>
            </w:rPr>
            <w:fldChar w:fldCharType="end"/>
          </w:r>
        </w:p>
      </w:sdtContent>
    </w:sdt>
    <w:p>
      <w:pPr>
        <w:pStyle w:val="4"/>
        <w:bidi w:val="0"/>
        <w:ind w:left="0" w:leftChars="0" w:firstLine="0" w:firstLineChars="0"/>
        <w:jc w:val="center"/>
        <w:rPr>
          <w:rFonts w:hint="eastAsia"/>
          <w:b/>
          <w:bCs w:val="0"/>
          <w:color w:val="auto"/>
          <w:lang w:val="en-US" w:eastAsia="zh-CN"/>
        </w:rPr>
        <w:sectPr>
          <w:headerReference r:id="rId5" w:type="default"/>
          <w:footerReference r:id="rId6" w:type="default"/>
          <w:pgSz w:w="11906" w:h="16838"/>
          <w:pgMar w:top="1440" w:right="1800" w:bottom="1440" w:left="1800" w:header="851" w:footer="992" w:gutter="0"/>
          <w:pgNumType w:fmt="upperRoman" w:start="1"/>
          <w:cols w:space="425" w:num="1"/>
          <w:docGrid w:type="lines" w:linePitch="312" w:charSpace="0"/>
        </w:sectPr>
      </w:pPr>
    </w:p>
    <w:p>
      <w:pPr>
        <w:pStyle w:val="4"/>
        <w:bidi w:val="0"/>
        <w:ind w:left="0" w:leftChars="0" w:firstLine="0" w:firstLineChars="0"/>
        <w:jc w:val="center"/>
        <w:rPr>
          <w:b/>
          <w:bCs w:val="0"/>
          <w:color w:val="auto"/>
        </w:rPr>
      </w:pPr>
      <w:bookmarkStart w:id="9" w:name="_Toc11260"/>
      <w:bookmarkStart w:id="10" w:name="_Toc23661"/>
      <w:r>
        <w:rPr>
          <w:rFonts w:hint="eastAsia"/>
          <w:b/>
          <w:bCs w:val="0"/>
          <w:color w:val="auto"/>
          <w:lang w:val="en-US" w:eastAsia="zh-CN"/>
        </w:rPr>
        <w:t>1</w:t>
      </w:r>
      <w:r>
        <w:rPr>
          <w:rFonts w:hint="eastAsia"/>
          <w:b/>
          <w:bCs w:val="0"/>
          <w:color w:val="auto"/>
        </w:rPr>
        <w:t xml:space="preserve"> 规划总则</w:t>
      </w:r>
      <w:bookmarkEnd w:id="9"/>
      <w:bookmarkEnd w:id="10"/>
    </w:p>
    <w:p>
      <w:pPr>
        <w:pStyle w:val="5"/>
        <w:bidi w:val="0"/>
        <w:rPr>
          <w:color w:val="auto"/>
        </w:rPr>
      </w:pPr>
      <w:bookmarkStart w:id="11" w:name="_Toc19951"/>
      <w:bookmarkStart w:id="12" w:name="_Toc99132317"/>
      <w:bookmarkStart w:id="13" w:name="_Toc14970"/>
      <w:r>
        <w:rPr>
          <w:rFonts w:hint="eastAsia"/>
          <w:color w:val="auto"/>
        </w:rPr>
        <w:t>1</w:t>
      </w:r>
      <w:r>
        <w:rPr>
          <w:color w:val="auto"/>
        </w:rPr>
        <w:t>.</w:t>
      </w:r>
      <w:r>
        <w:rPr>
          <w:rFonts w:hint="eastAsia"/>
          <w:color w:val="auto"/>
          <w:lang w:val="en-US" w:eastAsia="zh-CN"/>
        </w:rPr>
        <w:t>1编制</w:t>
      </w:r>
      <w:r>
        <w:rPr>
          <w:rFonts w:hint="eastAsia"/>
          <w:color w:val="auto"/>
        </w:rPr>
        <w:t>背景</w:t>
      </w:r>
      <w:bookmarkEnd w:id="11"/>
      <w:bookmarkEnd w:id="12"/>
      <w:bookmarkEnd w:id="13"/>
    </w:p>
    <w:p>
      <w:pPr>
        <w:bidi w:val="0"/>
        <w:rPr>
          <w:color w:val="auto"/>
        </w:rPr>
      </w:pPr>
      <w:r>
        <w:rPr>
          <w:rFonts w:hint="eastAsia"/>
          <w:color w:val="auto"/>
          <w:lang w:eastAsia="zh-CN"/>
        </w:rPr>
        <w:t>禹州市是畜牧大县，为</w:t>
      </w:r>
      <w:r>
        <w:rPr>
          <w:rFonts w:hint="eastAsia"/>
          <w:color w:val="auto"/>
        </w:rPr>
        <w:t>进一步规范畜禽养殖业发展，全面加强畜禽养殖污染防治，提高粪污资源化利用水平，根据《畜禽规模养殖污染防治条例》精神，按照生态环境部、农业农村部要求，通过现场调研、实地考察、取样分析、广泛收集资料和充分征求各方意见的基础上，</w:t>
      </w:r>
      <w:r>
        <w:rPr>
          <w:rFonts w:hint="eastAsia"/>
          <w:color w:val="auto"/>
          <w:lang w:val="en-US" w:eastAsia="zh-CN"/>
        </w:rPr>
        <w:t>学习借鉴内乡模式，</w:t>
      </w:r>
      <w:r>
        <w:rPr>
          <w:rFonts w:hint="eastAsia"/>
          <w:color w:val="auto"/>
          <w:lang w:eastAsia="zh-CN"/>
        </w:rPr>
        <w:t>结合禹州市实际，</w:t>
      </w:r>
      <w:r>
        <w:rPr>
          <w:rFonts w:hint="eastAsia"/>
          <w:color w:val="auto"/>
        </w:rPr>
        <w:t>特编制《</w:t>
      </w:r>
      <w:r>
        <w:rPr>
          <w:rFonts w:hint="eastAsia"/>
          <w:color w:val="auto"/>
          <w:lang w:eastAsia="zh-CN"/>
        </w:rPr>
        <w:t>禹州市</w:t>
      </w:r>
      <w:r>
        <w:rPr>
          <w:rFonts w:hint="eastAsia"/>
          <w:color w:val="auto"/>
        </w:rPr>
        <w:t>畜禽养殖污染防治规划》（202</w:t>
      </w:r>
      <w:r>
        <w:rPr>
          <w:color w:val="auto"/>
        </w:rPr>
        <w:t>1</w:t>
      </w:r>
      <w:r>
        <w:rPr>
          <w:rFonts w:hint="eastAsia"/>
          <w:color w:val="auto"/>
        </w:rPr>
        <w:t>-</w:t>
      </w:r>
      <w:r>
        <w:rPr>
          <w:color w:val="auto"/>
        </w:rPr>
        <w:t>2025</w:t>
      </w:r>
      <w:r>
        <w:rPr>
          <w:rFonts w:hint="eastAsia"/>
          <w:color w:val="auto"/>
        </w:rPr>
        <w:t>年）。</w:t>
      </w:r>
    </w:p>
    <w:p>
      <w:pPr>
        <w:pStyle w:val="5"/>
        <w:pageBreakBefore w:val="0"/>
        <w:widowControl w:val="0"/>
        <w:kinsoku/>
        <w:wordWrap/>
        <w:overflowPunct/>
        <w:autoSpaceDE/>
        <w:autoSpaceDN/>
        <w:bidi w:val="0"/>
        <w:spacing w:before="190" w:after="190" w:line="520" w:lineRule="exact"/>
        <w:textAlignment w:val="auto"/>
        <w:rPr>
          <w:color w:val="auto"/>
        </w:rPr>
      </w:pPr>
      <w:bookmarkStart w:id="14" w:name="_Toc99132321"/>
      <w:bookmarkStart w:id="15" w:name="_Toc20712"/>
      <w:bookmarkStart w:id="16" w:name="_Toc21616"/>
      <w:r>
        <w:rPr>
          <w:rFonts w:hint="eastAsia"/>
          <w:color w:val="auto"/>
        </w:rPr>
        <w:t>1</w:t>
      </w:r>
      <w:r>
        <w:rPr>
          <w:color w:val="auto"/>
        </w:rPr>
        <w:t>.</w:t>
      </w:r>
      <w:r>
        <w:rPr>
          <w:rFonts w:hint="eastAsia"/>
          <w:color w:val="auto"/>
          <w:lang w:val="en-US" w:eastAsia="zh-CN"/>
        </w:rPr>
        <w:t>2</w:t>
      </w:r>
      <w:r>
        <w:rPr>
          <w:rFonts w:hint="eastAsia"/>
          <w:color w:val="auto"/>
        </w:rPr>
        <w:t>编制依据</w:t>
      </w:r>
      <w:bookmarkEnd w:id="14"/>
      <w:bookmarkEnd w:id="15"/>
      <w:bookmarkEnd w:id="16"/>
    </w:p>
    <w:p>
      <w:pPr>
        <w:pStyle w:val="6"/>
        <w:pageBreakBefore w:val="0"/>
        <w:widowControl w:val="0"/>
        <w:kinsoku/>
        <w:wordWrap/>
        <w:overflowPunct/>
        <w:autoSpaceDE/>
        <w:autoSpaceDN/>
        <w:bidi w:val="0"/>
        <w:spacing w:line="520" w:lineRule="exact"/>
        <w:textAlignment w:val="auto"/>
        <w:rPr>
          <w:color w:val="auto"/>
        </w:rPr>
      </w:pPr>
      <w:bookmarkStart w:id="17" w:name="_Toc99132322"/>
      <w:r>
        <w:rPr>
          <w:rFonts w:hint="eastAsia"/>
          <w:color w:val="auto"/>
        </w:rPr>
        <w:t>1.</w:t>
      </w:r>
      <w:r>
        <w:rPr>
          <w:rFonts w:hint="eastAsia"/>
          <w:color w:val="auto"/>
          <w:lang w:val="en-US" w:eastAsia="zh-CN"/>
        </w:rPr>
        <w:t>2</w:t>
      </w:r>
      <w:r>
        <w:rPr>
          <w:rFonts w:hint="eastAsia"/>
          <w:color w:val="auto"/>
        </w:rPr>
        <w:t>.1法律法规</w:t>
      </w:r>
      <w:bookmarkEnd w:id="17"/>
    </w:p>
    <w:p>
      <w:pPr>
        <w:numPr>
          <w:ilvl w:val="0"/>
          <w:numId w:val="1"/>
        </w:numPr>
        <w:bidi w:val="0"/>
        <w:rPr>
          <w:rFonts w:hint="eastAsia"/>
          <w:color w:val="0000FF"/>
        </w:rPr>
      </w:pPr>
      <w:r>
        <w:rPr>
          <w:rFonts w:hint="eastAsia"/>
          <w:color w:val="0000FF"/>
          <w:lang w:eastAsia="zh-CN"/>
        </w:rPr>
        <w:t>《</w:t>
      </w:r>
      <w:r>
        <w:rPr>
          <w:rFonts w:hint="eastAsia"/>
          <w:color w:val="0000FF"/>
        </w:rPr>
        <w:t>中华人民共和国</w:t>
      </w:r>
      <w:r>
        <w:rPr>
          <w:rFonts w:hint="eastAsia"/>
          <w:color w:val="0000FF"/>
          <w:lang w:val="en-US" w:eastAsia="zh-CN"/>
        </w:rPr>
        <w:t>环境保护法</w:t>
      </w:r>
      <w:r>
        <w:rPr>
          <w:rFonts w:hint="eastAsia"/>
          <w:color w:val="0000FF"/>
        </w:rPr>
        <w:t>》</w:t>
      </w:r>
    </w:p>
    <w:p>
      <w:pPr>
        <w:numPr>
          <w:ilvl w:val="0"/>
          <w:numId w:val="1"/>
        </w:numPr>
        <w:bidi w:val="0"/>
        <w:rPr>
          <w:rFonts w:hint="eastAsia"/>
          <w:color w:val="0000FF"/>
        </w:rPr>
      </w:pPr>
      <w:r>
        <w:rPr>
          <w:rFonts w:hint="eastAsia"/>
          <w:color w:val="0000FF"/>
        </w:rPr>
        <w:t>《中华人民共和国大气污染防治法》</w:t>
      </w:r>
    </w:p>
    <w:p>
      <w:pPr>
        <w:numPr>
          <w:ilvl w:val="0"/>
          <w:numId w:val="1"/>
        </w:numPr>
        <w:bidi w:val="0"/>
        <w:rPr>
          <w:rFonts w:hint="eastAsia"/>
          <w:color w:val="0000FF"/>
        </w:rPr>
      </w:pPr>
      <w:r>
        <w:rPr>
          <w:rFonts w:hint="eastAsia"/>
          <w:color w:val="0000FF"/>
        </w:rPr>
        <w:t>《中华人民共和国水污染防治法》</w:t>
      </w:r>
    </w:p>
    <w:p>
      <w:pPr>
        <w:numPr>
          <w:ilvl w:val="0"/>
          <w:numId w:val="1"/>
        </w:numPr>
        <w:bidi w:val="0"/>
        <w:rPr>
          <w:rFonts w:hint="eastAsia"/>
          <w:color w:val="0000FF"/>
        </w:rPr>
      </w:pPr>
      <w:r>
        <w:rPr>
          <w:rFonts w:hint="eastAsia"/>
          <w:color w:val="0000FF"/>
        </w:rPr>
        <w:t>《中华人民共和国土壤污染防治法》</w:t>
      </w:r>
    </w:p>
    <w:p>
      <w:pPr>
        <w:numPr>
          <w:ilvl w:val="0"/>
          <w:numId w:val="1"/>
        </w:numPr>
        <w:bidi w:val="0"/>
        <w:rPr>
          <w:rFonts w:hint="eastAsia"/>
          <w:color w:val="0000FF"/>
        </w:rPr>
      </w:pPr>
      <w:r>
        <w:rPr>
          <w:rFonts w:hint="eastAsia"/>
          <w:color w:val="0000FF"/>
        </w:rPr>
        <w:t>《中华人民共和国</w:t>
      </w:r>
      <w:r>
        <w:rPr>
          <w:rFonts w:hint="eastAsia"/>
          <w:color w:val="0000FF"/>
          <w:lang w:val="en-US" w:eastAsia="zh-CN"/>
        </w:rPr>
        <w:t>固体废物污染环境防治法</w:t>
      </w:r>
      <w:r>
        <w:rPr>
          <w:rFonts w:hint="eastAsia"/>
          <w:color w:val="0000FF"/>
        </w:rPr>
        <w:t>》</w:t>
      </w:r>
    </w:p>
    <w:p>
      <w:pPr>
        <w:numPr>
          <w:ilvl w:val="0"/>
          <w:numId w:val="1"/>
        </w:numPr>
        <w:bidi w:val="0"/>
        <w:rPr>
          <w:rFonts w:hint="eastAsia"/>
          <w:color w:val="auto"/>
        </w:rPr>
      </w:pPr>
      <w:r>
        <w:rPr>
          <w:rFonts w:hint="eastAsia"/>
          <w:color w:val="auto"/>
        </w:rPr>
        <w:t>《中华人民共和国畜牧法》</w:t>
      </w:r>
    </w:p>
    <w:p>
      <w:pPr>
        <w:numPr>
          <w:ilvl w:val="0"/>
          <w:numId w:val="1"/>
        </w:numPr>
        <w:bidi w:val="0"/>
        <w:rPr>
          <w:rFonts w:hint="eastAsia"/>
          <w:color w:val="auto"/>
        </w:rPr>
      </w:pPr>
      <w:r>
        <w:rPr>
          <w:rFonts w:hint="eastAsia"/>
          <w:color w:val="auto"/>
        </w:rPr>
        <w:t>《中华人民共和国动物防疫法》</w:t>
      </w:r>
    </w:p>
    <w:p>
      <w:pPr>
        <w:numPr>
          <w:ilvl w:val="0"/>
          <w:numId w:val="1"/>
        </w:numPr>
        <w:bidi w:val="0"/>
        <w:rPr>
          <w:rFonts w:hint="eastAsia"/>
          <w:color w:val="auto"/>
        </w:rPr>
      </w:pPr>
      <w:r>
        <w:rPr>
          <w:rFonts w:hint="eastAsia"/>
          <w:color w:val="auto"/>
        </w:rPr>
        <w:t>《畜禽规模养殖污染防治条例》</w:t>
      </w:r>
    </w:p>
    <w:p>
      <w:pPr>
        <w:numPr>
          <w:ilvl w:val="0"/>
          <w:numId w:val="1"/>
        </w:numPr>
        <w:bidi w:val="0"/>
        <w:rPr>
          <w:rFonts w:hint="eastAsia"/>
          <w:color w:val="auto"/>
          <w:lang w:eastAsia="zh-CN"/>
        </w:rPr>
      </w:pPr>
      <w:r>
        <w:rPr>
          <w:rFonts w:hint="eastAsia"/>
          <w:color w:val="auto"/>
          <w:lang w:eastAsia="zh-CN"/>
        </w:rPr>
        <w:t>《河南省水污染防治条例》</w:t>
      </w:r>
    </w:p>
    <w:p>
      <w:pPr>
        <w:numPr>
          <w:ilvl w:val="0"/>
          <w:numId w:val="1"/>
        </w:numPr>
        <w:bidi w:val="0"/>
        <w:rPr>
          <w:rFonts w:hint="eastAsia"/>
          <w:color w:val="auto"/>
          <w:lang w:eastAsia="zh-CN"/>
        </w:rPr>
      </w:pPr>
      <w:r>
        <w:rPr>
          <w:rFonts w:hint="eastAsia"/>
          <w:color w:val="auto"/>
          <w:lang w:eastAsia="zh-CN"/>
        </w:rPr>
        <w:t>《河南省土壤污染防治条例》</w:t>
      </w:r>
    </w:p>
    <w:p>
      <w:pPr>
        <w:numPr>
          <w:ilvl w:val="0"/>
          <w:numId w:val="1"/>
        </w:numPr>
        <w:bidi w:val="0"/>
        <w:rPr>
          <w:rFonts w:hint="eastAsia"/>
          <w:color w:val="auto"/>
          <w:lang w:eastAsia="zh-CN"/>
        </w:rPr>
      </w:pPr>
      <w:r>
        <w:rPr>
          <w:rFonts w:hint="eastAsia"/>
          <w:color w:val="auto"/>
          <w:lang w:eastAsia="zh-CN"/>
        </w:rPr>
        <w:t>《河南省固体废物污染环境防治条例》</w:t>
      </w:r>
    </w:p>
    <w:p>
      <w:pPr>
        <w:pStyle w:val="6"/>
        <w:pageBreakBefore w:val="0"/>
        <w:widowControl w:val="0"/>
        <w:kinsoku/>
        <w:wordWrap/>
        <w:overflowPunct/>
        <w:autoSpaceDE/>
        <w:autoSpaceDN/>
        <w:bidi w:val="0"/>
        <w:spacing w:line="520" w:lineRule="exact"/>
        <w:textAlignment w:val="auto"/>
        <w:rPr>
          <w:color w:val="auto"/>
        </w:rPr>
      </w:pPr>
      <w:bookmarkStart w:id="18" w:name="_Toc99132323"/>
      <w:r>
        <w:rPr>
          <w:rFonts w:hint="eastAsia"/>
          <w:color w:val="auto"/>
        </w:rPr>
        <w:t>1</w:t>
      </w:r>
      <w:r>
        <w:rPr>
          <w:rFonts w:hint="eastAsia"/>
          <w:color w:val="auto"/>
          <w:lang w:eastAsia="zh-CN"/>
        </w:rPr>
        <w:t>.</w:t>
      </w:r>
      <w:r>
        <w:rPr>
          <w:rFonts w:hint="eastAsia"/>
          <w:color w:val="auto"/>
          <w:lang w:val="en-US" w:eastAsia="zh-CN"/>
        </w:rPr>
        <w:t>2</w:t>
      </w:r>
      <w:r>
        <w:rPr>
          <w:rFonts w:hint="eastAsia"/>
          <w:color w:val="auto"/>
        </w:rPr>
        <w:t>.2规范和标准</w:t>
      </w:r>
      <w:bookmarkEnd w:id="18"/>
    </w:p>
    <w:p>
      <w:pPr>
        <w:numPr>
          <w:ilvl w:val="0"/>
          <w:numId w:val="2"/>
        </w:numPr>
        <w:bidi w:val="0"/>
        <w:rPr>
          <w:rFonts w:hint="eastAsia"/>
          <w:color w:val="auto"/>
          <w:lang w:val="en-US" w:eastAsia="zh-CN"/>
        </w:rPr>
      </w:pPr>
      <w:bookmarkStart w:id="19" w:name="_Toc99132324"/>
      <w:r>
        <w:rPr>
          <w:rFonts w:hint="eastAsia"/>
          <w:color w:val="auto"/>
        </w:rPr>
        <w:t>《</w:t>
      </w:r>
      <w:r>
        <w:rPr>
          <w:rFonts w:hint="eastAsia"/>
          <w:color w:val="auto"/>
          <w:lang w:val="en-US" w:eastAsia="zh-CN"/>
        </w:rPr>
        <w:t>农田灌溉水质标准</w:t>
      </w:r>
      <w:r>
        <w:rPr>
          <w:rFonts w:hint="eastAsia"/>
          <w:color w:val="auto"/>
        </w:rPr>
        <w:t>》</w:t>
      </w:r>
      <w:r>
        <w:rPr>
          <w:rFonts w:hint="eastAsia"/>
          <w:color w:val="auto"/>
          <w:lang w:eastAsia="zh-CN"/>
        </w:rPr>
        <w:t>（</w:t>
      </w:r>
      <w:r>
        <w:rPr>
          <w:rFonts w:hint="eastAsia"/>
          <w:color w:val="auto"/>
        </w:rPr>
        <w:t xml:space="preserve">GB </w:t>
      </w:r>
      <w:r>
        <w:rPr>
          <w:rFonts w:hint="eastAsia"/>
          <w:color w:val="auto"/>
          <w:lang w:val="en-US" w:eastAsia="zh-CN"/>
        </w:rPr>
        <w:t>5084）</w:t>
      </w:r>
    </w:p>
    <w:p>
      <w:pPr>
        <w:numPr>
          <w:ilvl w:val="0"/>
          <w:numId w:val="2"/>
        </w:numPr>
        <w:bidi w:val="0"/>
        <w:rPr>
          <w:rFonts w:hint="eastAsia"/>
          <w:color w:val="auto"/>
          <w:lang w:val="en-US" w:eastAsia="zh-CN"/>
        </w:rPr>
      </w:pPr>
      <w:r>
        <w:rPr>
          <w:rFonts w:hint="eastAsia"/>
          <w:color w:val="auto"/>
        </w:rPr>
        <w:t>《土壤环境质量农用地土壤污染风险管控标准（试行）》</w:t>
      </w:r>
      <w:r>
        <w:rPr>
          <w:rFonts w:hint="eastAsia"/>
          <w:color w:val="auto"/>
          <w:lang w:eastAsia="zh-CN"/>
        </w:rPr>
        <w:t>（</w:t>
      </w:r>
      <w:r>
        <w:rPr>
          <w:rFonts w:hint="eastAsia"/>
          <w:color w:val="auto"/>
        </w:rPr>
        <w:t>GB 15618</w:t>
      </w:r>
      <w:r>
        <w:rPr>
          <w:rFonts w:hint="eastAsia"/>
          <w:color w:val="auto"/>
          <w:lang w:val="en-US" w:eastAsia="zh-CN"/>
        </w:rPr>
        <w:t>）</w:t>
      </w:r>
    </w:p>
    <w:p>
      <w:pPr>
        <w:numPr>
          <w:ilvl w:val="0"/>
          <w:numId w:val="2"/>
        </w:numPr>
        <w:bidi w:val="0"/>
        <w:rPr>
          <w:rFonts w:hint="eastAsia"/>
          <w:color w:val="auto"/>
        </w:rPr>
      </w:pPr>
      <w:r>
        <w:rPr>
          <w:rFonts w:hint="eastAsia"/>
          <w:color w:val="auto"/>
        </w:rPr>
        <w:t>《畜禽养殖业污染物排放标准》（GB 18596）</w:t>
      </w:r>
    </w:p>
    <w:p>
      <w:pPr>
        <w:numPr>
          <w:ilvl w:val="0"/>
          <w:numId w:val="2"/>
        </w:numPr>
        <w:bidi w:val="0"/>
        <w:rPr>
          <w:rFonts w:hint="eastAsia"/>
          <w:color w:val="auto"/>
        </w:rPr>
      </w:pPr>
      <w:r>
        <w:rPr>
          <w:rFonts w:hint="eastAsia"/>
          <w:color w:val="auto"/>
          <w:lang w:eastAsia="zh-CN"/>
        </w:rPr>
        <w:t>《</w:t>
      </w:r>
      <w:r>
        <w:rPr>
          <w:rFonts w:hint="eastAsia"/>
          <w:color w:val="auto"/>
          <w:lang w:val="en-US" w:eastAsia="zh-CN"/>
        </w:rPr>
        <w:t>有机-无机复混肥料》（GB/T 18877）</w:t>
      </w:r>
    </w:p>
    <w:p>
      <w:pPr>
        <w:numPr>
          <w:ilvl w:val="0"/>
          <w:numId w:val="2"/>
        </w:numPr>
        <w:bidi w:val="0"/>
        <w:rPr>
          <w:rFonts w:hint="eastAsia"/>
          <w:color w:val="auto"/>
        </w:rPr>
      </w:pPr>
      <w:r>
        <w:rPr>
          <w:rFonts w:hint="eastAsia"/>
          <w:color w:val="auto"/>
        </w:rPr>
        <w:t>《畜禽粪便</w:t>
      </w:r>
      <w:r>
        <w:rPr>
          <w:rFonts w:hint="eastAsia"/>
          <w:color w:val="auto"/>
          <w:lang w:val="en-US" w:eastAsia="zh-CN"/>
        </w:rPr>
        <w:t>监测技术</w:t>
      </w:r>
      <w:r>
        <w:rPr>
          <w:rFonts w:hint="eastAsia"/>
          <w:color w:val="auto"/>
        </w:rPr>
        <w:t>规范》（GB/T 25</w:t>
      </w:r>
      <w:r>
        <w:rPr>
          <w:rFonts w:hint="eastAsia"/>
          <w:color w:val="auto"/>
          <w:lang w:val="en-US" w:eastAsia="zh-CN"/>
        </w:rPr>
        <w:t>169</w:t>
      </w:r>
      <w:r>
        <w:rPr>
          <w:rFonts w:hint="eastAsia"/>
          <w:color w:val="auto"/>
        </w:rPr>
        <w:t>）</w:t>
      </w:r>
    </w:p>
    <w:p>
      <w:pPr>
        <w:numPr>
          <w:ilvl w:val="0"/>
          <w:numId w:val="2"/>
        </w:numPr>
        <w:bidi w:val="0"/>
        <w:rPr>
          <w:rFonts w:hint="eastAsia"/>
          <w:color w:val="auto"/>
        </w:rPr>
      </w:pPr>
      <w:r>
        <w:rPr>
          <w:rFonts w:hint="eastAsia"/>
          <w:color w:val="auto"/>
        </w:rPr>
        <w:t>《畜禽粪便还田技术规范》（GB/T 25246）</w:t>
      </w:r>
    </w:p>
    <w:p>
      <w:pPr>
        <w:numPr>
          <w:ilvl w:val="0"/>
          <w:numId w:val="2"/>
        </w:numPr>
        <w:bidi w:val="0"/>
        <w:rPr>
          <w:rFonts w:hint="eastAsia"/>
          <w:color w:val="auto"/>
        </w:rPr>
      </w:pPr>
      <w:r>
        <w:rPr>
          <w:rFonts w:hint="eastAsia"/>
          <w:color w:val="auto"/>
        </w:rPr>
        <w:t>《畜禽</w:t>
      </w:r>
      <w:r>
        <w:rPr>
          <w:rFonts w:hint="eastAsia"/>
          <w:color w:val="auto"/>
          <w:lang w:val="en-US" w:eastAsia="zh-CN"/>
        </w:rPr>
        <w:t>养殖污水贮存设施设计要求</w:t>
      </w:r>
      <w:r>
        <w:rPr>
          <w:rFonts w:hint="eastAsia"/>
          <w:color w:val="auto"/>
        </w:rPr>
        <w:t>》（GB/T 2</w:t>
      </w:r>
      <w:r>
        <w:rPr>
          <w:rFonts w:hint="eastAsia"/>
          <w:color w:val="auto"/>
          <w:lang w:val="en-US" w:eastAsia="zh-CN"/>
        </w:rPr>
        <w:t>6624</w:t>
      </w:r>
      <w:r>
        <w:rPr>
          <w:rFonts w:hint="eastAsia"/>
          <w:color w:val="auto"/>
        </w:rPr>
        <w:t>）</w:t>
      </w:r>
    </w:p>
    <w:p>
      <w:pPr>
        <w:numPr>
          <w:ilvl w:val="0"/>
          <w:numId w:val="2"/>
        </w:numPr>
        <w:bidi w:val="0"/>
        <w:rPr>
          <w:rFonts w:hint="eastAsia"/>
          <w:color w:val="auto"/>
        </w:rPr>
      </w:pPr>
      <w:r>
        <w:rPr>
          <w:rFonts w:hint="eastAsia"/>
          <w:color w:val="auto"/>
        </w:rPr>
        <w:t>《畜禽</w:t>
      </w:r>
      <w:r>
        <w:rPr>
          <w:rFonts w:hint="eastAsia"/>
          <w:color w:val="auto"/>
          <w:lang w:val="en-US" w:eastAsia="zh-CN"/>
        </w:rPr>
        <w:t>养殖污水采样技术规范</w:t>
      </w:r>
      <w:r>
        <w:rPr>
          <w:rFonts w:hint="eastAsia"/>
          <w:color w:val="auto"/>
        </w:rPr>
        <w:t>》（GB/T 2</w:t>
      </w:r>
      <w:r>
        <w:rPr>
          <w:rFonts w:hint="eastAsia"/>
          <w:color w:val="auto"/>
          <w:lang w:val="en-US" w:eastAsia="zh-CN"/>
        </w:rPr>
        <w:t>7522</w:t>
      </w:r>
      <w:r>
        <w:rPr>
          <w:rFonts w:hint="eastAsia"/>
          <w:color w:val="auto"/>
        </w:rPr>
        <w:t>）</w:t>
      </w:r>
    </w:p>
    <w:p>
      <w:pPr>
        <w:numPr>
          <w:ilvl w:val="0"/>
          <w:numId w:val="2"/>
        </w:numPr>
        <w:bidi w:val="0"/>
        <w:rPr>
          <w:rFonts w:hint="eastAsia"/>
          <w:color w:val="auto"/>
        </w:rPr>
      </w:pPr>
      <w:r>
        <w:rPr>
          <w:rFonts w:hint="eastAsia"/>
          <w:color w:val="auto"/>
        </w:rPr>
        <w:t>《畜禽</w:t>
      </w:r>
      <w:r>
        <w:rPr>
          <w:rFonts w:hint="eastAsia"/>
          <w:color w:val="auto"/>
          <w:lang w:val="en-US" w:eastAsia="zh-CN"/>
        </w:rPr>
        <w:t>粪便贮存设施设计要求</w:t>
      </w:r>
      <w:r>
        <w:rPr>
          <w:rFonts w:hint="eastAsia"/>
          <w:color w:val="auto"/>
        </w:rPr>
        <w:t>》（GB/T 2</w:t>
      </w:r>
      <w:r>
        <w:rPr>
          <w:rFonts w:hint="eastAsia"/>
          <w:color w:val="auto"/>
          <w:lang w:val="en-US" w:eastAsia="zh-CN"/>
        </w:rPr>
        <w:t>7622</w:t>
      </w:r>
      <w:r>
        <w:rPr>
          <w:rFonts w:hint="eastAsia"/>
          <w:color w:val="auto"/>
        </w:rPr>
        <w:t>）</w:t>
      </w:r>
    </w:p>
    <w:p>
      <w:pPr>
        <w:numPr>
          <w:ilvl w:val="0"/>
          <w:numId w:val="2"/>
        </w:numPr>
        <w:bidi w:val="0"/>
        <w:rPr>
          <w:rFonts w:hint="eastAsia"/>
          <w:color w:val="auto"/>
        </w:rPr>
      </w:pPr>
      <w:r>
        <w:rPr>
          <w:rFonts w:hint="eastAsia"/>
          <w:color w:val="auto"/>
        </w:rPr>
        <w:t>《畜禽粪便无害化处理技术规范》（GB/T 36195）</w:t>
      </w:r>
    </w:p>
    <w:p>
      <w:pPr>
        <w:numPr>
          <w:ilvl w:val="0"/>
          <w:numId w:val="2"/>
        </w:numPr>
        <w:bidi w:val="0"/>
        <w:rPr>
          <w:rFonts w:hint="eastAsia"/>
          <w:color w:val="auto"/>
        </w:rPr>
      </w:pPr>
      <w:r>
        <w:rPr>
          <w:rFonts w:hint="eastAsia"/>
          <w:color w:val="auto"/>
        </w:rPr>
        <w:t>《畜禽养殖业污染治理工程技术规范》（HJ 497）</w:t>
      </w:r>
    </w:p>
    <w:p>
      <w:pPr>
        <w:numPr>
          <w:ilvl w:val="0"/>
          <w:numId w:val="2"/>
        </w:numPr>
        <w:bidi w:val="0"/>
        <w:rPr>
          <w:rFonts w:hint="eastAsia"/>
          <w:color w:val="auto"/>
          <w:lang w:eastAsia="zh-CN"/>
        </w:rPr>
      </w:pPr>
      <w:r>
        <w:rPr>
          <w:rFonts w:hint="eastAsia"/>
          <w:color w:val="auto"/>
        </w:rPr>
        <w:t xml:space="preserve">《排污许可证申请与核发技术规范 畜禽养殖行业》（HJ </w:t>
      </w:r>
      <w:r>
        <w:rPr>
          <w:rFonts w:hint="eastAsia"/>
          <w:color w:val="auto"/>
          <w:lang w:val="en-US" w:eastAsia="zh-CN"/>
        </w:rPr>
        <w:t>1</w:t>
      </w:r>
      <w:r>
        <w:rPr>
          <w:rFonts w:hint="eastAsia"/>
          <w:color w:val="auto"/>
        </w:rPr>
        <w:t>029）</w:t>
      </w:r>
    </w:p>
    <w:p>
      <w:pPr>
        <w:numPr>
          <w:ilvl w:val="0"/>
          <w:numId w:val="2"/>
        </w:numPr>
        <w:bidi w:val="0"/>
        <w:rPr>
          <w:rFonts w:hint="eastAsia"/>
          <w:color w:val="auto"/>
        </w:rPr>
      </w:pPr>
      <w:r>
        <w:rPr>
          <w:rFonts w:hint="eastAsia"/>
          <w:color w:val="auto"/>
        </w:rPr>
        <w:t>《畜禽养殖业污染防治技术规范》（HJ/T 81）</w:t>
      </w:r>
    </w:p>
    <w:p>
      <w:pPr>
        <w:numPr>
          <w:ilvl w:val="0"/>
          <w:numId w:val="2"/>
        </w:numPr>
        <w:bidi w:val="0"/>
        <w:rPr>
          <w:rFonts w:hint="default"/>
          <w:color w:val="auto"/>
          <w:lang w:val="en-US" w:eastAsia="zh-CN"/>
        </w:rPr>
      </w:pPr>
      <w:r>
        <w:rPr>
          <w:rFonts w:hint="eastAsia"/>
          <w:color w:val="auto"/>
          <w:lang w:eastAsia="zh-CN"/>
        </w:rPr>
        <w:t>《</w:t>
      </w:r>
      <w:r>
        <w:rPr>
          <w:rFonts w:hint="eastAsia"/>
          <w:color w:val="auto"/>
          <w:lang w:val="en-US" w:eastAsia="zh-CN"/>
        </w:rPr>
        <w:t>有机肥料</w:t>
      </w:r>
      <w:r>
        <w:rPr>
          <w:rFonts w:hint="eastAsia"/>
          <w:color w:val="auto"/>
          <w:lang w:eastAsia="zh-CN"/>
        </w:rPr>
        <w:t>》（NY</w:t>
      </w:r>
      <w:r>
        <w:rPr>
          <w:rFonts w:hint="eastAsia"/>
          <w:color w:val="auto"/>
          <w:lang w:val="en-US" w:eastAsia="zh-CN"/>
        </w:rPr>
        <w:t>/</w:t>
      </w:r>
      <w:r>
        <w:rPr>
          <w:rFonts w:hint="eastAsia"/>
          <w:color w:val="auto"/>
          <w:lang w:eastAsia="zh-CN"/>
        </w:rPr>
        <w:t>T</w:t>
      </w:r>
      <w:r>
        <w:rPr>
          <w:rFonts w:hint="eastAsia"/>
          <w:color w:val="auto"/>
          <w:lang w:val="en-US" w:eastAsia="zh-CN"/>
        </w:rPr>
        <w:t xml:space="preserve"> 525</w:t>
      </w:r>
      <w:r>
        <w:rPr>
          <w:rFonts w:hint="eastAsia"/>
          <w:color w:val="auto"/>
          <w:lang w:eastAsia="zh-CN"/>
        </w:rPr>
        <w:t>）</w:t>
      </w:r>
    </w:p>
    <w:p>
      <w:pPr>
        <w:numPr>
          <w:ilvl w:val="0"/>
          <w:numId w:val="2"/>
        </w:numPr>
        <w:bidi w:val="0"/>
        <w:rPr>
          <w:rFonts w:hint="default"/>
          <w:color w:val="auto"/>
          <w:lang w:val="en-US" w:eastAsia="zh-CN"/>
        </w:rPr>
      </w:pPr>
      <w:r>
        <w:rPr>
          <w:rFonts w:hint="eastAsia"/>
          <w:color w:val="auto"/>
          <w:lang w:val="en-US" w:eastAsia="zh-CN"/>
        </w:rPr>
        <w:t>《畜禽场环境污染控制技术规范》（</w:t>
      </w:r>
      <w:r>
        <w:rPr>
          <w:rFonts w:hint="eastAsia"/>
          <w:color w:val="auto"/>
          <w:lang w:eastAsia="zh-CN"/>
        </w:rPr>
        <w:t>NY</w:t>
      </w:r>
      <w:r>
        <w:rPr>
          <w:rFonts w:hint="eastAsia"/>
          <w:color w:val="auto"/>
          <w:lang w:val="en-US" w:eastAsia="zh-CN"/>
        </w:rPr>
        <w:t>/</w:t>
      </w:r>
      <w:r>
        <w:rPr>
          <w:rFonts w:hint="eastAsia"/>
          <w:color w:val="auto"/>
          <w:lang w:eastAsia="zh-CN"/>
        </w:rPr>
        <w:t>T</w:t>
      </w:r>
      <w:r>
        <w:rPr>
          <w:rFonts w:hint="eastAsia"/>
          <w:color w:val="auto"/>
          <w:lang w:val="en-US" w:eastAsia="zh-CN"/>
        </w:rPr>
        <w:t xml:space="preserve"> 1169）</w:t>
      </w:r>
    </w:p>
    <w:p>
      <w:pPr>
        <w:numPr>
          <w:ilvl w:val="0"/>
          <w:numId w:val="2"/>
        </w:numPr>
        <w:bidi w:val="0"/>
        <w:rPr>
          <w:rFonts w:hint="default"/>
          <w:color w:val="auto"/>
          <w:lang w:val="en-US" w:eastAsia="zh-CN"/>
        </w:rPr>
      </w:pPr>
      <w:r>
        <w:rPr>
          <w:rFonts w:hint="eastAsia"/>
          <w:color w:val="auto"/>
          <w:lang w:eastAsia="zh-CN"/>
        </w:rPr>
        <w:t>《沼肥施用技术规范》（NY</w:t>
      </w:r>
      <w:r>
        <w:rPr>
          <w:rFonts w:hint="eastAsia"/>
          <w:color w:val="auto"/>
          <w:lang w:val="en-US" w:eastAsia="zh-CN"/>
        </w:rPr>
        <w:t>/</w:t>
      </w:r>
      <w:r>
        <w:rPr>
          <w:rFonts w:hint="eastAsia"/>
          <w:color w:val="auto"/>
          <w:lang w:eastAsia="zh-CN"/>
        </w:rPr>
        <w:t>T</w:t>
      </w:r>
      <w:r>
        <w:rPr>
          <w:rFonts w:hint="eastAsia"/>
          <w:color w:val="auto"/>
          <w:lang w:val="en-US" w:eastAsia="zh-CN"/>
        </w:rPr>
        <w:t xml:space="preserve"> </w:t>
      </w:r>
      <w:r>
        <w:rPr>
          <w:rFonts w:hint="eastAsia"/>
          <w:color w:val="auto"/>
          <w:lang w:eastAsia="zh-CN"/>
        </w:rPr>
        <w:t>2065）</w:t>
      </w:r>
    </w:p>
    <w:p>
      <w:pPr>
        <w:numPr>
          <w:ilvl w:val="0"/>
          <w:numId w:val="2"/>
        </w:numPr>
        <w:bidi w:val="0"/>
      </w:pPr>
      <w:r>
        <w:rPr>
          <w:rFonts w:ascii="仿宋" w:hAnsi="仿宋" w:eastAsia="仿宋" w:cs="仿宋"/>
          <w:color w:val="000000"/>
          <w:kern w:val="0"/>
          <w:sz w:val="28"/>
          <w:szCs w:val="28"/>
          <w:lang w:val="en-US" w:eastAsia="zh-CN" w:bidi="ar"/>
        </w:rPr>
        <w:t>《畜禽粪便堆肥技术规范》（</w:t>
      </w:r>
      <w:r>
        <w:rPr>
          <w:rFonts w:hint="default" w:ascii="Times New Roman" w:hAnsi="Times New Roman" w:eastAsia="宋体" w:cs="Times New Roman"/>
          <w:color w:val="000000"/>
          <w:kern w:val="0"/>
          <w:sz w:val="28"/>
          <w:szCs w:val="28"/>
          <w:lang w:val="en-US" w:eastAsia="zh-CN" w:bidi="ar"/>
        </w:rPr>
        <w:t>HY/T</w:t>
      </w:r>
      <w:r>
        <w:rPr>
          <w:rFonts w:hint="eastAsia" w:ascii="Times New Roman" w:hAnsi="Times New Roman" w:eastAsia="宋体" w:cs="Times New Roman"/>
          <w:color w:val="000000"/>
          <w:kern w:val="0"/>
          <w:sz w:val="28"/>
          <w:szCs w:val="28"/>
          <w:lang w:val="en-US" w:eastAsia="zh-CN" w:bidi="ar"/>
        </w:rPr>
        <w:t xml:space="preserve"> </w:t>
      </w:r>
      <w:r>
        <w:rPr>
          <w:rFonts w:hint="default" w:ascii="Times New Roman" w:hAnsi="Times New Roman" w:eastAsia="宋体" w:cs="Times New Roman"/>
          <w:color w:val="000000"/>
          <w:kern w:val="0"/>
          <w:sz w:val="28"/>
          <w:szCs w:val="28"/>
          <w:lang w:val="en-US" w:eastAsia="zh-CN" w:bidi="ar"/>
        </w:rPr>
        <w:t>3442</w:t>
      </w:r>
      <w:r>
        <w:rPr>
          <w:rFonts w:hint="eastAsia" w:ascii="仿宋" w:hAnsi="仿宋" w:eastAsia="仿宋" w:cs="仿宋"/>
          <w:color w:val="000000"/>
          <w:kern w:val="0"/>
          <w:sz w:val="28"/>
          <w:szCs w:val="28"/>
          <w:lang w:val="en-US" w:eastAsia="zh-CN" w:bidi="ar"/>
        </w:rPr>
        <w:t>）</w:t>
      </w:r>
    </w:p>
    <w:p>
      <w:pPr>
        <w:numPr>
          <w:ilvl w:val="0"/>
          <w:numId w:val="2"/>
        </w:numPr>
        <w:bidi w:val="0"/>
        <w:rPr>
          <w:rFonts w:hint="eastAsia"/>
          <w:color w:val="auto"/>
        </w:rPr>
      </w:pPr>
      <w:r>
        <w:rPr>
          <w:rFonts w:hint="eastAsia"/>
          <w:color w:val="auto"/>
        </w:rPr>
        <w:t>《畜禽粪便土地承载力测算方法》（NY/T 3877）</w:t>
      </w:r>
    </w:p>
    <w:p>
      <w:pPr>
        <w:pStyle w:val="6"/>
        <w:bidi w:val="0"/>
        <w:rPr>
          <w:color w:val="auto"/>
        </w:rPr>
      </w:pPr>
      <w:r>
        <w:rPr>
          <w:rFonts w:hint="eastAsia"/>
          <w:color w:val="auto"/>
        </w:rPr>
        <w:t>1.</w:t>
      </w:r>
      <w:r>
        <w:rPr>
          <w:rFonts w:hint="eastAsia"/>
          <w:color w:val="auto"/>
          <w:lang w:val="en-US" w:eastAsia="zh-CN"/>
        </w:rPr>
        <w:t>2</w:t>
      </w:r>
      <w:r>
        <w:rPr>
          <w:rFonts w:hint="eastAsia"/>
          <w:color w:val="auto"/>
        </w:rPr>
        <w:t>.3政策文件</w:t>
      </w:r>
      <w:bookmarkEnd w:id="19"/>
    </w:p>
    <w:p>
      <w:pPr>
        <w:bidi w:val="0"/>
        <w:rPr>
          <w:rFonts w:hint="eastAsia"/>
          <w:color w:val="auto"/>
        </w:rPr>
      </w:pPr>
      <w:r>
        <w:rPr>
          <w:rFonts w:hint="eastAsia"/>
          <w:color w:val="auto"/>
        </w:rPr>
        <w:t>（1）《国务院办公厅关于加快推进畜禽养殖废弃物资源化利用的意见》（国办发〔2017〕48号）</w:t>
      </w:r>
    </w:p>
    <w:p>
      <w:pPr>
        <w:bidi w:val="0"/>
        <w:rPr>
          <w:rFonts w:hint="eastAsia"/>
          <w:color w:val="auto"/>
        </w:rPr>
      </w:pPr>
      <w:r>
        <w:rPr>
          <w:rFonts w:hint="eastAsia"/>
          <w:color w:val="auto"/>
        </w:rPr>
        <w:t>（2）《农业面源污染治理与监督指导实施方案（试行）》（环办土壤〔2021〕8号）</w:t>
      </w:r>
    </w:p>
    <w:p>
      <w:pPr>
        <w:bidi w:val="0"/>
        <w:rPr>
          <w:rFonts w:hint="eastAsia"/>
          <w:color w:val="auto"/>
        </w:rPr>
      </w:pPr>
      <w:r>
        <w:rPr>
          <w:rFonts w:hint="eastAsia"/>
          <w:color w:val="auto"/>
        </w:rPr>
        <w:t>（3）《关于印发〈畜禽养殖污染防治规划编制指南（试行）&gt;的通知》（环办土壤函〔2021〕465号）</w:t>
      </w:r>
    </w:p>
    <w:p>
      <w:pPr>
        <w:bidi w:val="0"/>
        <w:rPr>
          <w:rFonts w:hint="eastAsia"/>
          <w:color w:val="auto"/>
          <w:lang w:eastAsia="zh-CN"/>
        </w:rPr>
      </w:pPr>
      <w:r>
        <w:rPr>
          <w:rFonts w:hint="eastAsia"/>
          <w:color w:val="auto"/>
        </w:rPr>
        <w:t>（4）《关于开展水环境承载力评价工作的通知》（环办水体函〔2020〕538号）</w:t>
      </w:r>
    </w:p>
    <w:p>
      <w:pPr>
        <w:bidi w:val="0"/>
        <w:rPr>
          <w:rFonts w:hint="eastAsia" w:eastAsia="仿宋"/>
          <w:color w:val="auto"/>
          <w:lang w:eastAsia="zh-CN"/>
        </w:rPr>
      </w:pPr>
      <w:r>
        <w:rPr>
          <w:rFonts w:hint="eastAsia"/>
          <w:color w:val="auto"/>
        </w:rPr>
        <w:t>（5）《关于进一步规范畜禽养殖禁养区管理的通知》（环办土壤函〔2020〕33号）</w:t>
      </w:r>
    </w:p>
    <w:p>
      <w:pPr>
        <w:bidi w:val="0"/>
        <w:rPr>
          <w:rFonts w:hint="eastAsia" w:eastAsia="仿宋"/>
          <w:color w:val="auto"/>
          <w:lang w:eastAsia="zh-CN"/>
        </w:rPr>
      </w:pPr>
      <w:r>
        <w:rPr>
          <w:rFonts w:hint="eastAsia"/>
          <w:color w:val="auto"/>
        </w:rPr>
        <w:t>（</w:t>
      </w:r>
      <w:r>
        <w:rPr>
          <w:rFonts w:hint="eastAsia"/>
          <w:color w:val="auto"/>
          <w:lang w:val="en-US" w:eastAsia="zh-CN"/>
        </w:rPr>
        <w:t>6</w:t>
      </w:r>
      <w:r>
        <w:rPr>
          <w:rFonts w:hint="eastAsia"/>
          <w:color w:val="auto"/>
        </w:rPr>
        <w:t>）《病死及病害动物无害化处理技术规范》（农医发〔2017〕25号）</w:t>
      </w:r>
    </w:p>
    <w:p>
      <w:pPr>
        <w:bidi w:val="0"/>
        <w:rPr>
          <w:rFonts w:hint="eastAsia"/>
          <w:color w:val="auto"/>
        </w:rPr>
      </w:pPr>
      <w:r>
        <w:rPr>
          <w:rFonts w:hint="eastAsia"/>
          <w:color w:val="auto"/>
          <w:lang w:eastAsia="zh-CN"/>
        </w:rPr>
        <w:t>（</w:t>
      </w:r>
      <w:r>
        <w:rPr>
          <w:rFonts w:hint="eastAsia"/>
          <w:color w:val="auto"/>
          <w:lang w:val="en-US" w:eastAsia="zh-CN"/>
        </w:rPr>
        <w:t>7</w:t>
      </w:r>
      <w:r>
        <w:rPr>
          <w:rFonts w:hint="eastAsia"/>
          <w:color w:val="auto"/>
          <w:lang w:eastAsia="zh-CN"/>
        </w:rPr>
        <w:t>）</w:t>
      </w:r>
      <w:r>
        <w:rPr>
          <w:rFonts w:hint="eastAsia"/>
          <w:color w:val="auto"/>
        </w:rPr>
        <w:t>《关于做好畜禽粪污资源化利用跟踪监测工作的通知》（农办牧〔2018〕28号）</w:t>
      </w:r>
    </w:p>
    <w:p>
      <w:pPr>
        <w:bidi w:val="0"/>
        <w:rPr>
          <w:rFonts w:hint="eastAsia" w:eastAsia="仿宋"/>
          <w:color w:val="auto"/>
          <w:lang w:eastAsia="zh-CN"/>
        </w:rPr>
      </w:pPr>
      <w:r>
        <w:rPr>
          <w:rFonts w:hint="eastAsia"/>
          <w:color w:val="auto"/>
        </w:rPr>
        <w:t>（</w:t>
      </w:r>
      <w:r>
        <w:rPr>
          <w:rFonts w:hint="eastAsia"/>
          <w:color w:val="auto"/>
          <w:lang w:val="en-US" w:eastAsia="zh-CN"/>
        </w:rPr>
        <w:t>8</w:t>
      </w:r>
      <w:r>
        <w:rPr>
          <w:rFonts w:hint="eastAsia"/>
          <w:color w:val="auto"/>
        </w:rPr>
        <w:t>）《畜禽养殖场（户）粪污处理设施建设技术指南》（农办牧〔2022〕19号）</w:t>
      </w:r>
    </w:p>
    <w:p>
      <w:pPr>
        <w:bidi w:val="0"/>
        <w:rPr>
          <w:rFonts w:hint="eastAsia"/>
          <w:color w:val="auto"/>
        </w:rPr>
      </w:pPr>
      <w:r>
        <w:rPr>
          <w:rFonts w:hint="eastAsia"/>
          <w:color w:val="auto"/>
          <w:lang w:eastAsia="zh-CN"/>
        </w:rPr>
        <w:t>（</w:t>
      </w:r>
      <w:r>
        <w:rPr>
          <w:rFonts w:hint="eastAsia"/>
          <w:color w:val="auto"/>
          <w:lang w:val="en-US" w:eastAsia="zh-CN"/>
        </w:rPr>
        <w:t>9</w:t>
      </w:r>
      <w:r>
        <w:rPr>
          <w:rFonts w:hint="eastAsia"/>
          <w:color w:val="auto"/>
          <w:lang w:eastAsia="zh-CN"/>
        </w:rPr>
        <w:t>）</w:t>
      </w:r>
      <w:r>
        <w:rPr>
          <w:rFonts w:hint="eastAsia"/>
          <w:color w:val="auto"/>
        </w:rPr>
        <w:t>《关于进一步明确畜禽粪污还田利用要求强化养殖污染监管的通知》（农办牧〔2020〕23号）</w:t>
      </w:r>
    </w:p>
    <w:p>
      <w:pPr>
        <w:bidi w:val="0"/>
        <w:rPr>
          <w:rFonts w:hint="eastAsia"/>
          <w:color w:val="auto"/>
        </w:rPr>
      </w:pPr>
      <w:r>
        <w:rPr>
          <w:rFonts w:hint="eastAsia"/>
          <w:color w:val="auto"/>
          <w:lang w:eastAsia="zh-CN"/>
        </w:rPr>
        <w:t>（</w:t>
      </w:r>
      <w:r>
        <w:rPr>
          <w:rFonts w:hint="eastAsia"/>
          <w:color w:val="auto"/>
          <w:lang w:val="en-US" w:eastAsia="zh-CN"/>
        </w:rPr>
        <w:t>10</w:t>
      </w:r>
      <w:r>
        <w:rPr>
          <w:rFonts w:hint="eastAsia"/>
          <w:color w:val="auto"/>
          <w:lang w:eastAsia="zh-CN"/>
        </w:rPr>
        <w:t>）</w:t>
      </w:r>
      <w:r>
        <w:rPr>
          <w:rFonts w:hint="eastAsia"/>
          <w:color w:val="auto"/>
        </w:rPr>
        <w:t>《河南省规模以下养殖户畜禽粪污处理设施建设的指导意见（试行）》（豫农文〔2021〕348号）</w:t>
      </w:r>
    </w:p>
    <w:p>
      <w:pPr>
        <w:bidi w:val="0"/>
        <w:rPr>
          <w:rFonts w:hint="eastAsia"/>
          <w:color w:val="auto"/>
        </w:rPr>
      </w:pPr>
      <w:r>
        <w:rPr>
          <w:rFonts w:hint="eastAsia"/>
          <w:color w:val="auto"/>
          <w:lang w:eastAsia="zh-CN"/>
        </w:rPr>
        <w:t>（</w:t>
      </w:r>
      <w:r>
        <w:rPr>
          <w:rFonts w:hint="eastAsia"/>
          <w:color w:val="auto"/>
          <w:lang w:val="en-US" w:eastAsia="zh-CN"/>
        </w:rPr>
        <w:t>11</w:t>
      </w:r>
      <w:r>
        <w:rPr>
          <w:rFonts w:hint="eastAsia"/>
          <w:color w:val="auto"/>
          <w:lang w:eastAsia="zh-CN"/>
        </w:rPr>
        <w:t>）</w:t>
      </w:r>
      <w:r>
        <w:rPr>
          <w:rFonts w:hint="eastAsia"/>
          <w:color w:val="auto"/>
        </w:rPr>
        <w:t>《河南省人民政府办公厅关于加快推进畜禽养殖废弃物资源化利用的实施意见》（豫政办〔2017〕139号）</w:t>
      </w:r>
    </w:p>
    <w:p>
      <w:pPr>
        <w:bidi w:val="0"/>
        <w:rPr>
          <w:rFonts w:hint="eastAsia"/>
          <w:color w:val="auto"/>
        </w:rPr>
      </w:pPr>
      <w:r>
        <w:rPr>
          <w:rFonts w:hint="eastAsia"/>
          <w:color w:val="auto"/>
          <w:lang w:eastAsia="zh-CN"/>
        </w:rPr>
        <w:t>（</w:t>
      </w:r>
      <w:r>
        <w:rPr>
          <w:rFonts w:hint="eastAsia"/>
          <w:color w:val="auto"/>
          <w:lang w:val="en-US" w:eastAsia="zh-CN"/>
        </w:rPr>
        <w:t>12</w:t>
      </w:r>
      <w:r>
        <w:rPr>
          <w:rFonts w:hint="eastAsia"/>
          <w:color w:val="auto"/>
          <w:lang w:eastAsia="zh-CN"/>
        </w:rPr>
        <w:t>）</w:t>
      </w:r>
      <w:r>
        <w:rPr>
          <w:rFonts w:hint="eastAsia"/>
          <w:color w:val="auto"/>
        </w:rPr>
        <w:t>《河南省农业农村厅河南省生态环境厅关于进一步明确畜禽粪污还田利用要求强化养殖污染监管》的通知（豫农文〔2020〕314号）</w:t>
      </w:r>
    </w:p>
    <w:p>
      <w:pPr>
        <w:bidi w:val="0"/>
        <w:rPr>
          <w:rFonts w:hint="eastAsia"/>
          <w:color w:val="auto"/>
        </w:rPr>
      </w:pPr>
      <w:r>
        <w:rPr>
          <w:rFonts w:hint="eastAsia"/>
          <w:color w:val="auto"/>
        </w:rPr>
        <w:t>（1</w:t>
      </w:r>
      <w:r>
        <w:rPr>
          <w:rFonts w:hint="eastAsia"/>
          <w:color w:val="auto"/>
          <w:lang w:val="en-US" w:eastAsia="zh-CN"/>
        </w:rPr>
        <w:t>3</w:t>
      </w:r>
      <w:r>
        <w:rPr>
          <w:rFonts w:hint="eastAsia"/>
          <w:color w:val="auto"/>
        </w:rPr>
        <w:t>）《关于印发〈河南省畜禽粪污资源化利用设施建设指南&gt;的通知》（豫农文〔2020〕207号）</w:t>
      </w:r>
    </w:p>
    <w:p>
      <w:pPr>
        <w:bidi w:val="0"/>
        <w:rPr>
          <w:rFonts w:hint="eastAsia" w:eastAsia="仿宋"/>
          <w:color w:val="auto"/>
          <w:lang w:eastAsia="zh-CN"/>
        </w:rPr>
      </w:pPr>
      <w:r>
        <w:rPr>
          <w:rFonts w:hint="eastAsia"/>
          <w:color w:val="auto"/>
        </w:rPr>
        <w:t>（1</w:t>
      </w:r>
      <w:r>
        <w:rPr>
          <w:rFonts w:hint="eastAsia"/>
          <w:color w:val="auto"/>
          <w:lang w:val="en-US" w:eastAsia="zh-CN"/>
        </w:rPr>
        <w:t>4</w:t>
      </w:r>
      <w:r>
        <w:rPr>
          <w:rFonts w:hint="eastAsia"/>
          <w:color w:val="auto"/>
        </w:rPr>
        <w:t>）《河南省畜禽养殖污染防治规划（2021-2025年）》（豫环文〔2022〕64号）</w:t>
      </w:r>
    </w:p>
    <w:p>
      <w:pPr>
        <w:bidi w:val="0"/>
        <w:rPr>
          <w:rFonts w:hint="eastAsia" w:eastAsia="仿宋"/>
          <w:color w:val="auto"/>
          <w:lang w:eastAsia="zh-CN"/>
        </w:rPr>
      </w:pPr>
      <w:r>
        <w:rPr>
          <w:rFonts w:hint="eastAsia"/>
          <w:color w:val="auto"/>
          <w:lang w:eastAsia="zh-CN"/>
        </w:rPr>
        <w:t>（</w:t>
      </w:r>
      <w:r>
        <w:rPr>
          <w:rFonts w:hint="eastAsia"/>
          <w:color w:val="auto"/>
          <w:lang w:val="en-US" w:eastAsia="zh-CN"/>
        </w:rPr>
        <w:t>15</w:t>
      </w:r>
      <w:r>
        <w:rPr>
          <w:rFonts w:hint="eastAsia"/>
          <w:color w:val="auto"/>
          <w:lang w:eastAsia="zh-CN"/>
        </w:rPr>
        <w:t>）</w:t>
      </w:r>
      <w:r>
        <w:rPr>
          <w:rFonts w:hint="eastAsia"/>
          <w:color w:val="auto"/>
        </w:rPr>
        <w:t>《河南省“十四五”生态环境保护和生态经济发展规划》（豫政〔2021〕44号）</w:t>
      </w:r>
    </w:p>
    <w:p>
      <w:pPr>
        <w:bidi w:val="0"/>
        <w:rPr>
          <w:rFonts w:hint="eastAsia"/>
          <w:color w:val="auto"/>
          <w:lang w:eastAsia="zh-CN"/>
        </w:rPr>
      </w:pPr>
      <w:r>
        <w:rPr>
          <w:rFonts w:hint="eastAsia"/>
          <w:color w:val="auto"/>
        </w:rPr>
        <w:t>（</w:t>
      </w:r>
      <w:r>
        <w:rPr>
          <w:rFonts w:hint="eastAsia"/>
          <w:color w:val="auto"/>
          <w:lang w:val="en-US" w:eastAsia="zh-CN"/>
        </w:rPr>
        <w:t>16</w:t>
      </w:r>
      <w:r>
        <w:rPr>
          <w:rFonts w:hint="eastAsia"/>
          <w:color w:val="auto"/>
        </w:rPr>
        <w:t>）</w:t>
      </w:r>
      <w:r>
        <w:rPr>
          <w:rFonts w:hint="eastAsia"/>
          <w:color w:val="auto"/>
          <w:lang w:eastAsia="zh-CN"/>
        </w:rPr>
        <w:t>《关于印发禹州市畜禽养殖禁养区调整方案的通知》（禹政办</w:t>
      </w:r>
      <w:r>
        <w:rPr>
          <w:rFonts w:hint="eastAsia"/>
          <w:color w:val="auto"/>
        </w:rPr>
        <w:t>〔202</w:t>
      </w:r>
      <w:r>
        <w:rPr>
          <w:rFonts w:hint="eastAsia"/>
          <w:color w:val="auto"/>
          <w:lang w:val="en-US" w:eastAsia="zh-CN"/>
        </w:rPr>
        <w:t>0</w:t>
      </w:r>
      <w:r>
        <w:rPr>
          <w:rFonts w:hint="eastAsia"/>
          <w:color w:val="auto"/>
        </w:rPr>
        <w:t>〕</w:t>
      </w:r>
      <w:r>
        <w:rPr>
          <w:rFonts w:hint="eastAsia"/>
          <w:color w:val="auto"/>
          <w:lang w:eastAsia="zh-CN"/>
        </w:rPr>
        <w:t>4号）</w:t>
      </w:r>
    </w:p>
    <w:p>
      <w:pPr>
        <w:bidi w:val="0"/>
        <w:rPr>
          <w:color w:val="auto"/>
        </w:rPr>
      </w:pPr>
      <w:r>
        <w:rPr>
          <w:rFonts w:hint="eastAsia"/>
          <w:color w:val="auto"/>
        </w:rPr>
        <w:t>（</w:t>
      </w:r>
      <w:r>
        <w:rPr>
          <w:rFonts w:hint="eastAsia"/>
          <w:color w:val="auto"/>
          <w:lang w:val="en-US" w:eastAsia="zh-CN"/>
        </w:rPr>
        <w:t>17</w:t>
      </w:r>
      <w:r>
        <w:rPr>
          <w:rFonts w:hint="eastAsia"/>
          <w:color w:val="auto"/>
        </w:rPr>
        <w:t>）</w:t>
      </w:r>
      <w:r>
        <w:rPr>
          <w:rFonts w:hint="eastAsia"/>
          <w:color w:val="auto"/>
          <w:lang w:eastAsia="zh-CN"/>
        </w:rPr>
        <w:t>《河南省农业农村厅 河南省生态环境厅关于加强畜禽粪污资源化利用计划和台账管理的通知》</w:t>
      </w:r>
    </w:p>
    <w:p>
      <w:pPr>
        <w:pStyle w:val="5"/>
        <w:pageBreakBefore w:val="0"/>
        <w:widowControl w:val="0"/>
        <w:kinsoku/>
        <w:wordWrap/>
        <w:overflowPunct/>
        <w:autoSpaceDE/>
        <w:autoSpaceDN/>
        <w:bidi w:val="0"/>
        <w:spacing w:before="190" w:after="190" w:line="520" w:lineRule="exact"/>
        <w:textAlignment w:val="auto"/>
        <w:rPr>
          <w:rFonts w:hint="eastAsia" w:eastAsia="仿宋"/>
          <w:color w:val="auto"/>
          <w:lang w:eastAsia="zh-CN"/>
        </w:rPr>
      </w:pPr>
      <w:bookmarkStart w:id="20" w:name="_Toc99132326"/>
      <w:bookmarkStart w:id="21" w:name="_Toc22124"/>
      <w:bookmarkStart w:id="22" w:name="_Toc8176"/>
      <w:r>
        <w:rPr>
          <w:rFonts w:hint="eastAsia"/>
          <w:color w:val="auto"/>
        </w:rPr>
        <w:t>1.</w:t>
      </w:r>
      <w:r>
        <w:rPr>
          <w:rFonts w:hint="eastAsia"/>
          <w:color w:val="auto"/>
          <w:lang w:val="en-US" w:eastAsia="zh-CN"/>
        </w:rPr>
        <w:t>3</w:t>
      </w:r>
      <w:r>
        <w:rPr>
          <w:rFonts w:hint="eastAsia"/>
          <w:color w:val="auto"/>
        </w:rPr>
        <w:t>规划期限</w:t>
      </w:r>
      <w:bookmarkEnd w:id="20"/>
      <w:r>
        <w:rPr>
          <w:rFonts w:hint="eastAsia"/>
          <w:color w:val="auto"/>
          <w:lang w:eastAsia="zh-CN"/>
        </w:rPr>
        <w:t>及范围</w:t>
      </w:r>
      <w:bookmarkEnd w:id="21"/>
      <w:bookmarkEnd w:id="22"/>
    </w:p>
    <w:p>
      <w:pPr>
        <w:bidi w:val="0"/>
        <w:rPr>
          <w:color w:val="auto"/>
        </w:rPr>
      </w:pPr>
      <w:r>
        <w:rPr>
          <w:rFonts w:hint="eastAsia"/>
          <w:color w:val="auto"/>
        </w:rPr>
        <w:t>规划期限</w:t>
      </w:r>
      <w:r>
        <w:rPr>
          <w:rFonts w:hint="eastAsia"/>
          <w:color w:val="auto"/>
          <w:lang w:eastAsia="zh-CN"/>
        </w:rPr>
        <w:t>：</w:t>
      </w:r>
      <w:r>
        <w:rPr>
          <w:rFonts w:hint="eastAsia"/>
          <w:color w:val="auto"/>
        </w:rPr>
        <w:t>基准年为2020年，规划期限为</w:t>
      </w:r>
      <w:r>
        <w:rPr>
          <w:rFonts w:hint="eastAsia" w:ascii="Times New Roman" w:hAnsi="Times New Roman"/>
          <w:color w:val="auto"/>
        </w:rPr>
        <w:t>2021—2025年。</w:t>
      </w:r>
    </w:p>
    <w:p>
      <w:pPr>
        <w:keepNext w:val="0"/>
        <w:keepLines w:val="0"/>
        <w:widowControl/>
        <w:suppressLineNumbers w:val="0"/>
        <w:jc w:val="both"/>
        <w:rPr>
          <w:rFonts w:hint="eastAsia"/>
          <w:color w:val="auto"/>
        </w:rPr>
      </w:pPr>
      <w:r>
        <w:rPr>
          <w:rFonts w:hint="eastAsia"/>
          <w:color w:val="auto"/>
          <w:lang w:eastAsia="zh-CN"/>
        </w:rPr>
        <w:t>规划</w:t>
      </w:r>
      <w:r>
        <w:rPr>
          <w:rFonts w:hint="eastAsia"/>
          <w:color w:val="auto"/>
        </w:rPr>
        <w:t>范围</w:t>
      </w:r>
      <w:r>
        <w:rPr>
          <w:rFonts w:hint="eastAsia"/>
          <w:color w:val="auto"/>
          <w:lang w:eastAsia="zh-CN"/>
        </w:rPr>
        <w:t>：</w:t>
      </w:r>
      <w:r>
        <w:rPr>
          <w:rFonts w:hint="eastAsia"/>
          <w:color w:val="auto"/>
        </w:rPr>
        <w:t>禹州市</w:t>
      </w:r>
      <w:r>
        <w:rPr>
          <w:rFonts w:hint="eastAsia"/>
          <w:color w:val="auto"/>
          <w:lang w:eastAsia="zh-CN"/>
        </w:rPr>
        <w:t>全境，包含</w:t>
      </w:r>
      <w:r>
        <w:rPr>
          <w:rFonts w:hint="eastAsia"/>
          <w:color w:val="auto"/>
        </w:rPr>
        <w:t>辖</w:t>
      </w:r>
      <w:r>
        <w:rPr>
          <w:rFonts w:hint="eastAsia"/>
          <w:color w:val="auto"/>
          <w:lang w:eastAsia="zh-CN"/>
        </w:rPr>
        <w:t>区内</w:t>
      </w:r>
      <w:r>
        <w:rPr>
          <w:rFonts w:hint="eastAsia"/>
          <w:color w:val="auto"/>
        </w:rPr>
        <w:t>26个乡镇</w:t>
      </w:r>
      <w:r>
        <w:rPr>
          <w:rFonts w:hint="eastAsia"/>
          <w:color w:val="auto"/>
          <w:lang w:eastAsia="zh-CN"/>
        </w:rPr>
        <w:t>及</w:t>
      </w:r>
      <w:r>
        <w:rPr>
          <w:rFonts w:hint="eastAsia"/>
          <w:color w:val="auto"/>
        </w:rPr>
        <w:t>街道</w:t>
      </w:r>
      <w:r>
        <w:rPr>
          <w:rFonts w:hint="eastAsia"/>
          <w:color w:val="auto"/>
          <w:lang w:val="en-US" w:eastAsia="zh-CN"/>
        </w:rPr>
        <w:t>在</w:t>
      </w:r>
      <w:r>
        <w:rPr>
          <w:color w:val="auto"/>
        </w:rPr>
        <w:t>内的畜禽规模养殖场和</w:t>
      </w:r>
      <w:r>
        <w:rPr>
          <w:rFonts w:hint="eastAsia"/>
          <w:color w:val="auto"/>
        </w:rPr>
        <w:t>畜禽养殖户</w:t>
      </w:r>
      <w:r>
        <w:rPr>
          <w:rFonts w:hint="eastAsia"/>
          <w:color w:val="auto"/>
          <w:lang w:eastAsia="zh-CN"/>
        </w:rPr>
        <w:t>，规划面积1472平方公里</w:t>
      </w:r>
      <w:r>
        <w:rPr>
          <w:rFonts w:hint="eastAsia"/>
          <w:color w:val="auto"/>
        </w:rPr>
        <w:t>。</w:t>
      </w:r>
    </w:p>
    <w:p>
      <w:pPr>
        <w:keepNext w:val="0"/>
        <w:keepLines w:val="0"/>
        <w:widowControl/>
        <w:suppressLineNumbers w:val="0"/>
        <w:jc w:val="both"/>
        <w:rPr>
          <w:rFonts w:hint="default" w:eastAsia="仿宋"/>
          <w:color w:val="auto"/>
          <w:lang w:val="en-US" w:eastAsia="zh-CN"/>
        </w:rPr>
      </w:pPr>
      <w:r>
        <w:rPr>
          <w:rFonts w:hint="eastAsia" w:ascii="仿宋" w:hAnsi="仿宋" w:eastAsia="仿宋" w:cs="仿宋"/>
          <w:color w:val="auto"/>
          <w:kern w:val="0"/>
          <w:sz w:val="28"/>
          <w:szCs w:val="28"/>
          <w:lang w:val="en-US" w:eastAsia="zh-CN" w:bidi="ar"/>
        </w:rPr>
        <w:t>根据《河南省畜牧局河南省环保厅关于调整畜禽养殖场规模标准的通知》（豫牧﹝2017﹞18号），</w:t>
      </w:r>
      <w:r>
        <w:rPr>
          <w:rFonts w:hint="eastAsia" w:ascii="仿宋" w:hAnsi="仿宋" w:eastAsia="仿宋" w:cs="仿宋"/>
          <w:b/>
          <w:bCs/>
          <w:color w:val="auto"/>
          <w:kern w:val="0"/>
          <w:sz w:val="28"/>
          <w:szCs w:val="28"/>
          <w:lang w:val="en-US" w:eastAsia="zh-CN" w:bidi="ar"/>
        </w:rPr>
        <w:t>畜禽规模养殖场</w:t>
      </w:r>
      <w:r>
        <w:rPr>
          <w:rFonts w:hint="eastAsia" w:ascii="仿宋" w:hAnsi="仿宋" w:eastAsia="仿宋" w:cs="仿宋"/>
          <w:color w:val="auto"/>
          <w:kern w:val="0"/>
          <w:sz w:val="28"/>
          <w:szCs w:val="28"/>
          <w:lang w:val="en-US" w:eastAsia="zh-CN" w:bidi="ar"/>
        </w:rPr>
        <w:t>标准为：奶牛存栏≥200头、肉牛年出栏≥200头、生猪年出栏≥500头、蛋鸡存栏≥10000羽、肉鸡年出栏≥50000羽、肉羊年出栏≥1000只，以及按《畜禽养殖业污染物排放标准》（GB18596-2001）折算后达到规定规模标准的其他类型的畜禽养殖场。</w:t>
      </w:r>
      <w:r>
        <w:rPr>
          <w:rFonts w:hint="eastAsia" w:ascii="仿宋" w:hAnsi="仿宋" w:eastAsia="仿宋" w:cs="仿宋"/>
          <w:b/>
          <w:bCs/>
          <w:color w:val="auto"/>
          <w:kern w:val="0"/>
          <w:sz w:val="28"/>
          <w:szCs w:val="28"/>
          <w:lang w:val="en-US" w:eastAsia="zh-CN" w:bidi="ar"/>
        </w:rPr>
        <w:t>畜禽养殖户</w:t>
      </w:r>
      <w:r>
        <w:rPr>
          <w:rFonts w:hint="eastAsia" w:ascii="仿宋" w:hAnsi="仿宋" w:eastAsia="仿宋" w:cs="仿宋"/>
          <w:color w:val="auto"/>
          <w:kern w:val="0"/>
          <w:sz w:val="28"/>
          <w:szCs w:val="28"/>
          <w:lang w:val="en-US" w:eastAsia="zh-CN" w:bidi="ar"/>
        </w:rPr>
        <w:t>是指未达到畜禽规模养殖场标准的畜禽养殖户，根据《畜禽养殖污染防治规划编制指南（试行）》（环办土壤函﹝2021﹞465号），指生猪设计出栏≥50头，奶牛设计存栏≥5头，肉牛设计出栏≥10头，蛋鸡/鸭/鹅设计存栏≥500羽，肉鸡/鸭/鹅设计出栏≥2000羽的养殖户</w:t>
      </w:r>
      <w:r>
        <w:rPr>
          <w:rFonts w:hint="eastAsia" w:ascii="仿宋" w:hAnsi="仿宋" w:cs="仿宋"/>
          <w:color w:val="auto"/>
          <w:kern w:val="0"/>
          <w:sz w:val="28"/>
          <w:szCs w:val="28"/>
          <w:lang w:val="en-US" w:eastAsia="zh-CN" w:bidi="ar"/>
        </w:rPr>
        <w:t>。</w:t>
      </w:r>
      <w:r>
        <w:rPr>
          <w:rFonts w:hint="eastAsia"/>
          <w:b/>
          <w:bCs/>
          <w:color w:val="auto"/>
          <w:highlight w:val="none"/>
          <w:lang w:val="en-US" w:eastAsia="zh-CN"/>
        </w:rPr>
        <w:t>大型规模养殖场是</w:t>
      </w:r>
      <w:r>
        <w:rPr>
          <w:rFonts w:hint="eastAsia"/>
          <w:color w:val="auto"/>
          <w:highlight w:val="none"/>
          <w:lang w:val="en-US" w:eastAsia="zh-CN"/>
        </w:rPr>
        <w:t>指按设计规模，生猪年出栏≥2000头，奶牛存栏≥1000头，肉牛年出栏≥200头，肉羊年出栏≥500只，蛋鸡存栏≥10000只，肉鸡年出栏≥40000羽的养殖场（划分来自《农业部 环境保护部关于印发&lt;畜禽养殖废弃物资源化利用工作考核办法（试行）&gt;的通知》（农牧发〔2018〕4号）。</w:t>
      </w:r>
    </w:p>
    <w:p>
      <w:pPr>
        <w:rPr>
          <w:rFonts w:hint="eastAsia"/>
          <w:color w:val="auto"/>
        </w:rPr>
      </w:pPr>
      <w:r>
        <w:rPr>
          <w:rFonts w:hint="eastAsia"/>
          <w:color w:val="auto"/>
        </w:rPr>
        <w:br w:type="page"/>
      </w:r>
    </w:p>
    <w:p>
      <w:pPr>
        <w:pStyle w:val="4"/>
        <w:bidi w:val="0"/>
        <w:rPr>
          <w:color w:val="auto"/>
        </w:rPr>
      </w:pPr>
      <w:bookmarkStart w:id="23" w:name="_Toc7108"/>
      <w:bookmarkStart w:id="24" w:name="_Toc29748"/>
      <w:bookmarkStart w:id="25" w:name="_Toc99132332"/>
      <w:r>
        <w:rPr>
          <w:rFonts w:hint="eastAsia"/>
          <w:color w:val="auto"/>
          <w:lang w:val="en-US" w:eastAsia="zh-CN"/>
        </w:rPr>
        <w:t xml:space="preserve">2 </w:t>
      </w:r>
      <w:r>
        <w:rPr>
          <w:rFonts w:hint="eastAsia"/>
          <w:color w:val="auto"/>
        </w:rPr>
        <w:t>区域概况</w:t>
      </w:r>
      <w:bookmarkEnd w:id="23"/>
      <w:bookmarkEnd w:id="24"/>
      <w:bookmarkEnd w:id="25"/>
    </w:p>
    <w:p>
      <w:pPr>
        <w:pStyle w:val="5"/>
        <w:spacing w:before="190" w:after="190"/>
        <w:rPr>
          <w:rFonts w:hint="eastAsia"/>
          <w:color w:val="auto"/>
          <w:lang w:val="en-US" w:eastAsia="zh-CN"/>
        </w:rPr>
      </w:pPr>
      <w:bookmarkStart w:id="26" w:name="_Toc2635"/>
      <w:bookmarkStart w:id="27" w:name="_Toc1663"/>
      <w:bookmarkStart w:id="28" w:name="_Toc99132333"/>
      <w:r>
        <w:rPr>
          <w:rFonts w:hint="eastAsia"/>
          <w:color w:val="auto"/>
        </w:rPr>
        <w:t>2.1</w:t>
      </w:r>
      <w:r>
        <w:rPr>
          <w:rFonts w:hint="eastAsia"/>
          <w:color w:val="auto"/>
          <w:lang w:val="en-US" w:eastAsia="zh-CN"/>
        </w:rPr>
        <w:t>自然气候条件</w:t>
      </w:r>
      <w:bookmarkEnd w:id="26"/>
      <w:bookmarkEnd w:id="27"/>
    </w:p>
    <w:bookmarkEnd w:id="28"/>
    <w:p>
      <w:pPr>
        <w:bidi w:val="0"/>
        <w:rPr>
          <w:rFonts w:hint="eastAsia"/>
          <w:color w:val="auto"/>
        </w:rPr>
      </w:pPr>
      <w:bookmarkStart w:id="29" w:name="_Toc99132334"/>
      <w:r>
        <w:rPr>
          <w:rFonts w:hint="eastAsia"/>
          <w:color w:val="auto"/>
          <w:lang w:eastAsia="zh-CN"/>
        </w:rPr>
        <w:t>禹州市位于河南省中部，在东经</w:t>
      </w:r>
      <w:r>
        <w:rPr>
          <w:rFonts w:hint="default" w:ascii="Times New Roman" w:hAnsi="Times New Roman" w:cs="Times New Roman"/>
          <w:color w:val="auto"/>
          <w:lang w:eastAsia="zh-CN"/>
        </w:rPr>
        <w:t>113°03′-113°39′和北纬33°59′-34°24′之</w:t>
      </w:r>
      <w:r>
        <w:rPr>
          <w:rFonts w:hint="eastAsia"/>
          <w:color w:val="auto"/>
          <w:lang w:eastAsia="zh-CN"/>
        </w:rPr>
        <w:t>间，处于伏牛山余脉与豫东南平原的交接部位，北部、西部为山地丘陵，中部和东南部为冲积平原，整个地势由西北向东南倾斜</w:t>
      </w:r>
      <w:bookmarkEnd w:id="29"/>
      <w:r>
        <w:rPr>
          <w:rFonts w:hint="eastAsia"/>
          <w:color w:val="auto"/>
          <w:lang w:eastAsia="zh-CN"/>
        </w:rPr>
        <w:t>，地貌类型主要有山地、丘陵、岗地和平原。</w:t>
      </w:r>
      <w:bookmarkStart w:id="30" w:name="_Toc99132336"/>
    </w:p>
    <w:bookmarkEnd w:id="30"/>
    <w:p>
      <w:pPr>
        <w:ind w:firstLine="560" w:firstLineChars="200"/>
        <w:rPr>
          <w:rFonts w:hint="eastAsia" w:eastAsia="仿宋"/>
          <w:color w:val="auto"/>
          <w:lang w:eastAsia="zh-CN"/>
        </w:rPr>
      </w:pPr>
      <w:r>
        <w:rPr>
          <w:rFonts w:hint="eastAsia"/>
          <w:color w:val="auto"/>
        </w:rPr>
        <w:t>大陆性季风气候</w:t>
      </w:r>
      <w:r>
        <w:rPr>
          <w:rFonts w:hint="eastAsia"/>
          <w:color w:val="auto"/>
          <w:lang w:eastAsia="zh-CN"/>
        </w:rPr>
        <w:t>区</w:t>
      </w:r>
      <w:r>
        <w:rPr>
          <w:rFonts w:hint="eastAsia"/>
          <w:color w:val="auto"/>
        </w:rPr>
        <w:t>，春季干旱多风，夏季炎热多雨，秋季天高气爽，冬季干冷雨雪少</w:t>
      </w:r>
      <w:r>
        <w:rPr>
          <w:rFonts w:hint="eastAsia"/>
          <w:color w:val="auto"/>
          <w:lang w:eastAsia="zh-CN"/>
        </w:rPr>
        <w:t>，</w:t>
      </w:r>
      <w:r>
        <w:rPr>
          <w:rFonts w:hint="eastAsia"/>
          <w:color w:val="auto"/>
        </w:rPr>
        <w:t>常年主要风为东北风</w:t>
      </w:r>
      <w:r>
        <w:rPr>
          <w:rFonts w:hint="eastAsia"/>
          <w:color w:val="auto"/>
          <w:lang w:eastAsia="zh-CN"/>
        </w:rPr>
        <w:t>。</w:t>
      </w:r>
      <w:r>
        <w:rPr>
          <w:rFonts w:hint="eastAsia"/>
          <w:color w:val="auto"/>
        </w:rPr>
        <w:t>年平均风速每秒为2.5米</w:t>
      </w:r>
      <w:r>
        <w:rPr>
          <w:rFonts w:hint="eastAsia"/>
          <w:color w:val="auto"/>
          <w:lang w:eastAsia="zh-CN"/>
        </w:rPr>
        <w:t>，年平均温度1</w:t>
      </w:r>
      <w:r>
        <w:rPr>
          <w:rFonts w:hint="eastAsia"/>
          <w:color w:val="auto"/>
          <w:lang w:val="en-US" w:eastAsia="zh-CN"/>
        </w:rPr>
        <w:t>3.6</w:t>
      </w:r>
      <w:r>
        <w:rPr>
          <w:rFonts w:hint="eastAsia"/>
          <w:color w:val="auto"/>
          <w:lang w:eastAsia="zh-CN"/>
        </w:rPr>
        <w:t>℃，光照充足，年均降雨6</w:t>
      </w:r>
      <w:r>
        <w:rPr>
          <w:rFonts w:hint="eastAsia"/>
          <w:color w:val="auto"/>
          <w:lang w:val="en-US" w:eastAsia="zh-CN"/>
        </w:rPr>
        <w:t>50</w:t>
      </w:r>
      <w:r>
        <w:rPr>
          <w:rFonts w:hint="eastAsia"/>
          <w:color w:val="auto"/>
          <w:lang w:eastAsia="zh-CN"/>
        </w:rPr>
        <w:t>毫米左右，</w:t>
      </w:r>
      <w:r>
        <w:rPr>
          <w:rFonts w:hint="eastAsia"/>
          <w:color w:val="auto"/>
        </w:rPr>
        <w:t>历年年平均无霜期为218天</w:t>
      </w:r>
      <w:r>
        <w:rPr>
          <w:rFonts w:hint="eastAsia"/>
          <w:color w:val="auto"/>
          <w:lang w:eastAsia="zh-CN"/>
        </w:rPr>
        <w:t>。禹州市属淮河流域沙颍河水系，境内主要行洪沟河有颍河、兰河、肖河等31条。境内矿产资源丰富，主要矿藏有煤、铝矾土、铁、陶瓷土、石</w:t>
      </w:r>
      <w:r>
        <w:rPr>
          <w:rFonts w:hint="eastAsia" w:ascii="Times New Roman" w:hAnsi="Times New Roman"/>
          <w:color w:val="auto"/>
          <w:lang w:eastAsia="zh-CN"/>
        </w:rPr>
        <w:t>灰石、硫磺等。土壤划分为褐土、砂姜黑土、潮土、棕壤等4个土类，包括8个亚类、19个土属，43个土种。</w:t>
      </w:r>
      <w:r>
        <w:rPr>
          <w:rFonts w:hint="eastAsia"/>
          <w:color w:val="auto"/>
        </w:rPr>
        <w:t>多年平均地表水资源量为14261万m</w:t>
      </w:r>
      <w:r>
        <w:rPr>
          <w:rFonts w:hint="eastAsia"/>
          <w:color w:val="auto"/>
          <w:vertAlign w:val="superscript"/>
        </w:rPr>
        <w:t>3</w:t>
      </w:r>
      <w:r>
        <w:rPr>
          <w:rFonts w:hint="eastAsia"/>
          <w:color w:val="auto"/>
        </w:rPr>
        <w:t>，主要产自颍河两岸支流区和北汝河支流分区</w:t>
      </w:r>
      <w:r>
        <w:rPr>
          <w:rFonts w:hint="eastAsia"/>
          <w:color w:val="auto"/>
          <w:lang w:eastAsia="zh-CN"/>
        </w:rPr>
        <w:t>，</w:t>
      </w:r>
      <w:r>
        <w:rPr>
          <w:rFonts w:hint="eastAsia"/>
          <w:color w:val="auto"/>
        </w:rPr>
        <w:t>平原区地下水资源较山丘区和岗区丰富</w:t>
      </w:r>
      <w:r>
        <w:rPr>
          <w:rFonts w:hint="eastAsia"/>
          <w:color w:val="auto"/>
          <w:lang w:eastAsia="zh-CN"/>
        </w:rPr>
        <w:t>。</w:t>
      </w:r>
    </w:p>
    <w:p>
      <w:pPr>
        <w:pStyle w:val="5"/>
        <w:spacing w:before="190" w:after="190"/>
        <w:rPr>
          <w:color w:val="auto"/>
        </w:rPr>
      </w:pPr>
      <w:bookmarkStart w:id="31" w:name="_Toc10699"/>
      <w:bookmarkStart w:id="32" w:name="_Toc8374"/>
      <w:bookmarkStart w:id="33" w:name="_Toc99132341"/>
      <w:r>
        <w:rPr>
          <w:rFonts w:hint="eastAsia"/>
          <w:color w:val="auto"/>
        </w:rPr>
        <w:t>2.</w:t>
      </w:r>
      <w:r>
        <w:rPr>
          <w:rFonts w:hint="eastAsia"/>
          <w:color w:val="auto"/>
          <w:lang w:val="en-US" w:eastAsia="zh-CN"/>
        </w:rPr>
        <w:t>2</w:t>
      </w:r>
      <w:r>
        <w:rPr>
          <w:rFonts w:hint="eastAsia"/>
          <w:color w:val="auto"/>
        </w:rPr>
        <w:t>社会经济状况</w:t>
      </w:r>
      <w:bookmarkEnd w:id="31"/>
      <w:bookmarkEnd w:id="32"/>
      <w:bookmarkEnd w:id="33"/>
    </w:p>
    <w:p>
      <w:pPr>
        <w:ind w:firstLine="560" w:firstLineChars="200"/>
        <w:rPr>
          <w:rFonts w:hint="eastAsia" w:ascii="Times New Roman" w:hAnsi="Times New Roman" w:eastAsia="仿宋" w:cs="Times New Roman"/>
          <w:b w:val="0"/>
          <w:bCs w:val="0"/>
          <w:color w:val="auto"/>
          <w:kern w:val="2"/>
          <w:sz w:val="28"/>
          <w:szCs w:val="22"/>
          <w:lang w:val="en-US" w:eastAsia="zh-CN" w:bidi="ar-SA"/>
        </w:rPr>
      </w:pPr>
      <w:r>
        <w:rPr>
          <w:rFonts w:hint="eastAsia" w:ascii="Times New Roman" w:hAnsi="Times New Roman" w:eastAsia="仿宋" w:cs="Times New Roman"/>
          <w:b w:val="0"/>
          <w:bCs w:val="0"/>
          <w:color w:val="auto"/>
          <w:kern w:val="2"/>
          <w:sz w:val="28"/>
          <w:szCs w:val="22"/>
          <w:lang w:val="en-US" w:eastAsia="zh-CN" w:bidi="ar-SA"/>
        </w:rPr>
        <w:t>禹州地处华中地区、河南省中部</w:t>
      </w:r>
      <w:r>
        <w:rPr>
          <w:rFonts w:hint="eastAsia" w:cs="Times New Roman"/>
          <w:b w:val="0"/>
          <w:bCs w:val="0"/>
          <w:color w:val="auto"/>
          <w:kern w:val="2"/>
          <w:sz w:val="28"/>
          <w:szCs w:val="22"/>
          <w:lang w:val="en-US" w:eastAsia="zh-CN" w:bidi="ar-SA"/>
        </w:rPr>
        <w:t>，</w:t>
      </w:r>
      <w:r>
        <w:rPr>
          <w:rFonts w:hint="eastAsia" w:ascii="Times New Roman" w:hAnsi="Times New Roman" w:eastAsia="仿宋" w:cs="Times New Roman"/>
          <w:b w:val="0"/>
          <w:bCs w:val="0"/>
          <w:color w:val="auto"/>
          <w:kern w:val="2"/>
          <w:sz w:val="28"/>
          <w:szCs w:val="22"/>
          <w:lang w:val="en-US" w:eastAsia="zh-CN" w:bidi="ar-SA"/>
        </w:rPr>
        <w:t>总面积14</w:t>
      </w:r>
      <w:r>
        <w:rPr>
          <w:rFonts w:hint="eastAsia" w:ascii="Times New Roman" w:hAnsi="Times New Roman" w:cs="Times New Roman"/>
          <w:b w:val="0"/>
          <w:bCs w:val="0"/>
          <w:color w:val="auto"/>
          <w:kern w:val="2"/>
          <w:sz w:val="28"/>
          <w:szCs w:val="22"/>
          <w:lang w:val="en-US" w:eastAsia="zh-CN" w:bidi="ar-SA"/>
        </w:rPr>
        <w:t>72</w:t>
      </w:r>
      <w:r>
        <w:rPr>
          <w:rFonts w:hint="eastAsia" w:ascii="Times New Roman" w:hAnsi="Times New Roman" w:eastAsia="仿宋" w:cs="Times New Roman"/>
          <w:b w:val="0"/>
          <w:bCs w:val="0"/>
          <w:color w:val="auto"/>
          <w:kern w:val="2"/>
          <w:sz w:val="28"/>
          <w:szCs w:val="22"/>
          <w:lang w:val="en-US" w:eastAsia="zh-CN" w:bidi="ar-SA"/>
        </w:rPr>
        <w:t>平方公里，总人口130.38万</w:t>
      </w:r>
      <w:r>
        <w:rPr>
          <w:rFonts w:hint="eastAsia" w:cs="Times New Roman"/>
          <w:b w:val="0"/>
          <w:bCs w:val="0"/>
          <w:color w:val="auto"/>
          <w:kern w:val="2"/>
          <w:sz w:val="28"/>
          <w:szCs w:val="22"/>
          <w:lang w:val="en-US" w:eastAsia="zh-CN" w:bidi="ar-SA"/>
        </w:rPr>
        <w:t>，</w:t>
      </w:r>
      <w:r>
        <w:rPr>
          <w:rFonts w:hint="eastAsia" w:ascii="Times New Roman" w:hAnsi="Times New Roman" w:eastAsia="仿宋" w:cs="Times New Roman"/>
          <w:b w:val="0"/>
          <w:bCs w:val="0"/>
          <w:color w:val="auto"/>
          <w:kern w:val="2"/>
          <w:sz w:val="28"/>
          <w:szCs w:val="22"/>
          <w:lang w:val="en-US" w:eastAsia="zh-CN" w:bidi="ar-SA"/>
        </w:rPr>
        <w:t>辖</w:t>
      </w:r>
      <w:r>
        <w:rPr>
          <w:rFonts w:hint="eastAsia" w:cs="Times New Roman"/>
          <w:b w:val="0"/>
          <w:bCs w:val="0"/>
          <w:color w:val="auto"/>
          <w:kern w:val="2"/>
          <w:sz w:val="28"/>
          <w:szCs w:val="22"/>
          <w:lang w:val="en-US" w:eastAsia="zh-CN" w:bidi="ar-SA"/>
        </w:rPr>
        <w:t>4</w:t>
      </w:r>
      <w:r>
        <w:rPr>
          <w:rFonts w:hint="eastAsia" w:ascii="Times New Roman" w:hAnsi="Times New Roman" w:eastAsia="仿宋" w:cs="Times New Roman"/>
          <w:b w:val="0"/>
          <w:bCs w:val="0"/>
          <w:color w:val="auto"/>
          <w:kern w:val="2"/>
          <w:sz w:val="28"/>
          <w:szCs w:val="22"/>
          <w:lang w:val="en-US" w:eastAsia="zh-CN" w:bidi="ar-SA"/>
        </w:rPr>
        <w:t>个</w:t>
      </w:r>
      <w:r>
        <w:rPr>
          <w:rFonts w:hint="eastAsia" w:cs="Times New Roman"/>
          <w:b w:val="0"/>
          <w:bCs w:val="0"/>
          <w:color w:val="auto"/>
          <w:kern w:val="2"/>
          <w:sz w:val="28"/>
          <w:szCs w:val="22"/>
          <w:lang w:val="en-US" w:eastAsia="zh-CN" w:bidi="ar-SA"/>
        </w:rPr>
        <w:t>街道、20个</w:t>
      </w:r>
      <w:r>
        <w:rPr>
          <w:rFonts w:hint="eastAsia" w:ascii="Times New Roman" w:hAnsi="Times New Roman" w:eastAsia="仿宋" w:cs="Times New Roman"/>
          <w:b w:val="0"/>
          <w:bCs w:val="0"/>
          <w:color w:val="auto"/>
          <w:kern w:val="2"/>
          <w:sz w:val="28"/>
          <w:szCs w:val="22"/>
          <w:lang w:val="en-US" w:eastAsia="zh-CN" w:bidi="ar-SA"/>
        </w:rPr>
        <w:t>镇</w:t>
      </w:r>
      <w:r>
        <w:rPr>
          <w:rFonts w:hint="eastAsia" w:cs="Times New Roman"/>
          <w:b w:val="0"/>
          <w:bCs w:val="0"/>
          <w:color w:val="auto"/>
          <w:kern w:val="2"/>
          <w:sz w:val="28"/>
          <w:szCs w:val="22"/>
          <w:lang w:val="en-US" w:eastAsia="zh-CN" w:bidi="ar-SA"/>
        </w:rPr>
        <w:t>及2个乡。</w:t>
      </w:r>
      <w:r>
        <w:rPr>
          <w:rFonts w:hint="eastAsia" w:ascii="Times New Roman" w:hAnsi="Times New Roman" w:eastAsia="仿宋" w:cs="Times New Roman"/>
          <w:b w:val="0"/>
          <w:bCs w:val="0"/>
          <w:color w:val="auto"/>
          <w:kern w:val="2"/>
          <w:sz w:val="28"/>
          <w:szCs w:val="22"/>
          <w:lang w:val="en-US" w:eastAsia="zh-CN" w:bidi="ar-SA"/>
        </w:rPr>
        <w:t>2019年末全市总人口126.98万人，常住人口116.7万人，其中，城镇人口59.01万人,乡村人口57.69万人。2020年末，常住人口城镇化率52%。</w:t>
      </w:r>
    </w:p>
    <w:p>
      <w:pPr>
        <w:ind w:firstLine="560" w:firstLineChars="200"/>
        <w:rPr>
          <w:rFonts w:hint="eastAsia"/>
          <w:color w:val="auto"/>
          <w:lang w:eastAsia="zh-CN"/>
        </w:rPr>
      </w:pPr>
      <w:r>
        <w:rPr>
          <w:rFonts w:hint="eastAsia"/>
          <w:color w:val="auto"/>
        </w:rPr>
        <w:t>2020年，全市生产总值实现849.6亿元，增长3.1%；</w:t>
      </w:r>
      <w:r>
        <w:rPr>
          <w:rFonts w:hint="eastAsia"/>
          <w:color w:val="auto"/>
          <w:lang w:eastAsia="zh-CN"/>
        </w:rPr>
        <w:t>全年粮食总产量71.57万吨。全年全市农林牧渔业总产值620409万元，比上年增长13.7%。全年猪牛羊禽肉产量5.05万吨，比上年下降23.8%。</w:t>
      </w:r>
      <w:r>
        <w:rPr>
          <w:rFonts w:hint="eastAsia"/>
          <w:color w:val="auto"/>
        </w:rPr>
        <w:t>装备制造和中医药产业</w:t>
      </w:r>
      <w:r>
        <w:rPr>
          <w:rFonts w:hint="eastAsia"/>
          <w:color w:val="auto"/>
          <w:lang w:eastAsia="zh-CN"/>
        </w:rPr>
        <w:t>为</w:t>
      </w:r>
      <w:r>
        <w:rPr>
          <w:rFonts w:hint="eastAsia"/>
          <w:color w:val="auto"/>
        </w:rPr>
        <w:t>两大接续主导产业</w:t>
      </w:r>
      <w:r>
        <w:rPr>
          <w:rFonts w:hint="eastAsia"/>
          <w:color w:val="auto"/>
          <w:lang w:eastAsia="zh-CN"/>
        </w:rPr>
        <w:t>。全市</w:t>
      </w:r>
      <w:r>
        <w:rPr>
          <w:rFonts w:hint="eastAsia" w:ascii="Times New Roman" w:hAnsi="Times New Roman" w:cs="Times New Roman"/>
          <w:b w:val="0"/>
          <w:color w:val="auto"/>
          <w:kern w:val="2"/>
          <w:sz w:val="28"/>
          <w:szCs w:val="22"/>
          <w:lang w:val="en-US" w:eastAsia="zh-CN" w:bidi="ar-SA"/>
        </w:rPr>
        <w:t>耕地69047.66公顷，园地2296.35公顷，林地31805.97公顷</w:t>
      </w:r>
      <w:r>
        <w:rPr>
          <w:rFonts w:hint="eastAsia" w:cs="Times New Roman"/>
          <w:b w:val="0"/>
          <w:color w:val="auto"/>
          <w:kern w:val="2"/>
          <w:sz w:val="28"/>
          <w:szCs w:val="22"/>
          <w:lang w:val="en-US" w:eastAsia="zh-CN" w:bidi="ar-SA"/>
        </w:rPr>
        <w:t>，</w:t>
      </w:r>
      <w:r>
        <w:rPr>
          <w:rFonts w:hint="eastAsia" w:ascii="Times New Roman" w:hAnsi="Times New Roman" w:cs="Times New Roman"/>
          <w:b w:val="0"/>
          <w:color w:val="auto"/>
          <w:kern w:val="2"/>
          <w:sz w:val="28"/>
          <w:szCs w:val="22"/>
          <w:lang w:val="en-US" w:eastAsia="zh-CN" w:bidi="ar-SA"/>
        </w:rPr>
        <w:t>草地5441.11公顷</w:t>
      </w:r>
      <w:r>
        <w:rPr>
          <w:rFonts w:hint="eastAsia" w:cs="Times New Roman"/>
          <w:b w:val="0"/>
          <w:color w:val="auto"/>
          <w:kern w:val="2"/>
          <w:sz w:val="28"/>
          <w:szCs w:val="22"/>
          <w:lang w:val="en-US" w:eastAsia="zh-CN" w:bidi="ar-SA"/>
        </w:rPr>
        <w:t>，</w:t>
      </w:r>
      <w:r>
        <w:rPr>
          <w:rFonts w:hint="eastAsia" w:ascii="Times New Roman" w:hAnsi="Times New Roman" w:cs="Times New Roman"/>
          <w:b w:val="0"/>
          <w:color w:val="auto"/>
          <w:kern w:val="2"/>
          <w:sz w:val="28"/>
          <w:szCs w:val="22"/>
          <w:lang w:val="en-US" w:eastAsia="zh-CN" w:bidi="ar-SA"/>
        </w:rPr>
        <w:t>城镇村及工矿用地28855.73公顷</w:t>
      </w:r>
      <w:r>
        <w:rPr>
          <w:rFonts w:hint="eastAsia" w:cs="Times New Roman"/>
          <w:b w:val="0"/>
          <w:color w:val="auto"/>
          <w:kern w:val="2"/>
          <w:sz w:val="28"/>
          <w:szCs w:val="22"/>
          <w:lang w:val="en-US" w:eastAsia="zh-CN" w:bidi="ar-SA"/>
        </w:rPr>
        <w:t>，</w:t>
      </w:r>
      <w:r>
        <w:rPr>
          <w:rFonts w:hint="eastAsia" w:ascii="Times New Roman" w:hAnsi="Times New Roman" w:cs="Times New Roman"/>
          <w:b w:val="0"/>
          <w:color w:val="auto"/>
          <w:kern w:val="2"/>
          <w:sz w:val="28"/>
          <w:szCs w:val="22"/>
          <w:lang w:val="en-US" w:eastAsia="zh-CN" w:bidi="ar-SA"/>
        </w:rPr>
        <w:t>交通运输用地3183.48公顷</w:t>
      </w:r>
      <w:r>
        <w:rPr>
          <w:rFonts w:hint="eastAsia" w:cs="Times New Roman"/>
          <w:b w:val="0"/>
          <w:color w:val="auto"/>
          <w:kern w:val="2"/>
          <w:sz w:val="28"/>
          <w:szCs w:val="22"/>
          <w:lang w:val="en-US" w:eastAsia="zh-CN" w:bidi="ar-SA"/>
        </w:rPr>
        <w:t>，</w:t>
      </w:r>
      <w:r>
        <w:rPr>
          <w:rFonts w:hint="eastAsia" w:ascii="Times New Roman" w:hAnsi="Times New Roman" w:cs="Times New Roman"/>
          <w:b w:val="0"/>
          <w:color w:val="auto"/>
          <w:kern w:val="2"/>
          <w:sz w:val="28"/>
          <w:szCs w:val="22"/>
          <w:lang w:val="en-US" w:eastAsia="zh-CN" w:bidi="ar-SA"/>
        </w:rPr>
        <w:t>水域及水利设施用地2425.23公顷</w:t>
      </w:r>
      <w:r>
        <w:rPr>
          <w:rFonts w:hint="eastAsia" w:cs="Times New Roman"/>
          <w:b w:val="0"/>
          <w:color w:val="auto"/>
          <w:kern w:val="2"/>
          <w:sz w:val="28"/>
          <w:szCs w:val="22"/>
          <w:lang w:val="en-US" w:eastAsia="zh-CN" w:bidi="ar-SA"/>
        </w:rPr>
        <w:t>。</w:t>
      </w:r>
      <w:r>
        <w:rPr>
          <w:rFonts w:hint="eastAsia"/>
          <w:color w:val="auto"/>
          <w:lang w:eastAsia="zh-CN"/>
        </w:rPr>
        <w:t>禹州市以种植优质强筋小麦、高淀粉玉米、特色水果、红薯、冬油菜、绿色蔬菜、粮食、中药材为主，盛产小麦、玉米、水果等农作物。</w:t>
      </w:r>
      <w:bookmarkStart w:id="34" w:name="_Toc99132347"/>
    </w:p>
    <w:p>
      <w:pPr>
        <w:pStyle w:val="5"/>
        <w:spacing w:before="190" w:after="190"/>
        <w:rPr>
          <w:rFonts w:hint="eastAsia" w:eastAsia="仿宋"/>
          <w:color w:val="auto"/>
          <w:lang w:eastAsia="zh-CN"/>
        </w:rPr>
      </w:pPr>
      <w:bookmarkStart w:id="35" w:name="_Toc25290"/>
      <w:bookmarkStart w:id="36" w:name="_Toc5807"/>
      <w:r>
        <w:rPr>
          <w:rFonts w:hint="eastAsia"/>
          <w:color w:val="auto"/>
        </w:rPr>
        <w:t>2.</w:t>
      </w:r>
      <w:r>
        <w:rPr>
          <w:rFonts w:hint="eastAsia"/>
          <w:color w:val="auto"/>
          <w:lang w:val="en-US" w:eastAsia="zh-CN"/>
        </w:rPr>
        <w:t>3</w:t>
      </w:r>
      <w:r>
        <w:rPr>
          <w:rFonts w:hint="eastAsia"/>
          <w:color w:val="auto"/>
        </w:rPr>
        <w:t>生态环境概况</w:t>
      </w:r>
      <w:bookmarkEnd w:id="34"/>
      <w:bookmarkEnd w:id="35"/>
      <w:bookmarkEnd w:id="36"/>
    </w:p>
    <w:p>
      <w:pPr>
        <w:pStyle w:val="6"/>
        <w:bidi w:val="0"/>
        <w:rPr>
          <w:rFonts w:hint="default"/>
          <w:color w:val="auto"/>
          <w:lang w:val="en-US" w:eastAsia="zh-CN"/>
        </w:rPr>
      </w:pPr>
      <w:r>
        <w:rPr>
          <w:rFonts w:hint="eastAsia"/>
          <w:color w:val="auto"/>
          <w:lang w:val="en-US" w:eastAsia="zh-CN"/>
        </w:rPr>
        <w:t>2.3.1生态环境状况</w:t>
      </w:r>
    </w:p>
    <w:p>
      <w:pPr>
        <w:bidi w:val="0"/>
        <w:rPr>
          <w:rFonts w:hint="eastAsia"/>
          <w:color w:val="auto"/>
          <w:lang w:eastAsia="zh-CN"/>
        </w:rPr>
      </w:pPr>
      <w:r>
        <w:rPr>
          <w:rFonts w:hint="eastAsia"/>
          <w:color w:val="auto"/>
        </w:rPr>
        <w:t>2020</w:t>
      </w:r>
      <w:r>
        <w:rPr>
          <w:rFonts w:hint="eastAsia"/>
          <w:color w:val="auto"/>
          <w:lang w:eastAsia="zh-CN"/>
        </w:rPr>
        <w:t>年，</w:t>
      </w:r>
      <w:r>
        <w:rPr>
          <w:rFonts w:hint="eastAsia"/>
          <w:color w:val="auto"/>
        </w:rPr>
        <w:t>全市</w:t>
      </w:r>
      <w:r>
        <w:rPr>
          <w:rFonts w:hint="eastAsia"/>
          <w:color w:val="auto"/>
          <w:lang w:eastAsia="zh-CN"/>
        </w:rPr>
        <w:t>环境</w:t>
      </w:r>
      <w:r>
        <w:rPr>
          <w:rFonts w:hint="eastAsia"/>
          <w:color w:val="auto"/>
        </w:rPr>
        <w:t>空气质量平均优良天数达到</w:t>
      </w:r>
      <w:r>
        <w:rPr>
          <w:rFonts w:hint="eastAsia"/>
          <w:color w:val="auto"/>
          <w:lang w:val="en-US" w:eastAsia="zh-CN"/>
        </w:rPr>
        <w:t>240</w:t>
      </w:r>
      <w:r>
        <w:rPr>
          <w:rFonts w:hint="eastAsia"/>
          <w:color w:val="auto"/>
        </w:rPr>
        <w:t>天</w:t>
      </w:r>
      <w:r>
        <w:rPr>
          <w:rFonts w:hint="eastAsia"/>
          <w:color w:val="auto"/>
          <w:lang w:eastAsia="zh-CN"/>
        </w:rPr>
        <w:t>，</w:t>
      </w:r>
      <w:r>
        <w:rPr>
          <w:rFonts w:hint="eastAsia"/>
          <w:color w:val="auto"/>
        </w:rPr>
        <w:t>环境空气功能区为二类区。</w:t>
      </w:r>
      <w:r>
        <w:rPr>
          <w:rFonts w:hint="eastAsia"/>
          <w:color w:val="auto"/>
          <w:highlight w:val="none"/>
          <w:lang w:eastAsia="zh-CN"/>
        </w:rPr>
        <w:t>禹州市</w:t>
      </w:r>
      <w:r>
        <w:rPr>
          <w:rFonts w:hint="eastAsia"/>
          <w:color w:val="auto"/>
          <w:highlight w:val="none"/>
          <w:lang w:val="en-US" w:eastAsia="zh-CN"/>
        </w:rPr>
        <w:t>地表水考核断面</w:t>
      </w:r>
      <w:r>
        <w:rPr>
          <w:rFonts w:hint="eastAsia"/>
          <w:color w:val="auto"/>
          <w:highlight w:val="none"/>
        </w:rPr>
        <w:t>白沙水库、颍河橡胶一坝、化庄桥、山货桥、褚河桥、颖河二坝</w:t>
      </w:r>
      <w:r>
        <w:rPr>
          <w:rFonts w:hint="eastAsia"/>
          <w:color w:val="auto"/>
        </w:rPr>
        <w:t>2020年检测情况均满足《地表水环境质量标准》（GB3838—2002）三类标准</w:t>
      </w:r>
      <w:r>
        <w:rPr>
          <w:rFonts w:hint="eastAsia"/>
          <w:color w:val="auto"/>
          <w:lang w:val="en-US" w:eastAsia="zh-CN"/>
        </w:rPr>
        <w:t>要</w:t>
      </w:r>
      <w:r>
        <w:rPr>
          <w:rFonts w:hint="eastAsia"/>
          <w:color w:val="auto"/>
          <w:lang w:eastAsia="zh-CN"/>
        </w:rPr>
        <w:t>求，城市集中式饮用水源地水质全部达到或优于III类标准。全市</w:t>
      </w:r>
      <w:r>
        <w:rPr>
          <w:color w:val="auto"/>
        </w:rPr>
        <w:t>土壤环境</w:t>
      </w:r>
      <w:r>
        <w:rPr>
          <w:rFonts w:hint="eastAsia"/>
          <w:color w:val="auto"/>
        </w:rPr>
        <w:t>质量</w:t>
      </w:r>
      <w:r>
        <w:rPr>
          <w:color w:val="auto"/>
        </w:rPr>
        <w:t>总体保持</w:t>
      </w:r>
      <w:r>
        <w:rPr>
          <w:rFonts w:hint="eastAsia"/>
          <w:color w:val="auto"/>
          <w:lang w:eastAsia="zh-CN"/>
        </w:rPr>
        <w:t>安全</w:t>
      </w:r>
      <w:r>
        <w:rPr>
          <w:color w:val="auto"/>
        </w:rPr>
        <w:t>稳定</w:t>
      </w:r>
      <w:r>
        <w:rPr>
          <w:rFonts w:hint="eastAsia"/>
          <w:color w:val="auto"/>
          <w:lang w:eastAsia="zh-CN"/>
        </w:rPr>
        <w:t>。</w:t>
      </w:r>
    </w:p>
    <w:p>
      <w:pPr>
        <w:pStyle w:val="6"/>
        <w:bidi w:val="0"/>
        <w:rPr>
          <w:rFonts w:hint="eastAsia"/>
          <w:color w:val="auto"/>
          <w:lang w:eastAsia="zh-CN"/>
        </w:rPr>
      </w:pPr>
      <w:r>
        <w:rPr>
          <w:rFonts w:hint="eastAsia"/>
          <w:color w:val="auto"/>
          <w:lang w:val="en-US" w:eastAsia="zh-CN"/>
        </w:rPr>
        <w:t>2.3.2区域内需要关注的</w:t>
      </w:r>
      <w:r>
        <w:rPr>
          <w:rFonts w:hint="eastAsia"/>
          <w:color w:val="auto"/>
          <w:lang w:eastAsia="zh-CN"/>
        </w:rPr>
        <w:t>重点环境问题</w:t>
      </w:r>
    </w:p>
    <w:p>
      <w:pPr>
        <w:ind w:firstLine="560" w:firstLineChars="200"/>
        <w:rPr>
          <w:rFonts w:hint="eastAsia"/>
          <w:color w:val="auto"/>
          <w:lang w:eastAsia="zh-CN"/>
        </w:rPr>
      </w:pPr>
      <w:r>
        <w:rPr>
          <w:rFonts w:hint="eastAsia"/>
          <w:color w:val="auto"/>
          <w:lang w:eastAsia="zh-CN"/>
        </w:rPr>
        <w:t>农业</w:t>
      </w:r>
      <w:r>
        <w:rPr>
          <w:rFonts w:hint="eastAsia"/>
          <w:color w:val="auto"/>
          <w:lang w:val="en-US" w:eastAsia="zh-CN"/>
        </w:rPr>
        <w:t>面源治理方面存在短板，</w:t>
      </w:r>
      <w:r>
        <w:rPr>
          <w:rFonts w:hint="eastAsia"/>
          <w:color w:val="auto"/>
          <w:lang w:eastAsia="zh-CN"/>
        </w:rPr>
        <w:t>地表径流、村镇生活污水、秸秆利用和</w:t>
      </w:r>
      <w:r>
        <w:rPr>
          <w:rFonts w:hint="eastAsia"/>
          <w:color w:val="auto"/>
        </w:rPr>
        <w:t>畜禽污染</w:t>
      </w:r>
      <w:r>
        <w:rPr>
          <w:rFonts w:hint="eastAsia"/>
          <w:color w:val="auto"/>
          <w:lang w:eastAsia="zh-CN"/>
        </w:rPr>
        <w:t>防治是当前环境质量需要重点关注的问题。其中，畜禽养殖需重点关注：</w:t>
      </w:r>
      <w:r>
        <w:rPr>
          <w:rFonts w:hint="eastAsia"/>
          <w:color w:val="auto"/>
          <w:lang w:val="en-US" w:eastAsia="zh-CN"/>
        </w:rPr>
        <w:t>南水北调总干渠周边环境的保护；</w:t>
      </w:r>
      <w:r>
        <w:rPr>
          <w:rFonts w:hint="eastAsia"/>
          <w:color w:val="auto"/>
          <w:lang w:eastAsia="zh-CN"/>
        </w:rPr>
        <w:t>畜禽养殖污染防畜措施的完善；本地区水环境敏感，3类水质的监管监测；养殖场臭气治理设施建设；粪污处理装备提升等方面。</w:t>
      </w:r>
      <w:bookmarkStart w:id="37" w:name="_Toc99132352"/>
    </w:p>
    <w:p>
      <w:pPr>
        <w:pStyle w:val="5"/>
        <w:bidi w:val="0"/>
        <w:rPr>
          <w:color w:val="auto"/>
        </w:rPr>
      </w:pPr>
      <w:bookmarkStart w:id="38" w:name="_Toc23499"/>
      <w:bookmarkStart w:id="39" w:name="_Toc19088"/>
      <w:r>
        <w:rPr>
          <w:rFonts w:hint="eastAsia"/>
          <w:color w:val="auto"/>
        </w:rPr>
        <w:t>2.</w:t>
      </w:r>
      <w:r>
        <w:rPr>
          <w:rFonts w:hint="eastAsia"/>
          <w:color w:val="auto"/>
          <w:lang w:val="en-US" w:eastAsia="zh-CN"/>
        </w:rPr>
        <w:t>4</w:t>
      </w:r>
      <w:r>
        <w:rPr>
          <w:rFonts w:hint="eastAsia"/>
          <w:color w:val="auto"/>
        </w:rPr>
        <w:t>畜禽养殖污染防治现状</w:t>
      </w:r>
      <w:bookmarkEnd w:id="37"/>
      <w:bookmarkEnd w:id="38"/>
      <w:bookmarkEnd w:id="39"/>
    </w:p>
    <w:p>
      <w:pPr>
        <w:pStyle w:val="6"/>
        <w:bidi w:val="0"/>
        <w:rPr>
          <w:color w:val="auto"/>
        </w:rPr>
      </w:pPr>
      <w:bookmarkStart w:id="40" w:name="_Toc99132353"/>
      <w:r>
        <w:rPr>
          <w:rFonts w:hint="eastAsia"/>
          <w:color w:val="auto"/>
        </w:rPr>
        <w:t>2.</w:t>
      </w:r>
      <w:r>
        <w:rPr>
          <w:rFonts w:hint="eastAsia"/>
          <w:color w:val="auto"/>
          <w:lang w:val="en-US" w:eastAsia="zh-CN"/>
        </w:rPr>
        <w:t>4</w:t>
      </w:r>
      <w:r>
        <w:rPr>
          <w:rFonts w:hint="eastAsia"/>
          <w:color w:val="auto"/>
        </w:rPr>
        <w:t>.1畜禽养殖现状</w:t>
      </w:r>
      <w:bookmarkEnd w:id="40"/>
    </w:p>
    <w:p>
      <w:pPr>
        <w:bidi w:val="0"/>
        <w:rPr>
          <w:rFonts w:hint="default"/>
          <w:color w:val="auto"/>
          <w:lang w:val="en-US" w:eastAsia="zh-CN"/>
        </w:rPr>
      </w:pPr>
      <w:r>
        <w:rPr>
          <w:rFonts w:hint="eastAsia"/>
          <w:color w:val="auto"/>
          <w:lang w:val="en-US" w:eastAsia="zh-CN"/>
        </w:rPr>
        <w:t>2020年禹州市生猪存栏45.11万头，牛存栏1.26万头，羊存栏16.7万只，家禽存栏373.48万羽。全市畜禽养殖量为70.93万猪当量，其中生猪、牛、羊、家禽占全市畜禽养殖量的比例分别为</w:t>
      </w:r>
      <w:r>
        <w:rPr>
          <w:rFonts w:hint="default"/>
          <w:color w:val="auto"/>
          <w:lang w:val="en-US" w:eastAsia="zh-CN"/>
        </w:rPr>
        <w:t>63.60%</w:t>
      </w:r>
      <w:r>
        <w:rPr>
          <w:rFonts w:hint="eastAsia"/>
          <w:color w:val="auto"/>
          <w:lang w:val="en-US" w:eastAsia="zh-CN"/>
        </w:rPr>
        <w:t>、</w:t>
      </w:r>
      <w:r>
        <w:rPr>
          <w:rFonts w:hint="default"/>
          <w:color w:val="auto"/>
          <w:lang w:val="en-US" w:eastAsia="zh-CN"/>
        </w:rPr>
        <w:t>5.92%</w:t>
      </w:r>
      <w:r>
        <w:rPr>
          <w:rFonts w:hint="eastAsia"/>
          <w:color w:val="auto"/>
          <w:lang w:val="en-US" w:eastAsia="zh-CN"/>
        </w:rPr>
        <w:t>、</w:t>
      </w:r>
      <w:r>
        <w:rPr>
          <w:rFonts w:hint="default"/>
          <w:color w:val="auto"/>
          <w:lang w:val="en-US" w:eastAsia="zh-CN"/>
        </w:rPr>
        <w:t>9.42%</w:t>
      </w:r>
      <w:r>
        <w:rPr>
          <w:rFonts w:hint="eastAsia"/>
          <w:color w:val="auto"/>
          <w:lang w:val="en-US" w:eastAsia="zh-CN"/>
        </w:rPr>
        <w:t>、</w:t>
      </w:r>
      <w:r>
        <w:rPr>
          <w:rFonts w:hint="default"/>
          <w:color w:val="auto"/>
          <w:lang w:val="en-US" w:eastAsia="zh-CN"/>
        </w:rPr>
        <w:t>21.06%。</w:t>
      </w:r>
    </w:p>
    <w:p>
      <w:pPr>
        <w:bidi w:val="0"/>
        <w:rPr>
          <w:rFonts w:hint="default"/>
          <w:color w:val="auto"/>
          <w:lang w:val="en-US" w:eastAsia="zh-CN"/>
        </w:rPr>
      </w:pPr>
      <w:r>
        <w:rPr>
          <w:rFonts w:hint="default"/>
          <w:color w:val="auto"/>
          <w:lang w:val="en-US" w:eastAsia="zh-CN"/>
        </w:rPr>
        <w:t>截至2020年末，禹州市共有畜禽规模养殖场184家，以生猪、家禽为主要养殖畜种。其中生猪规模养殖场134家，占总数的72.83%；牛规模养殖场11家，占总数的5.98%；羊规模养殖场15家，占总数的8.15%；家禽规模养殖场24家，占总数的13.04%。禹州市共有畜禽养殖户1980家，以生猪、家禽、羊、肉牛为主。2020年禹州市畜禽养殖户生猪存栏17.20万头，牛存栏0.99万头，羊存栏15.34万只，家禽存栏204.35万羽。折合成生猪出栏量34.40万头，牛出栏量0.</w:t>
      </w:r>
      <w:r>
        <w:rPr>
          <w:rFonts w:hint="eastAsia"/>
          <w:color w:val="auto"/>
          <w:lang w:val="en-US" w:eastAsia="zh-CN"/>
        </w:rPr>
        <w:t>50</w:t>
      </w:r>
      <w:r>
        <w:rPr>
          <w:rFonts w:hint="default"/>
          <w:color w:val="auto"/>
          <w:lang w:val="en-US" w:eastAsia="zh-CN"/>
        </w:rPr>
        <w:t>万头，羊存栏量15.34万只，家禽出栏量1021.76万羽。</w:t>
      </w:r>
    </w:p>
    <w:p>
      <w:pPr>
        <w:bidi w:val="0"/>
        <w:rPr>
          <w:rFonts w:hint="default" w:ascii="Times New Roman" w:hAnsi="Times New Roman" w:cs="Times New Roman"/>
          <w:color w:val="auto"/>
          <w:sz w:val="28"/>
          <w:szCs w:val="28"/>
          <w:lang w:val="en-US" w:eastAsia="zh-CN"/>
        </w:rPr>
      </w:pPr>
      <w:r>
        <w:rPr>
          <w:rFonts w:hint="eastAsia"/>
          <w:color w:val="auto"/>
          <w:lang w:val="en-US" w:eastAsia="zh-CN"/>
        </w:rPr>
        <w:t>生猪、牛、羊、家禽养殖规模化程度分别为61.86%、21.29%、8.13%、42.28%。全市养殖规模较大的乡镇有朱阁镇、苌庄镇、神垕镇、花石镇、鸿畅镇、方山镇等。</w:t>
      </w:r>
    </w:p>
    <w:p>
      <w:pPr>
        <w:pStyle w:val="6"/>
        <w:bidi w:val="0"/>
        <w:rPr>
          <w:color w:val="auto"/>
        </w:rPr>
      </w:pPr>
      <w:r>
        <w:rPr>
          <w:color w:val="auto"/>
        </w:rPr>
        <w:t>2.4.2污染防治现状</w:t>
      </w:r>
    </w:p>
    <w:p>
      <w:pPr>
        <w:bidi w:val="0"/>
        <w:rPr>
          <w:rFonts w:hint="eastAsia"/>
          <w:color w:val="auto"/>
        </w:rPr>
      </w:pPr>
      <w:r>
        <w:rPr>
          <w:rFonts w:hint="eastAsia"/>
          <w:b w:val="0"/>
          <w:bCs w:val="0"/>
          <w:color w:val="auto"/>
        </w:rPr>
        <w:t>（1）</w:t>
      </w:r>
      <w:r>
        <w:rPr>
          <w:rFonts w:hint="eastAsia"/>
          <w:color w:val="auto"/>
        </w:rPr>
        <w:t>粪污综合利用情况</w:t>
      </w:r>
    </w:p>
    <w:p>
      <w:pPr>
        <w:bidi w:val="0"/>
        <w:rPr>
          <w:rFonts w:hint="eastAsia"/>
          <w:color w:val="auto"/>
        </w:rPr>
      </w:pPr>
      <w:r>
        <w:rPr>
          <w:rFonts w:hint="eastAsia"/>
          <w:color w:val="auto"/>
          <w:lang w:eastAsia="zh-CN"/>
        </w:rPr>
        <w:t>禹州市</w:t>
      </w:r>
      <w:r>
        <w:rPr>
          <w:rFonts w:hint="eastAsia"/>
          <w:color w:val="auto"/>
        </w:rPr>
        <w:t>共有畜禽规模养殖场</w:t>
      </w:r>
      <w:r>
        <w:rPr>
          <w:rFonts w:hint="eastAsia"/>
          <w:color w:val="auto"/>
          <w:lang w:val="en-US" w:eastAsia="zh-CN"/>
        </w:rPr>
        <w:t>184</w:t>
      </w:r>
      <w:r>
        <w:rPr>
          <w:rFonts w:hint="eastAsia"/>
          <w:color w:val="auto"/>
        </w:rPr>
        <w:t>家，</w:t>
      </w:r>
      <w:r>
        <w:rPr>
          <w:rFonts w:hint="eastAsia"/>
          <w:color w:val="0000FF"/>
        </w:rPr>
        <w:t>均建有污染防治配套设施</w:t>
      </w:r>
      <w:r>
        <w:rPr>
          <w:rFonts w:hint="eastAsia"/>
          <w:color w:val="0000FF"/>
          <w:lang w:eastAsia="zh-CN"/>
        </w:rPr>
        <w:t>，</w:t>
      </w:r>
      <w:r>
        <w:rPr>
          <w:rFonts w:hint="eastAsia"/>
          <w:color w:val="0000FF"/>
        </w:rPr>
        <w:t>委托专业机构对畜禽养殖废弃物进行无害化处理和综合利用</w:t>
      </w:r>
      <w:r>
        <w:rPr>
          <w:rFonts w:hint="eastAsia"/>
          <w:color w:val="0000FF"/>
          <w:lang w:eastAsia="zh-CN"/>
        </w:rPr>
        <w:t>的，场内建设有贮存池或堆粪棚</w:t>
      </w:r>
      <w:r>
        <w:rPr>
          <w:rFonts w:hint="eastAsia"/>
          <w:color w:val="auto"/>
        </w:rPr>
        <w:t>。</w:t>
      </w:r>
      <w:r>
        <w:rPr>
          <w:rFonts w:hint="eastAsia"/>
          <w:color w:val="auto"/>
          <w:lang w:eastAsia="zh-CN"/>
        </w:rPr>
        <w:t>截至</w:t>
      </w:r>
      <w:r>
        <w:rPr>
          <w:rFonts w:hint="eastAsia"/>
          <w:color w:val="auto"/>
          <w:lang w:val="en-US" w:eastAsia="zh-CN"/>
        </w:rPr>
        <w:t>2020年，畜禽规模养殖场粪便储存设施、污水贮存设施基本完善，共建设污水收集池约</w:t>
      </w:r>
      <w:r>
        <w:rPr>
          <w:rFonts w:hint="eastAsia"/>
          <w:color w:val="auto"/>
          <w:highlight w:val="none"/>
          <w:lang w:val="en-US" w:eastAsia="zh-CN"/>
        </w:rPr>
        <w:t>2.52万立方米、晾粪场约0.97万平方米、沼气池1.00万立方米。</w:t>
      </w:r>
    </w:p>
    <w:p>
      <w:pPr>
        <w:bidi w:val="0"/>
        <w:rPr>
          <w:rFonts w:hint="eastAsia"/>
          <w:color w:val="auto"/>
        </w:rPr>
      </w:pPr>
      <w:r>
        <w:rPr>
          <w:rFonts w:hint="eastAsia"/>
          <w:color w:val="auto"/>
          <w:lang w:eastAsia="zh-CN"/>
        </w:rPr>
        <w:t>（</w:t>
      </w:r>
      <w:r>
        <w:rPr>
          <w:rFonts w:hint="eastAsia"/>
          <w:color w:val="auto"/>
        </w:rPr>
        <w:t>2）清粪方式</w:t>
      </w:r>
    </w:p>
    <w:p>
      <w:pPr>
        <w:numPr>
          <w:ilvl w:val="0"/>
          <w:numId w:val="0"/>
        </w:numPr>
        <w:bidi w:val="0"/>
        <w:ind w:firstLine="560" w:firstLineChars="200"/>
        <w:rPr>
          <w:rFonts w:hint="eastAsia"/>
          <w:color w:val="auto"/>
          <w:lang w:val="en-US" w:eastAsia="zh-CN"/>
        </w:rPr>
      </w:pPr>
      <w:r>
        <w:rPr>
          <w:rFonts w:hint="eastAsia"/>
          <w:color w:val="auto"/>
          <w:lang w:val="en-US" w:eastAsia="zh-CN"/>
        </w:rPr>
        <w:t>全市畜禽规模养殖场以干清粪为主，生猪采用干清粪、水冲清粪比例分别为94.78%</w:t>
      </w:r>
      <w:r>
        <w:rPr>
          <w:rFonts w:hint="eastAsia"/>
          <w:color w:val="auto"/>
          <w:lang w:eastAsia="zh-CN"/>
        </w:rPr>
        <w:t>（</w:t>
      </w:r>
      <w:r>
        <w:rPr>
          <w:rFonts w:hint="eastAsia"/>
          <w:color w:val="auto"/>
          <w:lang w:val="en-US" w:eastAsia="zh-CN"/>
        </w:rPr>
        <w:t>127家</w:t>
      </w:r>
      <w:r>
        <w:rPr>
          <w:rFonts w:hint="eastAsia"/>
          <w:color w:val="auto"/>
          <w:lang w:eastAsia="zh-CN"/>
        </w:rPr>
        <w:t>）</w:t>
      </w:r>
      <w:r>
        <w:rPr>
          <w:rFonts w:hint="eastAsia"/>
          <w:color w:val="auto"/>
          <w:lang w:val="en-US" w:eastAsia="zh-CN"/>
        </w:rPr>
        <w:t>、5.22%</w:t>
      </w:r>
      <w:r>
        <w:rPr>
          <w:rFonts w:hint="eastAsia"/>
          <w:color w:val="auto"/>
          <w:lang w:eastAsia="zh-CN"/>
        </w:rPr>
        <w:t>（</w:t>
      </w:r>
      <w:r>
        <w:rPr>
          <w:rFonts w:hint="eastAsia"/>
          <w:color w:val="auto"/>
          <w:lang w:val="en-US" w:eastAsia="zh-CN"/>
        </w:rPr>
        <w:t>7家</w:t>
      </w:r>
      <w:r>
        <w:rPr>
          <w:rFonts w:hint="eastAsia"/>
          <w:color w:val="auto"/>
          <w:lang w:eastAsia="zh-CN"/>
        </w:rPr>
        <w:t>）</w:t>
      </w:r>
      <w:r>
        <w:rPr>
          <w:rFonts w:hint="eastAsia"/>
          <w:color w:val="auto"/>
          <w:lang w:val="en-US" w:eastAsia="zh-CN"/>
        </w:rPr>
        <w:t>；牛、羊均为干清粪；家禽均采用干清粪。畜禽养殖户生猪清粪方式主要采用先干清粪，再用少量水冲洗圈舍的方式。牛、羊均为干清粪；家禽也以干清粪为主，有少部分养鸭场为水冲粪方式。</w:t>
      </w:r>
    </w:p>
    <w:p>
      <w:pPr>
        <w:bidi w:val="0"/>
        <w:rPr>
          <w:rFonts w:hint="eastAsia"/>
          <w:color w:val="auto"/>
        </w:rPr>
      </w:pPr>
      <w:r>
        <w:rPr>
          <w:rFonts w:hint="eastAsia"/>
          <w:color w:val="auto"/>
          <w:lang w:eastAsia="zh-CN"/>
        </w:rPr>
        <w:t>（</w:t>
      </w:r>
      <w:r>
        <w:rPr>
          <w:rFonts w:hint="eastAsia"/>
          <w:color w:val="auto"/>
          <w:lang w:val="en-US" w:eastAsia="zh-CN"/>
        </w:rPr>
        <w:t>3</w:t>
      </w:r>
      <w:r>
        <w:rPr>
          <w:rFonts w:hint="eastAsia"/>
          <w:color w:val="auto"/>
          <w:lang w:eastAsia="zh-CN"/>
        </w:rPr>
        <w:t>）</w:t>
      </w:r>
      <w:r>
        <w:rPr>
          <w:rFonts w:hint="eastAsia"/>
          <w:color w:val="auto"/>
        </w:rPr>
        <w:t>畜禽粪污处理模式</w:t>
      </w:r>
    </w:p>
    <w:p>
      <w:pPr>
        <w:keepNext w:val="0"/>
        <w:keepLines w:val="0"/>
        <w:widowControl/>
        <w:suppressLineNumbers w:val="0"/>
        <w:jc w:val="left"/>
        <w:rPr>
          <w:rFonts w:hint="eastAsia" w:ascii="仿宋" w:hAnsi="仿宋" w:eastAsia="仿宋" w:cs="仿宋"/>
          <w:color w:val="0000FF"/>
          <w:kern w:val="0"/>
          <w:sz w:val="28"/>
          <w:szCs w:val="28"/>
          <w:lang w:val="en-US" w:eastAsia="zh-CN" w:bidi="ar"/>
        </w:rPr>
      </w:pPr>
      <w:r>
        <w:rPr>
          <w:rFonts w:hint="eastAsia"/>
          <w:color w:val="auto"/>
          <w:lang w:eastAsia="zh-CN"/>
        </w:rPr>
        <w:t>禹州市</w:t>
      </w:r>
      <w:r>
        <w:rPr>
          <w:rFonts w:hint="eastAsia"/>
          <w:color w:val="auto"/>
        </w:rPr>
        <w:t>坚持分类处理、资源利用原则，按照畜禽粪便资源化利用和减量化排放的科学要求，积极推进全</w:t>
      </w:r>
      <w:r>
        <w:rPr>
          <w:rFonts w:hint="eastAsia"/>
          <w:color w:val="auto"/>
          <w:lang w:eastAsia="zh-CN"/>
        </w:rPr>
        <w:t>市</w:t>
      </w:r>
      <w:r>
        <w:rPr>
          <w:rFonts w:hint="eastAsia"/>
          <w:color w:val="auto"/>
        </w:rPr>
        <w:t>畜禽粪污资源化利用整县推进项目建设，实施畜禽粪污资源化利用工程，完成规模养殖场、</w:t>
      </w:r>
      <w:r>
        <w:rPr>
          <w:rFonts w:hint="eastAsia"/>
          <w:color w:val="auto"/>
          <w:lang w:eastAsia="zh-CN"/>
        </w:rPr>
        <w:t>畜禽养殖户</w:t>
      </w:r>
      <w:r>
        <w:rPr>
          <w:rFonts w:hint="eastAsia"/>
          <w:color w:val="auto"/>
        </w:rPr>
        <w:t>粪污资源化利用工程以及区域性粪污集中处理中心工程</w:t>
      </w:r>
      <w:r>
        <w:rPr>
          <w:rFonts w:hint="eastAsia"/>
          <w:color w:val="auto"/>
          <w:lang w:val="en-US" w:eastAsia="zh-CN"/>
        </w:rPr>
        <w:t>2个（禹州市贝威力士牧业有限公司、禹州汉元家禽有限公司）</w:t>
      </w:r>
      <w:r>
        <w:rPr>
          <w:rFonts w:hint="eastAsia"/>
          <w:color w:val="auto"/>
        </w:rPr>
        <w:t>。</w:t>
      </w:r>
      <w:r>
        <w:rPr>
          <w:rFonts w:hint="eastAsia"/>
          <w:b/>
          <w:bCs/>
          <w:color w:val="0000FF"/>
          <w:lang w:eastAsia="zh-CN"/>
        </w:rPr>
        <w:t>畜禽</w:t>
      </w:r>
      <w:r>
        <w:rPr>
          <w:rFonts w:hint="eastAsia" w:ascii="仿宋" w:hAnsi="仿宋" w:eastAsia="仿宋" w:cs="仿宋"/>
          <w:b/>
          <w:bCs/>
          <w:color w:val="0000FF"/>
          <w:kern w:val="0"/>
          <w:sz w:val="28"/>
          <w:szCs w:val="28"/>
          <w:lang w:val="en-US" w:eastAsia="zh-CN" w:bidi="ar"/>
        </w:rPr>
        <w:t>规模养殖场</w:t>
      </w:r>
      <w:r>
        <w:rPr>
          <w:rFonts w:hint="eastAsia" w:ascii="仿宋" w:hAnsi="仿宋" w:eastAsia="仿宋" w:cs="仿宋"/>
          <w:color w:val="0000FF"/>
          <w:kern w:val="0"/>
          <w:sz w:val="28"/>
          <w:szCs w:val="28"/>
          <w:lang w:val="en-US" w:eastAsia="zh-CN" w:bidi="ar"/>
        </w:rPr>
        <w:t>粪便处理模式</w:t>
      </w:r>
      <w:r>
        <w:rPr>
          <w:rFonts w:ascii="仿宋" w:hAnsi="仿宋" w:eastAsia="仿宋" w:cs="仿宋"/>
          <w:b w:val="0"/>
          <w:bCs w:val="0"/>
          <w:color w:val="0000FF"/>
          <w:kern w:val="0"/>
          <w:sz w:val="28"/>
          <w:szCs w:val="28"/>
          <w:lang w:val="en-US" w:eastAsia="zh-CN" w:bidi="ar"/>
        </w:rPr>
        <w:t>生猪</w:t>
      </w:r>
      <w:r>
        <w:rPr>
          <w:rFonts w:hint="eastAsia" w:ascii="仿宋" w:hAnsi="仿宋" w:eastAsia="仿宋" w:cs="仿宋"/>
          <w:color w:val="0000FF"/>
          <w:kern w:val="0"/>
          <w:sz w:val="28"/>
          <w:szCs w:val="28"/>
          <w:lang w:val="en-US" w:eastAsia="zh-CN" w:bidi="ar"/>
        </w:rPr>
        <w:t>以固液分离、固体堆肥发酵、液体厌氧发酵处理后就近还田利用的模式为主；奶牛和肉牛以采用固体堆肥发酵、液体密闭储存后就近还田利用的模式为主；羊和蛋鸡规模化养殖场全部采用固体堆肥发酵，就近还田利用的模式。</w:t>
      </w:r>
    </w:p>
    <w:p>
      <w:pPr>
        <w:keepNext w:val="0"/>
        <w:keepLines w:val="0"/>
        <w:widowControl/>
        <w:suppressLineNumbers w:val="0"/>
        <w:jc w:val="left"/>
        <w:rPr>
          <w:color w:val="auto"/>
        </w:rPr>
      </w:pPr>
      <w:r>
        <w:rPr>
          <w:rFonts w:hint="eastAsia" w:ascii="仿宋" w:hAnsi="仿宋" w:cs="仿宋"/>
          <w:b/>
          <w:bCs/>
          <w:color w:val="0000FF"/>
          <w:kern w:val="0"/>
          <w:sz w:val="28"/>
          <w:szCs w:val="28"/>
          <w:lang w:val="en-US" w:eastAsia="zh-CN" w:bidi="ar"/>
        </w:rPr>
        <w:t>畜禽养殖户</w:t>
      </w:r>
      <w:r>
        <w:rPr>
          <w:rFonts w:hint="eastAsia" w:ascii="仿宋" w:hAnsi="仿宋" w:eastAsia="仿宋" w:cs="仿宋"/>
          <w:color w:val="0000FF"/>
          <w:kern w:val="0"/>
          <w:sz w:val="28"/>
          <w:szCs w:val="28"/>
          <w:lang w:val="en-US" w:eastAsia="zh-CN" w:bidi="ar"/>
        </w:rPr>
        <w:t>粪污处理方式为堆肥发酵处理后就近还田利用，偶尔会出现部分养殖户将未经堆肥发酵处理的畜禽粪肥随意丢弃等情况</w:t>
      </w:r>
      <w:r>
        <w:rPr>
          <w:rFonts w:hint="eastAsia" w:ascii="仿宋" w:hAnsi="仿宋" w:cs="仿宋"/>
          <w:color w:val="0000FF"/>
          <w:kern w:val="0"/>
          <w:sz w:val="28"/>
          <w:szCs w:val="28"/>
          <w:lang w:val="en-US" w:eastAsia="zh-CN" w:bidi="ar"/>
        </w:rPr>
        <w:t>。</w:t>
      </w:r>
    </w:p>
    <w:p>
      <w:pPr>
        <w:bidi w:val="0"/>
        <w:rPr>
          <w:rFonts w:hint="eastAsia"/>
          <w:color w:val="auto"/>
        </w:rPr>
      </w:pPr>
      <w:r>
        <w:rPr>
          <w:rFonts w:hint="eastAsia"/>
          <w:color w:val="auto"/>
          <w:lang w:val="en-US" w:eastAsia="zh-CN"/>
        </w:rPr>
        <w:t>（4）</w:t>
      </w:r>
      <w:r>
        <w:rPr>
          <w:rFonts w:hint="eastAsia" w:ascii="Times New Roman" w:hAnsi="Times New Roman" w:eastAsia="仿宋" w:cs="Times New Roman"/>
          <w:color w:val="auto"/>
          <w:kern w:val="2"/>
          <w:sz w:val="28"/>
          <w:szCs w:val="22"/>
          <w:lang w:val="en-US" w:eastAsia="zh-CN" w:bidi="ar-SA"/>
        </w:rPr>
        <w:t>臭气治理现状</w:t>
      </w:r>
    </w:p>
    <w:p>
      <w:pPr>
        <w:bidi w:val="0"/>
        <w:rPr>
          <w:rFonts w:hint="eastAsia"/>
          <w:color w:val="auto"/>
        </w:rPr>
      </w:pPr>
      <w:r>
        <w:rPr>
          <w:rFonts w:hint="eastAsia"/>
          <w:color w:val="0000FF"/>
          <w:lang w:eastAsia="zh-CN"/>
        </w:rPr>
        <w:t>禹州市</w:t>
      </w:r>
      <w:r>
        <w:rPr>
          <w:rFonts w:hint="eastAsia"/>
          <w:b/>
          <w:bCs/>
          <w:color w:val="0000FF"/>
        </w:rPr>
        <w:t>规模化畜禽养殖</w:t>
      </w:r>
      <w:r>
        <w:rPr>
          <w:rFonts w:hint="eastAsia"/>
          <w:color w:val="0000FF"/>
        </w:rPr>
        <w:t>全部配套建设有粪污治理设施，主要通过采取使用除臭剂以雾化方式喷</w:t>
      </w:r>
      <w:r>
        <w:rPr>
          <w:rFonts w:hint="eastAsia"/>
          <w:color w:val="0000FF"/>
          <w:lang w:eastAsia="zh-CN"/>
        </w:rPr>
        <w:t>洒</w:t>
      </w:r>
      <w:r>
        <w:rPr>
          <w:rFonts w:hint="eastAsia"/>
          <w:color w:val="0000FF"/>
        </w:rPr>
        <w:t>除臭，定期对圈舍进行消毒、清理，对污水处理装置加盖密闭，厂区内设置绿化隔离带等措施治理氨气。均未配套建设氨气末端治理设施。</w:t>
      </w:r>
    </w:p>
    <w:p>
      <w:pPr>
        <w:bidi w:val="0"/>
        <w:rPr>
          <w:rFonts w:hint="eastAsia"/>
          <w:color w:val="auto"/>
          <w:lang w:eastAsia="zh-CN"/>
        </w:rPr>
      </w:pPr>
      <w:r>
        <w:rPr>
          <w:rFonts w:hint="eastAsia"/>
          <w:color w:val="auto"/>
          <w:lang w:val="en-US" w:eastAsia="zh-CN"/>
        </w:rPr>
        <w:t>（5）</w:t>
      </w:r>
      <w:r>
        <w:rPr>
          <w:rFonts w:hint="eastAsia"/>
          <w:color w:val="auto"/>
        </w:rPr>
        <w:t>病死畜禽</w:t>
      </w:r>
      <w:r>
        <w:rPr>
          <w:rFonts w:hint="eastAsia"/>
          <w:color w:val="auto"/>
          <w:lang w:eastAsia="zh-CN"/>
        </w:rPr>
        <w:t>处理现状</w:t>
      </w:r>
    </w:p>
    <w:p>
      <w:pPr>
        <w:ind w:firstLine="560" w:firstLineChars="200"/>
        <w:rPr>
          <w:rFonts w:hint="eastAsia"/>
          <w:bCs/>
          <w:color w:val="auto"/>
          <w:lang w:val="en-US" w:eastAsia="zh-CN"/>
        </w:rPr>
      </w:pPr>
      <w:r>
        <w:rPr>
          <w:rFonts w:hint="eastAsia"/>
          <w:color w:val="auto"/>
        </w:rPr>
        <w:t>目前我市建立</w:t>
      </w:r>
      <w:r>
        <w:rPr>
          <w:rFonts w:hint="eastAsia"/>
          <w:color w:val="auto"/>
          <w:lang w:eastAsia="zh-CN"/>
        </w:rPr>
        <w:t>了</w:t>
      </w:r>
      <w:r>
        <w:rPr>
          <w:rFonts w:hint="eastAsia"/>
          <w:color w:val="auto"/>
        </w:rPr>
        <w:t>一个市级病死动物无害化处理中心</w:t>
      </w:r>
      <w:r>
        <w:rPr>
          <w:rFonts w:hint="eastAsia"/>
          <w:color w:val="auto"/>
          <w:lang w:eastAsia="zh-CN"/>
        </w:rPr>
        <w:t>——</w:t>
      </w:r>
      <w:r>
        <w:rPr>
          <w:rFonts w:hint="eastAsia"/>
          <w:color w:val="auto"/>
        </w:rPr>
        <w:t>禹州百奥迈斯生物科技有限公司，年处理能力</w:t>
      </w:r>
      <w:r>
        <w:rPr>
          <w:rFonts w:hint="eastAsia"/>
          <w:color w:val="auto"/>
          <w:lang w:val="en-US" w:eastAsia="zh-CN"/>
        </w:rPr>
        <w:t>35</w:t>
      </w:r>
      <w:r>
        <w:rPr>
          <w:rFonts w:hint="eastAsia"/>
          <w:color w:val="auto"/>
        </w:rPr>
        <w:t>00吨，实现了全市病死动物集中处理全覆盖</w:t>
      </w:r>
      <w:r>
        <w:rPr>
          <w:rFonts w:hint="eastAsia"/>
          <w:color w:val="auto"/>
          <w:lang w:val="en-US" w:eastAsia="zh-CN"/>
        </w:rPr>
        <w:t>需求</w:t>
      </w:r>
      <w:r>
        <w:rPr>
          <w:rFonts w:hint="eastAsia"/>
          <w:color w:val="auto"/>
        </w:rPr>
        <w:t>。</w:t>
      </w:r>
    </w:p>
    <w:p>
      <w:pPr>
        <w:bidi w:val="0"/>
        <w:rPr>
          <w:rFonts w:hint="eastAsia"/>
          <w:color w:val="auto"/>
          <w:lang w:val="en-US" w:eastAsia="zh-CN"/>
        </w:rPr>
      </w:pPr>
      <w:r>
        <w:rPr>
          <w:rFonts w:hint="eastAsia"/>
          <w:color w:val="auto"/>
          <w:lang w:val="en-US" w:eastAsia="zh-CN"/>
        </w:rPr>
        <w:t>（6）禁养区划定及综合整治</w:t>
      </w:r>
    </w:p>
    <w:p>
      <w:pPr>
        <w:bidi w:val="0"/>
        <w:rPr>
          <w:rFonts w:hint="eastAsia"/>
          <w:color w:val="auto"/>
          <w:lang w:val="en-US" w:eastAsia="zh-CN"/>
        </w:rPr>
      </w:pPr>
      <w:r>
        <w:rPr>
          <w:rFonts w:hint="eastAsia"/>
          <w:color w:val="auto"/>
          <w:lang w:val="en-US" w:eastAsia="zh-CN"/>
        </w:rPr>
        <w:t>禹州市积极落实畜禽养殖禁养区相关规定，划定了《禹州市畜禽养殖禁养区调整方案的通知》（禹政办[2020]4号），全市共划定14个禁养区，主要包括颍河饮用水水源一级保护区、南水北调总干渠水源一级保护区、乡镇集中式饮用水水源保护区、人口集中区域等。</w:t>
      </w:r>
    </w:p>
    <w:p>
      <w:pPr>
        <w:ind w:firstLine="560" w:firstLineChars="200"/>
        <w:rPr>
          <w:rFonts w:hint="eastAsia"/>
          <w:bCs/>
          <w:color w:val="0000FF"/>
          <w:lang w:eastAsia="zh-CN"/>
        </w:rPr>
      </w:pPr>
      <w:r>
        <w:rPr>
          <w:rFonts w:hint="eastAsia"/>
          <w:bCs/>
          <w:color w:val="0000FF"/>
          <w:lang w:eastAsia="zh-CN"/>
        </w:rPr>
        <w:t>禹州市进行了禁养区专项整治工作，</w:t>
      </w:r>
      <w:r>
        <w:rPr>
          <w:rFonts w:hint="eastAsia"/>
          <w:bCs/>
          <w:color w:val="0000FF"/>
          <w:lang w:val="en-US" w:eastAsia="zh-CN"/>
        </w:rPr>
        <w:t>规模养殖场</w:t>
      </w:r>
      <w:r>
        <w:rPr>
          <w:rFonts w:hint="eastAsia"/>
          <w:bCs/>
          <w:color w:val="0000FF"/>
          <w:lang w:eastAsia="zh-CN"/>
        </w:rPr>
        <w:t>目前全部完成禁养区内综合整治工作，</w:t>
      </w:r>
      <w:r>
        <w:rPr>
          <w:rFonts w:hint="eastAsia"/>
          <w:bCs/>
          <w:color w:val="0000FF"/>
          <w:lang w:val="en-US" w:eastAsia="zh-CN"/>
        </w:rPr>
        <w:t>关停、转产或搬迁</w:t>
      </w:r>
      <w:r>
        <w:rPr>
          <w:rFonts w:hint="eastAsia"/>
          <w:bCs/>
          <w:color w:val="0000FF"/>
          <w:lang w:eastAsia="zh-CN"/>
        </w:rPr>
        <w:t>。</w:t>
      </w:r>
    </w:p>
    <w:p>
      <w:pPr>
        <w:ind w:firstLine="560" w:firstLineChars="200"/>
        <w:rPr>
          <w:rFonts w:hint="eastAsia"/>
          <w:bCs/>
          <w:color w:val="auto"/>
          <w:highlight w:val="none"/>
          <w:lang w:val="en-US" w:eastAsia="zh-CN"/>
        </w:rPr>
      </w:pPr>
      <w:r>
        <w:rPr>
          <w:rFonts w:hint="eastAsia"/>
          <w:bCs/>
          <w:color w:val="auto"/>
          <w:highlight w:val="none"/>
          <w:lang w:val="en-US" w:eastAsia="zh-CN"/>
        </w:rPr>
        <w:t>（7）畜禽养殖粪污产生及利用</w:t>
      </w:r>
    </w:p>
    <w:p>
      <w:pPr>
        <w:ind w:firstLine="560" w:firstLineChars="200"/>
        <w:rPr>
          <w:rFonts w:hint="eastAsia"/>
          <w:bCs/>
          <w:color w:val="auto"/>
          <w:lang w:val="en-US" w:eastAsia="zh-CN"/>
        </w:rPr>
      </w:pPr>
      <w:r>
        <w:rPr>
          <w:rFonts w:hint="eastAsia"/>
          <w:bCs/>
          <w:color w:val="auto"/>
          <w:highlight w:val="none"/>
          <w:lang w:val="en-US" w:eastAsia="zh-CN"/>
        </w:rPr>
        <w:t>根据《畜禽养殖场（户）粪污处理设施建设技术指南》（农办牧〔2022〕19号）估算2020年禹州市</w:t>
      </w:r>
      <w:r>
        <w:rPr>
          <w:rFonts w:hint="eastAsia"/>
          <w:bCs/>
          <w:color w:val="auto"/>
          <w:lang w:val="en-US" w:eastAsia="zh-CN"/>
        </w:rPr>
        <w:t>畜禽规模养殖场固体粪污产生量17.44</w:t>
      </w:r>
      <w:r>
        <w:rPr>
          <w:rFonts w:hint="eastAsia"/>
          <w:bCs/>
          <w:color w:val="auto"/>
          <w:highlight w:val="none"/>
          <w:lang w:val="en-US" w:eastAsia="zh-CN"/>
        </w:rPr>
        <w:t>万吨/年，液体粪污产生量30.84万吨/年。依据《排放源统计调查产排污核算方法和系数手册》及附表《农业源产排污系数手册》，禹州市畜禽养殖业污染物</w:t>
      </w:r>
      <w:r>
        <w:rPr>
          <w:rFonts w:hint="eastAsia"/>
          <w:bCs/>
          <w:color w:val="auto"/>
          <w:lang w:val="en-US" w:eastAsia="zh-CN"/>
        </w:rPr>
        <w:t>化学需氧量、总氮、氨氮、总磷产生量分别为</w:t>
      </w:r>
      <w:r>
        <w:rPr>
          <w:rFonts w:hint="eastAsia"/>
          <w:bCs/>
          <w:color w:val="auto"/>
          <w:highlight w:val="none"/>
          <w:lang w:val="en-US" w:eastAsia="zh-CN"/>
        </w:rPr>
        <w:t>5.47万吨</w:t>
      </w:r>
      <w:r>
        <w:rPr>
          <w:rFonts w:hint="eastAsia"/>
          <w:bCs/>
          <w:color w:val="auto"/>
          <w:lang w:val="en-US" w:eastAsia="zh-CN"/>
        </w:rPr>
        <w:t>、0.54万吨、0.07万吨、0.14万吨。禹州市畜禽粪污主要通过堆肥、厌氧发酵等处理方式处理后就地消纳，产生的畜禽粪污均得到资源化利用。</w:t>
      </w:r>
      <w:bookmarkStart w:id="41" w:name="_Toc99132356"/>
    </w:p>
    <w:p>
      <w:pPr>
        <w:pStyle w:val="6"/>
        <w:bidi w:val="0"/>
        <w:rPr>
          <w:color w:val="auto"/>
          <w:highlight w:val="none"/>
        </w:rPr>
      </w:pPr>
      <w:r>
        <w:rPr>
          <w:rFonts w:hint="eastAsia"/>
          <w:color w:val="auto"/>
          <w:highlight w:val="none"/>
        </w:rPr>
        <w:t>2.</w:t>
      </w:r>
      <w:r>
        <w:rPr>
          <w:rFonts w:hint="eastAsia"/>
          <w:color w:val="auto"/>
          <w:highlight w:val="none"/>
          <w:lang w:val="en-US" w:eastAsia="zh-CN"/>
        </w:rPr>
        <w:t>4.3</w:t>
      </w:r>
      <w:r>
        <w:rPr>
          <w:rFonts w:hint="eastAsia"/>
          <w:color w:val="auto"/>
          <w:highlight w:val="none"/>
        </w:rPr>
        <w:t>种养结合现状</w:t>
      </w:r>
      <w:bookmarkEnd w:id="41"/>
    </w:p>
    <w:p>
      <w:pPr>
        <w:ind w:firstLine="562" w:firstLineChars="200"/>
        <w:rPr>
          <w:rFonts w:hint="eastAsia"/>
          <w:b/>
          <w:bCs w:val="0"/>
          <w:color w:val="auto"/>
          <w:lang w:eastAsia="zh-CN"/>
        </w:rPr>
      </w:pPr>
      <w:r>
        <w:rPr>
          <w:rFonts w:hint="eastAsia"/>
          <w:b/>
          <w:bCs w:val="0"/>
          <w:color w:val="auto"/>
          <w:lang w:eastAsia="zh-CN"/>
        </w:rPr>
        <w:t>（1）区域种植现状</w:t>
      </w:r>
    </w:p>
    <w:p>
      <w:pPr>
        <w:ind w:firstLine="560" w:firstLineChars="200"/>
        <w:rPr>
          <w:rFonts w:hint="eastAsia"/>
          <w:bCs/>
          <w:color w:val="auto"/>
          <w:lang w:eastAsia="zh-CN"/>
        </w:rPr>
      </w:pPr>
      <w:r>
        <w:rPr>
          <w:rFonts w:hint="eastAsia"/>
          <w:bCs/>
          <w:color w:val="auto"/>
          <w:lang w:eastAsia="zh-CN"/>
        </w:rPr>
        <w:t>2020年</w:t>
      </w:r>
      <w:r>
        <w:rPr>
          <w:rFonts w:hint="eastAsia"/>
          <w:bCs/>
          <w:color w:val="auto"/>
          <w:lang w:val="en-US" w:eastAsia="zh-CN"/>
        </w:rPr>
        <w:t>禹州市</w:t>
      </w:r>
      <w:r>
        <w:rPr>
          <w:rFonts w:hint="eastAsia"/>
          <w:bCs/>
          <w:color w:val="auto"/>
          <w:lang w:eastAsia="zh-CN"/>
        </w:rPr>
        <w:t>全年粮食播种总面积</w:t>
      </w:r>
      <w:r>
        <w:rPr>
          <w:rFonts w:hint="eastAsia"/>
          <w:bCs/>
          <w:color w:val="auto"/>
          <w:lang w:val="en-US" w:eastAsia="zh-CN"/>
        </w:rPr>
        <w:t>114667公顷</w:t>
      </w:r>
      <w:r>
        <w:rPr>
          <w:rFonts w:hint="eastAsia"/>
          <w:bCs/>
          <w:color w:val="auto"/>
          <w:lang w:eastAsia="zh-CN"/>
        </w:rPr>
        <w:t>，粮食总产量71.57万吨。其中，小麦面积</w:t>
      </w:r>
      <w:r>
        <w:rPr>
          <w:rFonts w:hint="eastAsia"/>
          <w:bCs/>
          <w:color w:val="auto"/>
          <w:lang w:val="en-US" w:eastAsia="zh-CN"/>
        </w:rPr>
        <w:t>53333公顷</w:t>
      </w:r>
      <w:r>
        <w:rPr>
          <w:rFonts w:hint="eastAsia"/>
          <w:bCs/>
          <w:color w:val="auto"/>
          <w:lang w:eastAsia="zh-CN"/>
        </w:rPr>
        <w:t>，总产35.3万吨，玉米面积</w:t>
      </w:r>
      <w:r>
        <w:rPr>
          <w:rFonts w:hint="eastAsia"/>
          <w:bCs/>
          <w:color w:val="auto"/>
          <w:lang w:val="en-US" w:eastAsia="zh-CN"/>
        </w:rPr>
        <w:t>45333公顷</w:t>
      </w:r>
      <w:r>
        <w:rPr>
          <w:rFonts w:hint="eastAsia"/>
          <w:bCs/>
          <w:color w:val="auto"/>
          <w:lang w:eastAsia="zh-CN"/>
        </w:rPr>
        <w:t>，总产29.42万吨，红薯</w:t>
      </w:r>
      <w:r>
        <w:rPr>
          <w:rFonts w:hint="eastAsia"/>
          <w:bCs/>
          <w:color w:val="auto"/>
          <w:lang w:val="en-US" w:eastAsia="zh-CN"/>
        </w:rPr>
        <w:t>10000公顷</w:t>
      </w:r>
      <w:r>
        <w:rPr>
          <w:rFonts w:hint="eastAsia"/>
          <w:bCs/>
          <w:color w:val="auto"/>
          <w:lang w:eastAsia="zh-CN"/>
        </w:rPr>
        <w:t>，总产5.68万吨，大豆</w:t>
      </w:r>
      <w:r>
        <w:rPr>
          <w:rFonts w:hint="eastAsia"/>
          <w:bCs/>
          <w:color w:val="auto"/>
          <w:lang w:val="en-US" w:eastAsia="zh-CN"/>
        </w:rPr>
        <w:t>4000公顷</w:t>
      </w:r>
      <w:r>
        <w:rPr>
          <w:rFonts w:hint="eastAsia"/>
          <w:bCs/>
          <w:color w:val="auto"/>
          <w:lang w:eastAsia="zh-CN"/>
        </w:rPr>
        <w:t>，总产0.82万吨，小杂粮</w:t>
      </w:r>
      <w:r>
        <w:rPr>
          <w:rFonts w:hint="eastAsia"/>
          <w:bCs/>
          <w:color w:val="auto"/>
          <w:lang w:val="en-US" w:eastAsia="zh-CN"/>
        </w:rPr>
        <w:t>2000公顷</w:t>
      </w:r>
      <w:r>
        <w:rPr>
          <w:rFonts w:hint="eastAsia"/>
          <w:bCs/>
          <w:color w:val="auto"/>
          <w:lang w:eastAsia="zh-CN"/>
        </w:rPr>
        <w:t>，总产0.35万吨。</w:t>
      </w:r>
      <w:r>
        <w:rPr>
          <w:rFonts w:hint="eastAsia"/>
          <w:bCs/>
          <w:color w:val="auto"/>
          <w:highlight w:val="none"/>
          <w:lang w:eastAsia="zh-CN"/>
        </w:rPr>
        <w:t>棉花种植面积</w:t>
      </w:r>
      <w:r>
        <w:rPr>
          <w:rFonts w:hint="eastAsia"/>
          <w:bCs/>
          <w:color w:val="auto"/>
          <w:highlight w:val="none"/>
          <w:lang w:val="en-US" w:eastAsia="zh-CN"/>
        </w:rPr>
        <w:t>83</w:t>
      </w:r>
      <w:r>
        <w:rPr>
          <w:rFonts w:hint="eastAsia"/>
          <w:bCs/>
          <w:color w:val="auto"/>
          <w:highlight w:val="none"/>
          <w:lang w:eastAsia="zh-CN"/>
        </w:rPr>
        <w:t>公顷；油料种植面积</w:t>
      </w:r>
      <w:r>
        <w:rPr>
          <w:rFonts w:hint="eastAsia"/>
          <w:bCs/>
          <w:color w:val="auto"/>
          <w:highlight w:val="none"/>
          <w:lang w:val="en-US" w:eastAsia="zh-CN"/>
        </w:rPr>
        <w:t>3189</w:t>
      </w:r>
      <w:r>
        <w:rPr>
          <w:rFonts w:hint="eastAsia"/>
          <w:bCs/>
          <w:color w:val="auto"/>
          <w:highlight w:val="none"/>
          <w:lang w:eastAsia="zh-CN"/>
        </w:rPr>
        <w:t>公顷；烟叶种植面积</w:t>
      </w:r>
      <w:r>
        <w:rPr>
          <w:rFonts w:hint="eastAsia"/>
          <w:bCs/>
          <w:color w:val="auto"/>
          <w:highlight w:val="none"/>
          <w:lang w:val="en-US" w:eastAsia="zh-CN"/>
        </w:rPr>
        <w:t>1968</w:t>
      </w:r>
      <w:r>
        <w:rPr>
          <w:rFonts w:hint="eastAsia"/>
          <w:bCs/>
          <w:color w:val="auto"/>
          <w:highlight w:val="none"/>
          <w:lang w:eastAsia="zh-CN"/>
        </w:rPr>
        <w:t>公顷；蔬菜种植面积</w:t>
      </w:r>
      <w:r>
        <w:rPr>
          <w:rFonts w:hint="eastAsia"/>
          <w:bCs/>
          <w:color w:val="auto"/>
          <w:highlight w:val="none"/>
          <w:lang w:val="en-US" w:eastAsia="zh-CN"/>
        </w:rPr>
        <w:t>5516.09</w:t>
      </w:r>
      <w:r>
        <w:rPr>
          <w:rFonts w:hint="eastAsia"/>
          <w:bCs/>
          <w:color w:val="auto"/>
          <w:highlight w:val="none"/>
          <w:lang w:eastAsia="zh-CN"/>
        </w:rPr>
        <w:t>公顷；瓜果种植面积</w:t>
      </w:r>
      <w:r>
        <w:rPr>
          <w:rFonts w:hint="eastAsia"/>
          <w:bCs/>
          <w:color w:val="auto"/>
          <w:highlight w:val="none"/>
          <w:lang w:val="en-US" w:eastAsia="zh-CN"/>
        </w:rPr>
        <w:t>1636.03</w:t>
      </w:r>
      <w:r>
        <w:rPr>
          <w:rFonts w:hint="eastAsia"/>
          <w:bCs/>
          <w:color w:val="auto"/>
          <w:highlight w:val="none"/>
          <w:lang w:eastAsia="zh-CN"/>
        </w:rPr>
        <w:t>公顷。</w:t>
      </w:r>
      <w:r>
        <w:rPr>
          <w:rFonts w:hint="eastAsia"/>
          <w:bCs/>
          <w:color w:val="auto"/>
          <w:lang w:eastAsia="zh-CN"/>
        </w:rPr>
        <w:t>种植乡镇主要分布在朱阁镇、顺店镇、小吕镇。</w:t>
      </w:r>
    </w:p>
    <w:p>
      <w:pPr>
        <w:ind w:firstLine="562" w:firstLineChars="200"/>
        <w:rPr>
          <w:rFonts w:hint="eastAsia"/>
          <w:b/>
          <w:bCs w:val="0"/>
          <w:color w:val="auto"/>
          <w:lang w:eastAsia="zh-CN"/>
        </w:rPr>
      </w:pPr>
      <w:r>
        <w:rPr>
          <w:rFonts w:hint="eastAsia"/>
          <w:b/>
          <w:bCs w:val="0"/>
          <w:color w:val="auto"/>
          <w:lang w:eastAsia="zh-CN"/>
        </w:rPr>
        <w:t>（2）种养结合条件分析</w:t>
      </w:r>
    </w:p>
    <w:p>
      <w:pPr>
        <w:ind w:firstLine="560" w:firstLineChars="200"/>
        <w:rPr>
          <w:rFonts w:hint="eastAsia"/>
          <w:bCs/>
          <w:color w:val="0000FF"/>
          <w:lang w:val="en-US" w:eastAsia="zh-CN"/>
        </w:rPr>
      </w:pPr>
      <w:r>
        <w:rPr>
          <w:rFonts w:hint="eastAsia"/>
          <w:bCs/>
          <w:color w:val="0000FF"/>
          <w:lang w:eastAsia="zh-CN"/>
        </w:rPr>
        <w:t>十三五期间，禹州市依托本地资源优势，着力发展优质小麦、优质玉米、优质蔬菜等优质高效作物和生猪养殖、奶牛养殖等种养产业。建立了生态奶牛养殖、有机蔬菜种植、优质小麦种植等多个特色种养基地，并创建美丽牧场</w:t>
      </w:r>
      <w:r>
        <w:rPr>
          <w:rFonts w:hint="eastAsia"/>
          <w:bCs/>
          <w:color w:val="0000FF"/>
          <w:lang w:val="en-US" w:eastAsia="zh-CN"/>
        </w:rPr>
        <w:t>3家，已初步建立了种养结合的框架。</w:t>
      </w:r>
    </w:p>
    <w:p>
      <w:pPr>
        <w:ind w:left="0" w:leftChars="0" w:firstLine="560" w:firstLineChars="200"/>
        <w:rPr>
          <w:rFonts w:hint="eastAsia"/>
          <w:bCs/>
          <w:color w:val="auto"/>
          <w:lang w:val="en-US" w:eastAsia="zh-CN"/>
        </w:rPr>
      </w:pPr>
      <w:r>
        <w:rPr>
          <w:rFonts w:hint="eastAsia"/>
          <w:bCs/>
          <w:color w:val="auto"/>
          <w:lang w:eastAsia="zh-CN"/>
        </w:rPr>
        <w:t>目前禹州市</w:t>
      </w:r>
      <w:r>
        <w:rPr>
          <w:rFonts w:hint="eastAsia"/>
          <w:bCs/>
          <w:color w:val="auto"/>
          <w:lang w:val="en-US" w:eastAsia="zh-CN"/>
        </w:rPr>
        <w:t>畜禽粪污处理多为农家肥沤制、农户就地利用模式，部分</w:t>
      </w:r>
      <w:r>
        <w:rPr>
          <w:rFonts w:hint="eastAsia"/>
          <w:bCs/>
          <w:color w:val="auto"/>
          <w:lang w:eastAsia="zh-CN"/>
        </w:rPr>
        <w:t>销售至有机肥厂生产有机肥原料，最终还田利用。</w:t>
      </w:r>
      <w:r>
        <w:rPr>
          <w:rFonts w:hint="eastAsia"/>
          <w:bCs/>
          <w:color w:val="auto"/>
          <w:lang w:val="en-US" w:eastAsia="zh-CN"/>
        </w:rPr>
        <w:t>但仅有部分规模养殖场与周边农业生态园、种植大户、农户签订了消纳协议。固体粪肥科学施用有待进一步提高，液态粪肥多以漫灌、沟灌等落后的施肥方式存在，需进一步加快还田管网和田间配套设施建设。</w:t>
      </w:r>
    </w:p>
    <w:p>
      <w:pPr>
        <w:ind w:left="0" w:leftChars="0" w:firstLine="560" w:firstLineChars="200"/>
        <w:rPr>
          <w:rFonts w:hint="default"/>
          <w:bCs/>
          <w:color w:val="auto"/>
          <w:highlight w:val="yellow"/>
          <w:lang w:val="en-US" w:eastAsia="zh-CN"/>
        </w:rPr>
      </w:pPr>
      <w:r>
        <w:rPr>
          <w:rFonts w:hint="eastAsia"/>
          <w:bCs/>
          <w:color w:val="auto"/>
          <w:lang w:val="en-US" w:eastAsia="zh-CN"/>
        </w:rPr>
        <w:t>依据</w:t>
      </w:r>
      <w:r>
        <w:rPr>
          <w:rFonts w:hint="eastAsia"/>
          <w:bCs/>
          <w:color w:val="auto"/>
          <w:lang w:eastAsia="zh-CN"/>
        </w:rPr>
        <w:t>《河南省畜禽粪污资源化利用设施建设指南》（豫农文〔2020〕207号），畜禽</w:t>
      </w:r>
      <w:r>
        <w:rPr>
          <w:rFonts w:hint="eastAsia"/>
          <w:bCs/>
          <w:color w:val="auto"/>
          <w:lang w:val="en-US" w:eastAsia="zh-CN"/>
        </w:rPr>
        <w:t>规模</w:t>
      </w:r>
      <w:r>
        <w:rPr>
          <w:rFonts w:hint="eastAsia"/>
          <w:bCs/>
          <w:color w:val="auto"/>
          <w:lang w:eastAsia="zh-CN"/>
        </w:rPr>
        <w:t>养殖</w:t>
      </w:r>
      <w:r>
        <w:rPr>
          <w:rFonts w:hint="eastAsia"/>
          <w:bCs/>
          <w:color w:val="auto"/>
          <w:lang w:val="en-US" w:eastAsia="zh-CN"/>
        </w:rPr>
        <w:t>场按设计存栏量、粪肥替代按照50%，选用小麦+玉米种植的常见模式核算，大部分规模养殖场理论上配套土地面积不足，</w:t>
      </w:r>
      <w:r>
        <w:rPr>
          <w:rFonts w:hint="eastAsia"/>
          <w:bCs/>
          <w:color w:val="0000FF"/>
          <w:lang w:val="en-US" w:eastAsia="zh-CN"/>
        </w:rPr>
        <w:t>禹州市坚持“农牧结合、种养平衡”的发展思路，实施生猪排泄物综合利用治理工程，确保集中处理难度较大的规模养殖场实现自我消纳。积极探索畜禽粪污资源化利用新模式，树立典范。</w:t>
      </w:r>
    </w:p>
    <w:p>
      <w:pPr>
        <w:pStyle w:val="6"/>
        <w:bidi w:val="0"/>
        <w:rPr>
          <w:rFonts w:hint="eastAsia"/>
          <w:color w:val="auto"/>
          <w:highlight w:val="none"/>
          <w:lang w:val="en-US" w:eastAsia="zh-CN"/>
        </w:rPr>
      </w:pPr>
      <w:r>
        <w:rPr>
          <w:rFonts w:hint="eastAsia"/>
          <w:color w:val="auto"/>
          <w:highlight w:val="none"/>
          <w:lang w:val="en-US" w:eastAsia="zh-CN"/>
        </w:rPr>
        <w:t>2.4.4存在的问题</w:t>
      </w:r>
    </w:p>
    <w:p>
      <w:pPr>
        <w:ind w:firstLine="562" w:firstLineChars="200"/>
        <w:rPr>
          <w:rFonts w:hint="eastAsia"/>
          <w:b/>
          <w:bCs/>
          <w:color w:val="auto"/>
          <w:lang w:val="en-US" w:eastAsia="zh-CN"/>
        </w:rPr>
      </w:pPr>
      <w:bookmarkStart w:id="42" w:name="_Toc99132358"/>
      <w:r>
        <w:rPr>
          <w:rFonts w:hint="eastAsia"/>
          <w:b/>
          <w:bCs/>
          <w:color w:val="auto"/>
          <w:lang w:eastAsia="zh-CN"/>
        </w:rPr>
        <w:t>（1）粪污处理</w:t>
      </w:r>
      <w:r>
        <w:rPr>
          <w:rFonts w:hint="eastAsia"/>
          <w:b/>
          <w:bCs/>
          <w:color w:val="auto"/>
          <w:lang w:val="en-US" w:eastAsia="zh-CN"/>
        </w:rPr>
        <w:t>设施尚需完善</w:t>
      </w:r>
    </w:p>
    <w:p>
      <w:pPr>
        <w:ind w:firstLine="560" w:firstLineChars="200"/>
        <w:rPr>
          <w:rFonts w:hint="eastAsia"/>
          <w:color w:val="auto"/>
          <w:lang w:eastAsia="zh-CN"/>
        </w:rPr>
      </w:pPr>
      <w:r>
        <w:rPr>
          <w:rFonts w:hint="eastAsia"/>
          <w:color w:val="auto"/>
          <w:lang w:eastAsia="zh-CN"/>
        </w:rPr>
        <w:t>禹州市现有畜禽规模养殖场大多采取干清粪工艺，并配套粪污处理设施，但少数养殖场存在设施老旧的问题，不利于粪污的收集处理。规模养殖场全部配套建设有相应的粪污处理设施，但也存在一些粪污处理设施的处理能力与养殖规模不匹配、“三防”措施不到位的养殖场，产生粪污主要靠集中处理中心进行收集处理等问题。</w:t>
      </w:r>
    </w:p>
    <w:p>
      <w:pPr>
        <w:ind w:firstLine="560" w:firstLineChars="200"/>
        <w:rPr>
          <w:rFonts w:hint="eastAsia"/>
          <w:color w:val="auto"/>
          <w:lang w:eastAsia="zh-CN"/>
        </w:rPr>
      </w:pPr>
      <w:r>
        <w:rPr>
          <w:rFonts w:hint="eastAsia"/>
          <w:color w:val="auto"/>
          <w:lang w:eastAsia="zh-CN"/>
        </w:rPr>
        <w:t>在臭气处理方面，大部分规模养殖场臭气处置采取喷洒除臭剂等方式，尚未建设末端治理设施。臭气污染问题成为群众举报投诉的主要问题。</w:t>
      </w:r>
    </w:p>
    <w:p>
      <w:pPr>
        <w:ind w:firstLine="562" w:firstLineChars="200"/>
        <w:rPr>
          <w:rFonts w:hint="eastAsia"/>
          <w:b/>
          <w:bCs/>
          <w:color w:val="0000FF"/>
          <w:highlight w:val="none"/>
          <w:lang w:eastAsia="zh-CN"/>
        </w:rPr>
      </w:pPr>
      <w:r>
        <w:rPr>
          <w:rFonts w:hint="eastAsia"/>
          <w:b/>
          <w:bCs/>
          <w:color w:val="0000FF"/>
          <w:highlight w:val="none"/>
          <w:lang w:eastAsia="zh-CN"/>
        </w:rPr>
        <w:t>（</w:t>
      </w:r>
      <w:r>
        <w:rPr>
          <w:rFonts w:hint="eastAsia"/>
          <w:b/>
          <w:bCs/>
          <w:color w:val="0000FF"/>
          <w:highlight w:val="none"/>
          <w:lang w:val="en-US" w:eastAsia="zh-CN"/>
        </w:rPr>
        <w:t>2</w:t>
      </w:r>
      <w:r>
        <w:rPr>
          <w:rFonts w:hint="eastAsia"/>
          <w:b/>
          <w:bCs/>
          <w:color w:val="0000FF"/>
          <w:highlight w:val="none"/>
          <w:lang w:eastAsia="zh-CN"/>
        </w:rPr>
        <w:t>）现有配套消纳土地面积不够，种养结合尚需加强</w:t>
      </w:r>
    </w:p>
    <w:p>
      <w:pPr>
        <w:pStyle w:val="2"/>
        <w:ind w:left="0" w:leftChars="0" w:firstLine="560" w:firstLineChars="200"/>
        <w:rPr>
          <w:rFonts w:hint="eastAsia" w:ascii="Times New Roman" w:hAnsi="Times New Roman" w:eastAsia="仿宋" w:cs="Times New Roman"/>
          <w:color w:val="0000FF"/>
          <w:kern w:val="2"/>
          <w:sz w:val="28"/>
          <w:szCs w:val="22"/>
          <w:lang w:val="en-US" w:eastAsia="zh-CN" w:bidi="ar-SA"/>
        </w:rPr>
      </w:pPr>
      <w:r>
        <w:rPr>
          <w:rFonts w:hint="eastAsia" w:ascii="Times New Roman" w:hAnsi="Times New Roman" w:eastAsia="仿宋" w:cs="Times New Roman"/>
          <w:color w:val="0000FF"/>
          <w:kern w:val="2"/>
          <w:sz w:val="28"/>
          <w:szCs w:val="22"/>
          <w:lang w:val="en-US" w:eastAsia="zh-CN" w:bidi="ar-SA"/>
        </w:rPr>
        <w:t>种植业和养殖业的发展存在脱钩现象，种养结合不紧密。规模养殖场周边没有足够的农田来消纳粪便，大面积种植业区域畜禽养殖量过少，粪便供给量受限。</w:t>
      </w:r>
    </w:p>
    <w:p>
      <w:pPr>
        <w:numPr>
          <w:ilvl w:val="0"/>
          <w:numId w:val="3"/>
        </w:numPr>
        <w:ind w:firstLine="562" w:firstLineChars="200"/>
        <w:rPr>
          <w:rFonts w:hint="eastAsia"/>
          <w:b/>
          <w:bCs/>
          <w:color w:val="auto"/>
          <w:highlight w:val="none"/>
          <w:lang w:eastAsia="zh-CN"/>
        </w:rPr>
      </w:pPr>
      <w:r>
        <w:rPr>
          <w:rFonts w:hint="eastAsia"/>
          <w:b/>
          <w:bCs/>
          <w:color w:val="auto"/>
          <w:highlight w:val="none"/>
          <w:lang w:eastAsia="zh-CN"/>
        </w:rPr>
        <w:t>粪污资源化利用体系尚不健全</w:t>
      </w:r>
    </w:p>
    <w:p>
      <w:pPr>
        <w:ind w:firstLine="560" w:firstLineChars="200"/>
        <w:rPr>
          <w:rFonts w:hint="eastAsia"/>
          <w:color w:val="auto"/>
        </w:rPr>
      </w:pPr>
      <w:r>
        <w:rPr>
          <w:rFonts w:hint="eastAsia"/>
          <w:color w:val="auto"/>
          <w:lang w:val="en-US" w:eastAsia="zh-CN"/>
        </w:rPr>
        <w:t>目前有2家有机肥处理中心，但由于粪污付费机制没有良好的建立，粪污量受限，如何利用好有机肥处理中心成为需要关注的问题。</w:t>
      </w:r>
      <w:r>
        <w:rPr>
          <w:rFonts w:hint="eastAsia"/>
          <w:color w:val="auto"/>
        </w:rPr>
        <w:t>田间配套设施和粪污</w:t>
      </w:r>
      <w:r>
        <w:rPr>
          <w:rFonts w:hint="eastAsia" w:ascii="Times New Roman" w:hAnsi="Times New Roman" w:eastAsia="仿宋" w:cs="Times New Roman"/>
          <w:color w:val="auto"/>
          <w:kern w:val="2"/>
          <w:sz w:val="28"/>
          <w:szCs w:val="22"/>
          <w:lang w:val="en-US" w:eastAsia="zh-CN" w:bidi="ar-SA"/>
        </w:rPr>
        <w:t>拉运</w:t>
      </w:r>
      <w:r>
        <w:rPr>
          <w:rFonts w:hint="eastAsia" w:cs="Times New Roman"/>
          <w:color w:val="auto"/>
          <w:kern w:val="2"/>
          <w:sz w:val="28"/>
          <w:szCs w:val="22"/>
          <w:lang w:val="en-US" w:eastAsia="zh-CN" w:bidi="ar-SA"/>
        </w:rPr>
        <w:t>、</w:t>
      </w:r>
      <w:r>
        <w:rPr>
          <w:rFonts w:hint="eastAsia" w:ascii="Times New Roman" w:hAnsi="Times New Roman" w:eastAsia="仿宋" w:cs="Times New Roman"/>
          <w:color w:val="auto"/>
          <w:kern w:val="2"/>
          <w:sz w:val="28"/>
          <w:szCs w:val="22"/>
          <w:lang w:val="en-US" w:eastAsia="zh-CN" w:bidi="ar-SA"/>
        </w:rPr>
        <w:t>输送设施</w:t>
      </w:r>
      <w:r>
        <w:rPr>
          <w:rFonts w:hint="eastAsia" w:cs="Times New Roman"/>
          <w:color w:val="auto"/>
          <w:kern w:val="2"/>
          <w:sz w:val="28"/>
          <w:szCs w:val="22"/>
          <w:lang w:val="en-US" w:eastAsia="zh-CN" w:bidi="ar-SA"/>
        </w:rPr>
        <w:t>，</w:t>
      </w:r>
      <w:r>
        <w:rPr>
          <w:rFonts w:hint="eastAsia"/>
          <w:color w:val="auto"/>
        </w:rPr>
        <w:t>收</w:t>
      </w:r>
      <w:r>
        <w:rPr>
          <w:rFonts w:hint="eastAsia"/>
          <w:color w:val="auto"/>
          <w:lang w:val="en-US" w:eastAsia="zh-CN"/>
        </w:rPr>
        <w:t>集、</w:t>
      </w:r>
      <w:r>
        <w:rPr>
          <w:rFonts w:hint="eastAsia"/>
          <w:color w:val="auto"/>
        </w:rPr>
        <w:t>转运体系尚不</w:t>
      </w:r>
      <w:r>
        <w:rPr>
          <w:rFonts w:hint="eastAsia"/>
          <w:color w:val="auto"/>
          <w:lang w:eastAsia="zh-CN"/>
        </w:rPr>
        <w:t>完善，</w:t>
      </w:r>
      <w:r>
        <w:rPr>
          <w:rFonts w:hint="eastAsia"/>
          <w:color w:val="auto"/>
          <w:lang w:val="en-US" w:eastAsia="zh-CN"/>
        </w:rPr>
        <w:t>粪肥运输车辆少，</w:t>
      </w:r>
      <w:r>
        <w:rPr>
          <w:rFonts w:hint="eastAsia"/>
          <w:color w:val="auto"/>
        </w:rPr>
        <w:t>粪污利用市场化运营机制</w:t>
      </w:r>
      <w:r>
        <w:rPr>
          <w:rFonts w:hint="eastAsia"/>
          <w:color w:val="auto"/>
          <w:lang w:val="en-US" w:eastAsia="zh-CN"/>
        </w:rPr>
        <w:t>还不够健全</w:t>
      </w:r>
      <w:r>
        <w:rPr>
          <w:rFonts w:hint="eastAsia"/>
          <w:color w:val="auto"/>
        </w:rPr>
        <w:t>。</w:t>
      </w:r>
    </w:p>
    <w:p>
      <w:pPr>
        <w:ind w:firstLine="562" w:firstLineChars="200"/>
        <w:rPr>
          <w:rFonts w:hint="default"/>
          <w:b/>
          <w:bCs/>
          <w:color w:val="auto"/>
          <w:highlight w:val="none"/>
          <w:lang w:val="en-US" w:eastAsia="zh-CN"/>
        </w:rPr>
      </w:pPr>
      <w:r>
        <w:rPr>
          <w:rFonts w:hint="eastAsia"/>
          <w:b/>
          <w:bCs/>
          <w:color w:val="auto"/>
          <w:highlight w:val="none"/>
          <w:lang w:val="en-US" w:eastAsia="zh-CN"/>
        </w:rPr>
        <w:t>（4）环境监管能力亟需提升</w:t>
      </w:r>
    </w:p>
    <w:p>
      <w:pPr>
        <w:ind w:firstLine="560" w:firstLineChars="200"/>
        <w:rPr>
          <w:rFonts w:hint="eastAsia"/>
          <w:color w:val="auto"/>
          <w:lang w:eastAsia="zh-CN"/>
        </w:rPr>
      </w:pPr>
      <w:r>
        <w:rPr>
          <w:rFonts w:hint="eastAsia"/>
          <w:color w:val="auto"/>
          <w:lang w:val="en-US" w:eastAsia="zh-CN"/>
        </w:rPr>
        <w:t>畜禽养殖户仍占有相当大的比重，畜禽</w:t>
      </w:r>
      <w:r>
        <w:rPr>
          <w:rFonts w:hint="eastAsia"/>
          <w:color w:val="auto"/>
          <w:lang w:eastAsia="zh-CN"/>
        </w:rPr>
        <w:t>养殖户在畜禽粪便综合利用上随意性较大，管理部门缺少有效手段和法律依据对其进行约束。</w:t>
      </w:r>
      <w:r>
        <w:rPr>
          <w:rFonts w:hint="eastAsia"/>
          <w:color w:val="0000FF"/>
          <w:lang w:eastAsia="zh-CN"/>
        </w:rPr>
        <w:t>规模养殖场资源化利用台账制度实施的时间较短，</w:t>
      </w:r>
      <w:r>
        <w:rPr>
          <w:rFonts w:hint="eastAsia"/>
          <w:color w:val="0000FF"/>
          <w:lang w:val="en-US" w:eastAsia="zh-CN"/>
        </w:rPr>
        <w:t>普遍存在不够规范的现象，</w:t>
      </w:r>
      <w:r>
        <w:rPr>
          <w:rFonts w:hint="eastAsia"/>
          <w:color w:val="0000FF"/>
          <w:lang w:eastAsia="zh-CN"/>
        </w:rPr>
        <w:t>且管理部门对其台账规范性检查等工作还尚未开展。</w:t>
      </w:r>
    </w:p>
    <w:p>
      <w:pPr>
        <w:bidi w:val="0"/>
        <w:ind w:left="0" w:leftChars="0" w:firstLine="560" w:firstLineChars="200"/>
        <w:rPr>
          <w:rFonts w:hint="eastAsia"/>
          <w:color w:val="auto"/>
          <w:lang w:val="en-US" w:eastAsia="zh-CN"/>
        </w:rPr>
      </w:pPr>
      <w:r>
        <w:rPr>
          <w:rFonts w:hint="eastAsia"/>
          <w:color w:val="auto"/>
          <w:lang w:eastAsia="zh-CN"/>
        </w:rPr>
        <w:t>信息化监管能力较为薄弱，个别畜禽养殖场畜禽粪污资源化利用意识不强，已安装的粪污处理设施设备不正常运行，存在偷排、漏排的可能。</w:t>
      </w:r>
      <w:r>
        <w:rPr>
          <w:rFonts w:hint="eastAsia"/>
          <w:color w:val="auto"/>
          <w:lang w:val="en-US" w:eastAsia="zh-CN"/>
        </w:rPr>
        <w:t>缺乏有针对性的畜禽养殖业污染源对应的水质监测断面。</w:t>
      </w:r>
      <w:r>
        <w:rPr>
          <w:rFonts w:hint="eastAsia"/>
          <w:color w:val="auto"/>
          <w:lang w:val="en-US" w:eastAsia="zh-CN"/>
        </w:rPr>
        <w:br w:type="page"/>
      </w:r>
    </w:p>
    <w:p>
      <w:pPr>
        <w:pStyle w:val="4"/>
        <w:bidi w:val="0"/>
        <w:outlineLvl w:val="0"/>
        <w:rPr>
          <w:color w:val="auto"/>
        </w:rPr>
      </w:pPr>
      <w:bookmarkStart w:id="43" w:name="_Toc24399"/>
      <w:bookmarkStart w:id="44" w:name="_Toc10413"/>
      <w:r>
        <w:rPr>
          <w:rFonts w:hint="eastAsia"/>
          <w:color w:val="auto"/>
          <w:lang w:val="en-US" w:eastAsia="zh-CN"/>
        </w:rPr>
        <w:t xml:space="preserve">3 </w:t>
      </w:r>
      <w:r>
        <w:rPr>
          <w:rFonts w:hint="eastAsia"/>
          <w:color w:val="auto"/>
        </w:rPr>
        <w:t>规划</w:t>
      </w:r>
      <w:r>
        <w:rPr>
          <w:color w:val="auto"/>
        </w:rPr>
        <w:t>指标</w:t>
      </w:r>
      <w:r>
        <w:rPr>
          <w:rFonts w:hint="eastAsia"/>
          <w:color w:val="auto"/>
        </w:rPr>
        <w:t>与目标</w:t>
      </w:r>
      <w:bookmarkEnd w:id="42"/>
      <w:bookmarkEnd w:id="43"/>
      <w:bookmarkEnd w:id="44"/>
    </w:p>
    <w:p>
      <w:pPr>
        <w:pStyle w:val="5"/>
        <w:bidi w:val="0"/>
        <w:outlineLvl w:val="1"/>
        <w:rPr>
          <w:rFonts w:hint="default"/>
          <w:color w:val="auto"/>
          <w:lang w:val="en-US" w:eastAsia="zh-CN"/>
        </w:rPr>
      </w:pPr>
      <w:bookmarkStart w:id="45" w:name="_Toc12224"/>
      <w:bookmarkStart w:id="46" w:name="_Toc14762"/>
      <w:r>
        <w:rPr>
          <w:rFonts w:hint="eastAsia"/>
          <w:color w:val="auto"/>
          <w:lang w:val="en-US" w:eastAsia="zh-CN"/>
        </w:rPr>
        <w:t>3</w:t>
      </w:r>
      <w:r>
        <w:rPr>
          <w:rFonts w:hint="eastAsia"/>
          <w:color w:val="auto"/>
        </w:rPr>
        <w:t>.1</w:t>
      </w:r>
      <w:r>
        <w:rPr>
          <w:rFonts w:hint="eastAsia"/>
          <w:color w:val="auto"/>
          <w:lang w:val="en-US" w:eastAsia="zh-CN"/>
        </w:rPr>
        <w:t>规划目标指标</w:t>
      </w:r>
      <w:bookmarkEnd w:id="45"/>
      <w:bookmarkEnd w:id="46"/>
    </w:p>
    <w:p>
      <w:pPr>
        <w:rPr>
          <w:rFonts w:hint="eastAsia"/>
          <w:color w:val="auto"/>
        </w:rPr>
      </w:pPr>
      <w:r>
        <w:rPr>
          <w:rFonts w:hint="eastAsia"/>
          <w:color w:val="auto"/>
          <w:lang w:eastAsia="zh-CN"/>
        </w:rPr>
        <w:t>总体目标：到2025年，基于种养循环的资源化利用体系基本形成，畜禽养殖污染防治水平进一步提升，基本建成科学规范、权责清晰、约束有力的畜禽养殖废弃物资源化利用体系。</w:t>
      </w:r>
    </w:p>
    <w:p>
      <w:pPr>
        <w:ind w:left="0" w:leftChars="0" w:firstLine="0" w:firstLineChars="0"/>
        <w:jc w:val="center"/>
        <w:rPr>
          <w:rFonts w:hint="eastAsia"/>
          <w:b/>
          <w:bCs/>
          <w:color w:val="auto"/>
          <w:sz w:val="28"/>
          <w:szCs w:val="28"/>
          <w:lang w:val="en-US" w:eastAsia="zh-CN"/>
        </w:rPr>
      </w:pPr>
      <w:r>
        <w:rPr>
          <w:b/>
          <w:bCs/>
          <w:color w:val="auto"/>
          <w:sz w:val="28"/>
          <w:szCs w:val="28"/>
        </w:rPr>
        <w:t>表</w:t>
      </w:r>
      <w:r>
        <w:rPr>
          <w:rFonts w:hint="eastAsia"/>
          <w:b/>
          <w:bCs/>
          <w:color w:val="auto"/>
          <w:sz w:val="28"/>
          <w:szCs w:val="28"/>
          <w:lang w:val="en-US" w:eastAsia="zh-CN"/>
        </w:rPr>
        <w:t>3</w:t>
      </w:r>
      <w:r>
        <w:rPr>
          <w:b/>
          <w:bCs/>
          <w:color w:val="auto"/>
          <w:sz w:val="28"/>
          <w:szCs w:val="28"/>
        </w:rPr>
        <w:t>-</w:t>
      </w:r>
      <w:r>
        <w:rPr>
          <w:rFonts w:hint="eastAsia"/>
          <w:b/>
          <w:bCs/>
          <w:color w:val="auto"/>
          <w:sz w:val="28"/>
          <w:szCs w:val="28"/>
          <w:lang w:val="en-US" w:eastAsia="zh-CN"/>
        </w:rPr>
        <w:t>1</w:t>
      </w:r>
      <w:r>
        <w:rPr>
          <w:b/>
          <w:bCs/>
          <w:color w:val="auto"/>
          <w:sz w:val="28"/>
          <w:szCs w:val="28"/>
        </w:rPr>
        <w:t>-1</w:t>
      </w:r>
      <w:r>
        <w:rPr>
          <w:rFonts w:hint="eastAsia"/>
          <w:b/>
          <w:bCs/>
          <w:color w:val="auto"/>
          <w:sz w:val="28"/>
          <w:szCs w:val="28"/>
          <w:lang w:val="en-US" w:eastAsia="zh-CN"/>
        </w:rPr>
        <w:t xml:space="preserve">  禹州市“十四五”畜禽养殖污染防治主要指标</w:t>
      </w:r>
    </w:p>
    <w:tbl>
      <w:tblPr>
        <w:tblStyle w:val="15"/>
        <w:tblW w:w="501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923"/>
        <w:gridCol w:w="3150"/>
        <w:gridCol w:w="1427"/>
        <w:gridCol w:w="1420"/>
        <w:gridCol w:w="14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2" w:hRule="atLeast"/>
          <w:tblHeader/>
        </w:trPr>
        <w:tc>
          <w:tcPr>
            <w:tcW w:w="553" w:type="pct"/>
            <w:noWrap w:val="0"/>
            <w:vAlign w:val="center"/>
          </w:tcPr>
          <w:p>
            <w:pPr>
              <w:keepNext w:val="0"/>
              <w:keepLines w:val="0"/>
              <w:widowControl/>
              <w:suppressLineNumbers w:val="0"/>
              <w:ind w:left="0" w:leftChars="0" w:firstLine="0" w:firstLineChars="0"/>
              <w:jc w:val="center"/>
              <w:textAlignment w:val="center"/>
              <w:rPr>
                <w:rFonts w:hint="default" w:ascii="Times New Roman" w:hAnsi="Times New Roman" w:eastAsia="仿宋" w:cs="Times New Roman"/>
                <w:b/>
                <w:bCs/>
                <w:i w:val="0"/>
                <w:iCs w:val="0"/>
                <w:color w:val="auto"/>
                <w:kern w:val="0"/>
                <w:sz w:val="24"/>
                <w:szCs w:val="24"/>
                <w:u w:val="none"/>
                <w:lang w:val="en-US" w:eastAsia="zh-CN" w:bidi="ar"/>
              </w:rPr>
            </w:pPr>
            <w:r>
              <w:rPr>
                <w:rFonts w:hint="default" w:ascii="Times New Roman" w:hAnsi="Times New Roman" w:eastAsia="仿宋" w:cs="Times New Roman"/>
                <w:b/>
                <w:bCs/>
                <w:i w:val="0"/>
                <w:iCs w:val="0"/>
                <w:color w:val="auto"/>
                <w:kern w:val="0"/>
                <w:sz w:val="24"/>
                <w:szCs w:val="24"/>
                <w:u w:val="none"/>
                <w:lang w:val="en-US" w:eastAsia="zh-CN" w:bidi="ar"/>
              </w:rPr>
              <w:t>序号</w:t>
            </w:r>
          </w:p>
        </w:tc>
        <w:tc>
          <w:tcPr>
            <w:tcW w:w="1887" w:type="pct"/>
            <w:noWrap w:val="0"/>
            <w:vAlign w:val="center"/>
          </w:tcPr>
          <w:p>
            <w:pPr>
              <w:keepNext w:val="0"/>
              <w:keepLines w:val="0"/>
              <w:widowControl/>
              <w:suppressLineNumbers w:val="0"/>
              <w:ind w:left="0" w:leftChars="0" w:firstLine="0" w:firstLineChars="0"/>
              <w:jc w:val="center"/>
              <w:textAlignment w:val="center"/>
              <w:rPr>
                <w:rFonts w:hint="default" w:ascii="Times New Roman" w:hAnsi="Times New Roman" w:eastAsia="仿宋" w:cs="Times New Roman"/>
                <w:b/>
                <w:bCs/>
                <w:i w:val="0"/>
                <w:iCs w:val="0"/>
                <w:color w:val="auto"/>
                <w:kern w:val="0"/>
                <w:sz w:val="24"/>
                <w:szCs w:val="24"/>
                <w:u w:val="none"/>
                <w:lang w:val="zh-CN" w:eastAsia="zh-CN" w:bidi="ar"/>
              </w:rPr>
            </w:pPr>
            <w:r>
              <w:rPr>
                <w:rFonts w:hint="eastAsia" w:cs="Times New Roman"/>
                <w:b/>
                <w:bCs/>
                <w:i w:val="0"/>
                <w:iCs w:val="0"/>
                <w:color w:val="auto"/>
                <w:kern w:val="0"/>
                <w:sz w:val="24"/>
                <w:szCs w:val="24"/>
                <w:u w:val="none"/>
                <w:lang w:val="en-US" w:eastAsia="zh-CN" w:bidi="ar"/>
              </w:rPr>
              <w:t>指标名称</w:t>
            </w:r>
          </w:p>
        </w:tc>
        <w:tc>
          <w:tcPr>
            <w:tcW w:w="855" w:type="pct"/>
            <w:noWrap w:val="0"/>
            <w:vAlign w:val="center"/>
          </w:tcPr>
          <w:p>
            <w:pPr>
              <w:keepNext w:val="0"/>
              <w:keepLines w:val="0"/>
              <w:widowControl/>
              <w:suppressLineNumbers w:val="0"/>
              <w:ind w:left="0" w:leftChars="0" w:firstLine="0" w:firstLineChars="0"/>
              <w:jc w:val="center"/>
              <w:textAlignment w:val="center"/>
              <w:rPr>
                <w:rFonts w:hint="default" w:cs="Times New Roman"/>
                <w:b/>
                <w:bCs/>
                <w:i w:val="0"/>
                <w:iCs w:val="0"/>
                <w:color w:val="auto"/>
                <w:kern w:val="0"/>
                <w:sz w:val="24"/>
                <w:szCs w:val="24"/>
                <w:u w:val="none"/>
                <w:lang w:val="en-US" w:eastAsia="zh-CN" w:bidi="ar"/>
              </w:rPr>
            </w:pPr>
            <w:r>
              <w:rPr>
                <w:rFonts w:hint="eastAsia" w:cs="Times New Roman"/>
                <w:b/>
                <w:bCs/>
                <w:i w:val="0"/>
                <w:iCs w:val="0"/>
                <w:color w:val="auto"/>
                <w:kern w:val="0"/>
                <w:sz w:val="24"/>
                <w:szCs w:val="24"/>
                <w:u w:val="none"/>
                <w:lang w:val="en-US" w:eastAsia="zh-CN" w:bidi="ar"/>
              </w:rPr>
              <w:t>现状值</w:t>
            </w:r>
          </w:p>
        </w:tc>
        <w:tc>
          <w:tcPr>
            <w:tcW w:w="851" w:type="pct"/>
            <w:noWrap w:val="0"/>
            <w:vAlign w:val="center"/>
          </w:tcPr>
          <w:p>
            <w:pPr>
              <w:keepNext w:val="0"/>
              <w:keepLines w:val="0"/>
              <w:widowControl/>
              <w:suppressLineNumbers w:val="0"/>
              <w:ind w:left="0" w:leftChars="0" w:firstLine="0" w:firstLineChars="0"/>
              <w:jc w:val="center"/>
              <w:textAlignment w:val="center"/>
              <w:rPr>
                <w:rFonts w:hint="default" w:cs="Times New Roman"/>
                <w:b/>
                <w:bCs/>
                <w:i w:val="0"/>
                <w:iCs w:val="0"/>
                <w:color w:val="auto"/>
                <w:kern w:val="0"/>
                <w:sz w:val="24"/>
                <w:szCs w:val="24"/>
                <w:u w:val="none"/>
                <w:lang w:val="en-US" w:eastAsia="zh-CN" w:bidi="ar"/>
              </w:rPr>
            </w:pPr>
            <w:r>
              <w:rPr>
                <w:rFonts w:hint="eastAsia" w:cs="Times New Roman"/>
                <w:b/>
                <w:bCs/>
                <w:i w:val="0"/>
                <w:iCs w:val="0"/>
                <w:color w:val="auto"/>
                <w:kern w:val="0"/>
                <w:sz w:val="24"/>
                <w:szCs w:val="24"/>
                <w:u w:val="none"/>
                <w:lang w:val="en-US" w:eastAsia="zh-CN" w:bidi="ar"/>
              </w:rPr>
              <w:t>2025年</w:t>
            </w:r>
          </w:p>
        </w:tc>
        <w:tc>
          <w:tcPr>
            <w:tcW w:w="852" w:type="pct"/>
            <w:noWrap w:val="0"/>
            <w:vAlign w:val="center"/>
          </w:tcPr>
          <w:p>
            <w:pPr>
              <w:keepNext w:val="0"/>
              <w:keepLines w:val="0"/>
              <w:widowControl/>
              <w:suppressLineNumbers w:val="0"/>
              <w:ind w:left="0" w:leftChars="0" w:firstLine="0" w:firstLineChars="0"/>
              <w:jc w:val="center"/>
              <w:textAlignment w:val="center"/>
              <w:rPr>
                <w:rFonts w:hint="eastAsia" w:ascii="Times New Roman" w:hAnsi="Times New Roman" w:eastAsia="仿宋" w:cs="Times New Roman"/>
                <w:b/>
                <w:bCs/>
                <w:i w:val="0"/>
                <w:iCs w:val="0"/>
                <w:color w:val="auto"/>
                <w:kern w:val="0"/>
                <w:sz w:val="24"/>
                <w:szCs w:val="24"/>
                <w:u w:val="none"/>
                <w:lang w:val="en-US" w:eastAsia="zh-CN" w:bidi="ar"/>
              </w:rPr>
            </w:pPr>
            <w:r>
              <w:rPr>
                <w:rFonts w:hint="eastAsia" w:cs="Times New Roman"/>
                <w:b/>
                <w:bCs/>
                <w:i w:val="0"/>
                <w:iCs w:val="0"/>
                <w:color w:val="auto"/>
                <w:kern w:val="0"/>
                <w:sz w:val="24"/>
                <w:szCs w:val="24"/>
                <w:u w:val="none"/>
                <w:lang w:val="en-US" w:eastAsia="zh-CN" w:bidi="ar"/>
              </w:rPr>
              <w:t>指标类型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5" w:hRule="atLeast"/>
        </w:trPr>
        <w:tc>
          <w:tcPr>
            <w:tcW w:w="553"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default" w:ascii="Times New Roman" w:hAnsi="Times New Roman" w:eastAsia="仿宋" w:cs="Times New Roman"/>
                <w:i w:val="0"/>
                <w:iCs w:val="0"/>
                <w:color w:val="auto"/>
                <w:kern w:val="0"/>
                <w:sz w:val="24"/>
                <w:szCs w:val="24"/>
                <w:u w:val="none"/>
                <w:lang w:val="en-US" w:eastAsia="zh-CN" w:bidi="ar"/>
              </w:rPr>
              <w:t>1</w:t>
            </w:r>
          </w:p>
        </w:tc>
        <w:tc>
          <w:tcPr>
            <w:tcW w:w="1887"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畜禽粪污综合利用率*</w:t>
            </w:r>
          </w:p>
        </w:tc>
        <w:tc>
          <w:tcPr>
            <w:tcW w:w="855"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80%</w:t>
            </w:r>
          </w:p>
        </w:tc>
        <w:tc>
          <w:tcPr>
            <w:tcW w:w="851"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83%</w:t>
            </w:r>
          </w:p>
        </w:tc>
        <w:tc>
          <w:tcPr>
            <w:tcW w:w="852"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1" w:hRule="atLeast"/>
        </w:trPr>
        <w:tc>
          <w:tcPr>
            <w:tcW w:w="553"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default" w:ascii="Times New Roman" w:hAnsi="Times New Roman" w:eastAsia="仿宋" w:cs="Times New Roman"/>
                <w:i w:val="0"/>
                <w:iCs w:val="0"/>
                <w:color w:val="auto"/>
                <w:kern w:val="0"/>
                <w:sz w:val="24"/>
                <w:szCs w:val="24"/>
                <w:u w:val="none"/>
                <w:lang w:val="en-US" w:eastAsia="zh-CN" w:bidi="ar"/>
              </w:rPr>
              <w:t>2</w:t>
            </w:r>
          </w:p>
        </w:tc>
        <w:tc>
          <w:tcPr>
            <w:tcW w:w="1887"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畜禽规模养殖场粪污处理设施装备配套率</w:t>
            </w:r>
          </w:p>
        </w:tc>
        <w:tc>
          <w:tcPr>
            <w:tcW w:w="85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98%</w:t>
            </w:r>
          </w:p>
        </w:tc>
        <w:tc>
          <w:tcPr>
            <w:tcW w:w="851"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100%</w:t>
            </w:r>
          </w:p>
        </w:tc>
        <w:tc>
          <w:tcPr>
            <w:tcW w:w="852"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1" w:hRule="atLeast"/>
        </w:trPr>
        <w:tc>
          <w:tcPr>
            <w:tcW w:w="553"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default" w:ascii="Times New Roman" w:hAnsi="Times New Roman" w:eastAsia="仿宋" w:cs="Times New Roman"/>
                <w:i w:val="0"/>
                <w:iCs w:val="0"/>
                <w:color w:val="auto"/>
                <w:kern w:val="0"/>
                <w:sz w:val="24"/>
                <w:szCs w:val="24"/>
                <w:u w:val="none"/>
                <w:lang w:val="en-US" w:eastAsia="zh-CN" w:bidi="ar"/>
              </w:rPr>
              <w:t>3</w:t>
            </w:r>
          </w:p>
        </w:tc>
        <w:tc>
          <w:tcPr>
            <w:tcW w:w="1887"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畜禽规模养殖场粪污资源化利用台账覆盖率</w:t>
            </w:r>
          </w:p>
        </w:tc>
        <w:tc>
          <w:tcPr>
            <w:tcW w:w="855"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w:t>
            </w:r>
          </w:p>
        </w:tc>
        <w:tc>
          <w:tcPr>
            <w:tcW w:w="851"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100%</w:t>
            </w:r>
          </w:p>
        </w:tc>
        <w:tc>
          <w:tcPr>
            <w:tcW w:w="852"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2" w:hRule="atLeast"/>
        </w:trPr>
        <w:tc>
          <w:tcPr>
            <w:tcW w:w="553"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default" w:ascii="Times New Roman" w:hAnsi="Times New Roman" w:eastAsia="仿宋" w:cs="Times New Roman"/>
                <w:i w:val="0"/>
                <w:iCs w:val="0"/>
                <w:color w:val="auto"/>
                <w:kern w:val="0"/>
                <w:sz w:val="24"/>
                <w:szCs w:val="24"/>
                <w:u w:val="none"/>
                <w:lang w:val="en-US" w:eastAsia="zh-CN" w:bidi="ar"/>
              </w:rPr>
              <w:t>4</w:t>
            </w:r>
          </w:p>
        </w:tc>
        <w:tc>
          <w:tcPr>
            <w:tcW w:w="1887"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大型规模养殖场氨减排比例</w:t>
            </w:r>
          </w:p>
        </w:tc>
        <w:tc>
          <w:tcPr>
            <w:tcW w:w="85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w:t>
            </w:r>
          </w:p>
        </w:tc>
        <w:tc>
          <w:tcPr>
            <w:tcW w:w="851"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削减</w:t>
            </w:r>
            <w:r>
              <w:rPr>
                <w:rFonts w:hint="default" w:cs="Times New Roman"/>
                <w:i w:val="0"/>
                <w:iCs w:val="0"/>
                <w:color w:val="auto"/>
                <w:kern w:val="0"/>
                <w:sz w:val="24"/>
                <w:szCs w:val="24"/>
                <w:u w:val="none"/>
                <w:lang w:val="en-US" w:eastAsia="zh-CN" w:bidi="ar"/>
              </w:rPr>
              <w:t>5</w:t>
            </w:r>
            <w:r>
              <w:rPr>
                <w:rFonts w:hint="eastAsia" w:cs="Times New Roman"/>
                <w:i w:val="0"/>
                <w:iCs w:val="0"/>
                <w:color w:val="auto"/>
                <w:kern w:val="0"/>
                <w:sz w:val="24"/>
                <w:szCs w:val="24"/>
                <w:u w:val="none"/>
                <w:lang w:val="en-US" w:eastAsia="zh-CN" w:bidi="ar"/>
              </w:rPr>
              <w:t>%</w:t>
            </w:r>
          </w:p>
        </w:tc>
        <w:tc>
          <w:tcPr>
            <w:tcW w:w="852"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i w:val="0"/>
                <w:iCs w:val="0"/>
                <w:color w:val="auto"/>
                <w:kern w:val="0"/>
                <w:sz w:val="24"/>
                <w:szCs w:val="24"/>
                <w:u w:val="none"/>
                <w:lang w:val="en-US" w:eastAsia="zh-CN" w:bidi="ar"/>
              </w:rPr>
            </w:pPr>
            <w:r>
              <w:rPr>
                <w:rFonts w:hint="eastAsia" w:cs="Times New Roman"/>
                <w:i w:val="0"/>
                <w:iCs w:val="0"/>
                <w:color w:val="auto"/>
                <w:kern w:val="0"/>
                <w:sz w:val="24"/>
                <w:szCs w:val="24"/>
                <w:u w:val="none"/>
                <w:lang w:val="en-US" w:eastAsia="zh-CN" w:bidi="ar"/>
              </w:rPr>
              <w:t>预期性</w:t>
            </w:r>
          </w:p>
        </w:tc>
      </w:tr>
    </w:tbl>
    <w:p>
      <w:pPr>
        <w:bidi w:val="0"/>
        <w:ind w:left="0" w:leftChars="0" w:firstLine="0" w:firstLineChars="0"/>
        <w:rPr>
          <w:rFonts w:hint="default" w:eastAsia="仿宋"/>
          <w:color w:val="auto"/>
          <w:sz w:val="24"/>
          <w:szCs w:val="24"/>
          <w:lang w:val="en-US" w:eastAsia="zh-CN"/>
        </w:rPr>
      </w:pPr>
      <w:bookmarkStart w:id="47" w:name="_Toc99132360"/>
      <w:r>
        <w:rPr>
          <w:rFonts w:hint="eastAsia"/>
          <w:color w:val="auto"/>
          <w:sz w:val="24"/>
          <w:szCs w:val="24"/>
          <w:lang w:val="en-US" w:eastAsia="zh-CN"/>
        </w:rPr>
        <w:t>注：*以氮元素核算，与省级指标保持一致。</w:t>
      </w:r>
    </w:p>
    <w:p>
      <w:pPr>
        <w:pStyle w:val="5"/>
        <w:bidi w:val="0"/>
        <w:rPr>
          <w:color w:val="auto"/>
        </w:rPr>
      </w:pPr>
      <w:bookmarkStart w:id="48" w:name="_Toc9111"/>
      <w:bookmarkStart w:id="49" w:name="_Toc20793"/>
      <w:r>
        <w:rPr>
          <w:rFonts w:hint="eastAsia"/>
          <w:color w:val="auto"/>
        </w:rPr>
        <w:t>3.2畜禽粪污环境承载力分析</w:t>
      </w:r>
      <w:bookmarkEnd w:id="47"/>
      <w:bookmarkEnd w:id="48"/>
      <w:bookmarkEnd w:id="49"/>
    </w:p>
    <w:p>
      <w:pPr>
        <w:pStyle w:val="6"/>
        <w:bidi w:val="0"/>
        <w:rPr>
          <w:color w:val="auto"/>
        </w:rPr>
      </w:pPr>
      <w:bookmarkStart w:id="50" w:name="_Toc99132361"/>
      <w:r>
        <w:rPr>
          <w:rFonts w:hint="eastAsia"/>
          <w:color w:val="auto"/>
        </w:rPr>
        <w:t>3.2.1畜禽</w:t>
      </w:r>
      <w:r>
        <w:rPr>
          <w:color w:val="auto"/>
        </w:rPr>
        <w:t>粪污土地承载力测算</w:t>
      </w:r>
      <w:bookmarkEnd w:id="50"/>
    </w:p>
    <w:p>
      <w:pPr>
        <w:bidi w:val="0"/>
        <w:rPr>
          <w:rFonts w:hint="default" w:eastAsia="仿宋"/>
          <w:color w:val="auto"/>
          <w:sz w:val="28"/>
          <w:szCs w:val="28"/>
          <w:lang w:val="en-US" w:eastAsia="zh-CN"/>
        </w:rPr>
      </w:pPr>
      <w:r>
        <w:rPr>
          <w:color w:val="auto"/>
        </w:rPr>
        <w:t>根据</w:t>
      </w:r>
      <w:r>
        <w:rPr>
          <w:rFonts w:hint="eastAsia"/>
          <w:color w:val="auto"/>
        </w:rPr>
        <w:t>《畜禽粪便土地承载力测算方法》（NY/T 3877-2021）、《河南省畜禽粪污资源化利用设施建设指南》（豫农文〔2020〕207号）</w:t>
      </w:r>
      <w:r>
        <w:rPr>
          <w:rFonts w:hint="eastAsia"/>
          <w:color w:val="auto"/>
          <w:lang w:eastAsia="zh-CN"/>
        </w:rPr>
        <w:t>、</w:t>
      </w:r>
      <w:r>
        <w:rPr>
          <w:rFonts w:hint="eastAsia"/>
          <w:color w:val="auto"/>
          <w:lang w:val="en-US" w:eastAsia="zh-CN"/>
        </w:rPr>
        <w:t>2020年各乡镇种植业、畜禽养殖业统计数据，土壤氮磷养分等级按照二类地，粪肥替代比例按50%估算，</w:t>
      </w:r>
      <w:r>
        <w:rPr>
          <w:rFonts w:hint="eastAsia"/>
          <w:color w:val="auto"/>
          <w:sz w:val="28"/>
          <w:szCs w:val="28"/>
          <w:lang w:val="en-US" w:eastAsia="zh-CN"/>
        </w:rPr>
        <w:t>区域土地可承载223.35</w:t>
      </w:r>
      <w:r>
        <w:rPr>
          <w:rFonts w:hint="eastAsia"/>
          <w:color w:val="auto"/>
          <w:lang w:val="en-US" w:eastAsia="zh-CN"/>
        </w:rPr>
        <w:t>万头</w:t>
      </w:r>
      <w:r>
        <w:rPr>
          <w:rFonts w:hint="eastAsia"/>
          <w:color w:val="auto"/>
          <w:sz w:val="28"/>
          <w:szCs w:val="28"/>
          <w:lang w:val="en-US" w:eastAsia="zh-CN"/>
        </w:rPr>
        <w:t>猪当量，是现状养殖量的3.07倍。全市无超载乡镇，火龙镇、山货乡、鸿畅镇、小吕镇等4个乡镇土地可承载猪当量是现状养殖量的5倍以上；顺店镇、古城镇、无梁镇、文殊镇、鸠山镇、褚河镇、范坡镇、郭连镇、浅井镇、方岗镇、花石镇、张得镇、磨街镇、梁北镇、苌庄镇、方山镇、朱阁镇等17个乡镇土地可承载猪当量是现状养殖量的1.2~5倍之间；</w:t>
      </w:r>
      <w:r>
        <w:rPr>
          <w:rFonts w:hint="eastAsia"/>
          <w:color w:val="auto"/>
          <w:sz w:val="28"/>
          <w:szCs w:val="28"/>
          <w:highlight w:val="none"/>
          <w:lang w:val="en-US" w:eastAsia="zh-CN"/>
        </w:rPr>
        <w:t>神后镇土地可承载猪当量是现状养殖量的1~1.2倍之间</w:t>
      </w:r>
      <w:r>
        <w:rPr>
          <w:rFonts w:hint="eastAsia"/>
          <w:color w:val="auto"/>
          <w:sz w:val="28"/>
          <w:szCs w:val="28"/>
          <w:lang w:val="en-US" w:eastAsia="zh-CN"/>
        </w:rPr>
        <w:t>；</w:t>
      </w:r>
      <w:r>
        <w:rPr>
          <w:rFonts w:hint="eastAsia"/>
          <w:color w:val="auto"/>
          <w:sz w:val="28"/>
          <w:szCs w:val="28"/>
          <w:lang w:eastAsia="zh-CN"/>
        </w:rPr>
        <w:t>颍川街道办事处、夏都街道办事处、韩城街道办事处、钧台街道办事处</w:t>
      </w:r>
      <w:r>
        <w:rPr>
          <w:rFonts w:hint="eastAsia"/>
          <w:color w:val="auto"/>
          <w:sz w:val="28"/>
          <w:szCs w:val="28"/>
          <w:lang w:val="en-US" w:eastAsia="zh-CN"/>
        </w:rPr>
        <w:t>无养殖业，有种植业，可用于粪污消纳。</w:t>
      </w:r>
    </w:p>
    <w:p>
      <w:pPr>
        <w:pStyle w:val="6"/>
        <w:bidi w:val="0"/>
        <w:rPr>
          <w:rFonts w:hint="eastAsia"/>
          <w:color w:val="auto"/>
        </w:rPr>
      </w:pPr>
      <w:r>
        <w:rPr>
          <w:rFonts w:hint="eastAsia"/>
          <w:color w:val="auto"/>
        </w:rPr>
        <w:t>3.2.</w:t>
      </w:r>
      <w:r>
        <w:rPr>
          <w:rFonts w:hint="eastAsia"/>
          <w:color w:val="auto"/>
          <w:lang w:val="en-US" w:eastAsia="zh-CN"/>
        </w:rPr>
        <w:t>2</w:t>
      </w:r>
      <w:r>
        <w:rPr>
          <w:rFonts w:hint="eastAsia"/>
          <w:color w:val="auto"/>
        </w:rPr>
        <w:t>水环境承载力测算</w:t>
      </w:r>
    </w:p>
    <w:p>
      <w:pPr>
        <w:bidi w:val="0"/>
        <w:rPr>
          <w:rFonts w:hint="eastAsia" w:eastAsia="仿宋"/>
          <w:color w:val="auto"/>
          <w:lang w:eastAsia="zh-CN"/>
        </w:rPr>
      </w:pPr>
      <w:r>
        <w:rPr>
          <w:rFonts w:hint="eastAsia"/>
          <w:color w:val="auto"/>
        </w:rPr>
        <w:t>依据《水环境承载力评价办法（试行）》，统计2021年</w:t>
      </w:r>
      <w:r>
        <w:rPr>
          <w:rFonts w:hint="eastAsia"/>
          <w:color w:val="auto"/>
          <w:lang w:eastAsia="zh-CN"/>
        </w:rPr>
        <w:t>禹州市</w:t>
      </w:r>
      <w:r>
        <w:rPr>
          <w:rFonts w:hint="eastAsia"/>
          <w:color w:val="auto"/>
        </w:rPr>
        <w:t>内主要考核河流</w:t>
      </w:r>
      <w:r>
        <w:rPr>
          <w:rFonts w:hint="eastAsia"/>
          <w:color w:val="auto"/>
          <w:highlight w:val="none"/>
        </w:rPr>
        <w:t>水质达标情况，计算得到</w:t>
      </w:r>
      <w:r>
        <w:rPr>
          <w:rFonts w:hint="eastAsia"/>
          <w:color w:val="auto"/>
          <w:highlight w:val="none"/>
          <w:lang w:eastAsia="zh-CN"/>
        </w:rPr>
        <w:t>禹州市</w:t>
      </w:r>
      <w:r>
        <w:rPr>
          <w:rFonts w:hint="eastAsia"/>
          <w:color w:val="auto"/>
          <w:highlight w:val="none"/>
        </w:rPr>
        <w:t>主要河流环境承载力，</w:t>
      </w:r>
      <w:r>
        <w:rPr>
          <w:rFonts w:hint="eastAsia"/>
          <w:color w:val="auto"/>
          <w:highlight w:val="none"/>
          <w:lang w:val="en-US" w:eastAsia="zh-CN"/>
        </w:rPr>
        <w:t>水质时间达标率</w:t>
      </w:r>
      <w:r>
        <w:rPr>
          <w:rFonts w:hint="eastAsia"/>
          <w:color w:val="auto"/>
          <w:highlight w:val="none"/>
        </w:rPr>
        <w:t>A</w:t>
      </w:r>
      <w:r>
        <w:rPr>
          <w:rFonts w:hint="eastAsia"/>
          <w:color w:val="auto"/>
          <w:highlight w:val="none"/>
          <w:vertAlign w:val="subscript"/>
        </w:rPr>
        <w:t>1</w:t>
      </w:r>
      <w:r>
        <w:rPr>
          <w:rFonts w:hint="eastAsia"/>
          <w:color w:val="auto"/>
          <w:highlight w:val="none"/>
          <w:vertAlign w:val="baseline"/>
          <w:lang w:val="en-US" w:eastAsia="zh-CN"/>
        </w:rPr>
        <w:t>值为100%，水质空间达标率</w:t>
      </w:r>
      <w:r>
        <w:rPr>
          <w:rFonts w:hint="eastAsia"/>
          <w:color w:val="auto"/>
          <w:highlight w:val="none"/>
        </w:rPr>
        <w:t>A</w:t>
      </w:r>
      <w:r>
        <w:rPr>
          <w:rFonts w:hint="eastAsia"/>
          <w:color w:val="auto"/>
          <w:highlight w:val="none"/>
          <w:vertAlign w:val="subscript"/>
        </w:rPr>
        <w:t>2</w:t>
      </w:r>
      <w:r>
        <w:rPr>
          <w:rFonts w:hint="eastAsia"/>
          <w:color w:val="auto"/>
          <w:highlight w:val="none"/>
          <w:vertAlign w:val="baseline"/>
          <w:lang w:val="en-US" w:eastAsia="zh-CN"/>
        </w:rPr>
        <w:t>值为100%</w:t>
      </w:r>
      <w:r>
        <w:rPr>
          <w:rFonts w:hint="eastAsia"/>
          <w:color w:val="auto"/>
          <w:highlight w:val="none"/>
          <w:vertAlign w:val="baseline"/>
          <w:lang w:eastAsia="zh-CN"/>
        </w:rPr>
        <w:t>，</w:t>
      </w:r>
      <w:r>
        <w:rPr>
          <w:rFonts w:hint="eastAsia"/>
          <w:color w:val="auto"/>
          <w:highlight w:val="none"/>
        </w:rPr>
        <w:t>水环境承载力指数R</w:t>
      </w:r>
      <w:r>
        <w:rPr>
          <w:rFonts w:hint="eastAsia"/>
          <w:color w:val="auto"/>
          <w:highlight w:val="none"/>
          <w:vertAlign w:val="subscript"/>
        </w:rPr>
        <w:t>c</w:t>
      </w:r>
      <w:r>
        <w:rPr>
          <w:rFonts w:hint="eastAsia"/>
          <w:color w:val="auto"/>
          <w:highlight w:val="none"/>
          <w:vertAlign w:val="baseline"/>
          <w:lang w:val="en-US" w:eastAsia="zh-CN"/>
        </w:rPr>
        <w:t>为100%＞</w:t>
      </w:r>
      <w:r>
        <w:rPr>
          <w:rFonts w:hint="eastAsia"/>
          <w:color w:val="auto"/>
          <w:highlight w:val="none"/>
        </w:rPr>
        <w:t>90%</w:t>
      </w:r>
      <w:r>
        <w:rPr>
          <w:rFonts w:hint="eastAsia"/>
          <w:color w:val="auto"/>
          <w:lang w:eastAsia="zh-CN"/>
        </w:rPr>
        <w:t>，</w:t>
      </w:r>
      <w:r>
        <w:rPr>
          <w:rFonts w:hint="eastAsia"/>
          <w:color w:val="auto"/>
          <w:lang w:val="en-US" w:eastAsia="zh-CN"/>
        </w:rPr>
        <w:t>区域为未超载地区，不属于水质较差区域</w:t>
      </w:r>
      <w:r>
        <w:rPr>
          <w:rFonts w:hint="eastAsia"/>
          <w:color w:val="auto"/>
        </w:rPr>
        <w:t>。</w:t>
      </w:r>
      <w:r>
        <w:rPr>
          <w:rFonts w:hint="eastAsia"/>
          <w:color w:val="auto"/>
          <w:lang w:eastAsia="zh-CN"/>
        </w:rPr>
        <w:t>禹州市断面监测河流是</w:t>
      </w:r>
      <w:r>
        <w:rPr>
          <w:rFonts w:hint="eastAsia"/>
          <w:color w:val="auto"/>
        </w:rPr>
        <w:t>3类水质，属于水环境敏感区域</w:t>
      </w:r>
      <w:r>
        <w:rPr>
          <w:rFonts w:hint="eastAsia"/>
          <w:color w:val="auto"/>
          <w:lang w:eastAsia="zh-CN"/>
        </w:rPr>
        <w:t>。</w:t>
      </w:r>
    </w:p>
    <w:p>
      <w:pPr>
        <w:pStyle w:val="5"/>
        <w:bidi w:val="0"/>
        <w:outlineLvl w:val="1"/>
        <w:rPr>
          <w:rFonts w:hint="eastAsia" w:ascii="Times New Roman" w:hAnsi="Times New Roman" w:cs="Times New Roman"/>
          <w:color w:val="auto"/>
          <w:sz w:val="28"/>
          <w:szCs w:val="28"/>
          <w:highlight w:val="none"/>
          <w:lang w:val="en-US" w:eastAsia="zh-CN"/>
        </w:rPr>
      </w:pPr>
      <w:bookmarkStart w:id="51" w:name="_Toc14312"/>
      <w:bookmarkStart w:id="52" w:name="_Toc17351"/>
      <w:r>
        <w:rPr>
          <w:rFonts w:hint="eastAsia" w:ascii="Times New Roman" w:hAnsi="Times New Roman" w:cs="Times New Roman"/>
          <w:color w:val="auto"/>
          <w:highlight w:val="none"/>
          <w:lang w:val="en-US" w:eastAsia="zh-CN"/>
        </w:rPr>
        <w:t>3.3目标可达性分析</w:t>
      </w:r>
      <w:bookmarkEnd w:id="51"/>
      <w:bookmarkEnd w:id="52"/>
    </w:p>
    <w:p>
      <w:pPr>
        <w:bidi w:val="0"/>
        <w:rPr>
          <w:rFonts w:hint="eastAsia"/>
          <w:color w:val="auto"/>
          <w:lang w:eastAsia="zh-CN"/>
        </w:rPr>
      </w:pPr>
      <w:r>
        <w:rPr>
          <w:rFonts w:hint="eastAsia"/>
          <w:color w:val="auto"/>
          <w:lang w:eastAsia="zh-CN"/>
        </w:rPr>
        <w:t>（</w:t>
      </w:r>
      <w:r>
        <w:rPr>
          <w:rFonts w:hint="eastAsia"/>
          <w:color w:val="auto"/>
          <w:lang w:val="en-US" w:eastAsia="zh-CN"/>
        </w:rPr>
        <w:t>1）</w:t>
      </w:r>
      <w:r>
        <w:rPr>
          <w:rFonts w:hint="eastAsia"/>
          <w:color w:val="auto"/>
          <w:lang w:eastAsia="zh-CN"/>
        </w:rPr>
        <w:t>畜禽粪污综合利用率</w:t>
      </w:r>
    </w:p>
    <w:p>
      <w:pPr>
        <w:bidi w:val="0"/>
        <w:rPr>
          <w:rFonts w:hint="default"/>
          <w:color w:val="auto"/>
          <w:lang w:val="en-US" w:eastAsia="zh-CN"/>
        </w:rPr>
      </w:pPr>
      <w:r>
        <w:rPr>
          <w:rFonts w:hint="eastAsia"/>
          <w:color w:val="auto"/>
          <w:lang w:eastAsia="zh-CN"/>
        </w:rPr>
        <w:t>禹州市</w:t>
      </w:r>
      <w:r>
        <w:rPr>
          <w:rFonts w:hint="eastAsia"/>
          <w:color w:val="auto"/>
        </w:rPr>
        <w:t>畜禽粪污综合利用率现状为</w:t>
      </w:r>
      <w:r>
        <w:rPr>
          <w:rFonts w:hint="eastAsia"/>
          <w:color w:val="auto"/>
          <w:lang w:val="en-US" w:eastAsia="zh-CN"/>
        </w:rPr>
        <w:t>80</w:t>
      </w:r>
      <w:r>
        <w:rPr>
          <w:rFonts w:hint="eastAsia"/>
          <w:color w:val="auto"/>
        </w:rPr>
        <w:t>%，“十四五”时期</w:t>
      </w:r>
      <w:r>
        <w:rPr>
          <w:rFonts w:hint="eastAsia"/>
          <w:color w:val="auto"/>
          <w:lang w:eastAsia="zh-CN"/>
        </w:rPr>
        <w:t>，</w:t>
      </w:r>
      <w:r>
        <w:rPr>
          <w:rFonts w:hint="eastAsia"/>
          <w:color w:val="0000FF"/>
          <w:lang w:val="en-US" w:eastAsia="zh-CN"/>
        </w:rPr>
        <w:t>特别是随着畜禽粪污资源化利用整县推进项目的实施、标准化生产体系的建立、“美丽牧场”创建活动和绿色化生产方式的等多项措施的推进，通过完善粪污处理和利用设施、推广种养结合模式、加强科学还田监管等措施，</w:t>
      </w:r>
      <w:r>
        <w:rPr>
          <w:rFonts w:hint="eastAsia"/>
          <w:color w:val="auto"/>
          <w:lang w:val="en-US" w:eastAsia="zh-CN"/>
        </w:rPr>
        <w:t>全市粪污资源化利用率</w:t>
      </w:r>
      <w:r>
        <w:rPr>
          <w:rFonts w:hint="eastAsia"/>
          <w:color w:val="auto"/>
        </w:rPr>
        <w:t>提升至</w:t>
      </w:r>
      <w:r>
        <w:rPr>
          <w:rFonts w:hint="eastAsia"/>
          <w:color w:val="auto"/>
          <w:lang w:val="en-US" w:eastAsia="zh-CN"/>
        </w:rPr>
        <w:t>83%可达</w:t>
      </w:r>
      <w:r>
        <w:rPr>
          <w:rFonts w:hint="eastAsia"/>
          <w:color w:val="auto"/>
          <w:lang w:eastAsia="zh-CN"/>
        </w:rPr>
        <w:t>。</w:t>
      </w:r>
    </w:p>
    <w:p>
      <w:pPr>
        <w:bidi w:val="0"/>
        <w:rPr>
          <w:rFonts w:hint="default"/>
          <w:color w:val="auto"/>
          <w:lang w:val="en-US" w:eastAsia="zh-CN"/>
        </w:rPr>
      </w:pPr>
      <w:r>
        <w:rPr>
          <w:rFonts w:hint="eastAsia"/>
          <w:color w:val="auto"/>
          <w:lang w:eastAsia="zh-CN"/>
        </w:rPr>
        <w:t>（</w:t>
      </w:r>
      <w:r>
        <w:rPr>
          <w:rFonts w:hint="eastAsia"/>
          <w:color w:val="auto"/>
          <w:lang w:val="en-US" w:eastAsia="zh-CN"/>
        </w:rPr>
        <w:t>2）</w:t>
      </w:r>
      <w:r>
        <w:rPr>
          <w:rFonts w:hint="eastAsia"/>
          <w:color w:val="auto"/>
          <w:lang w:eastAsia="zh-CN"/>
        </w:rPr>
        <w:t>畜禽</w:t>
      </w:r>
      <w:r>
        <w:rPr>
          <w:rFonts w:hint="eastAsia"/>
          <w:color w:val="auto"/>
          <w:lang w:val="en-US" w:eastAsia="zh-CN"/>
        </w:rPr>
        <w:t>规模养殖场粪污处理设施装备配套率</w:t>
      </w:r>
    </w:p>
    <w:p>
      <w:pPr>
        <w:bidi w:val="0"/>
        <w:rPr>
          <w:rFonts w:hint="eastAsia"/>
          <w:color w:val="auto"/>
        </w:rPr>
      </w:pPr>
      <w:r>
        <w:rPr>
          <w:rFonts w:hint="eastAsia"/>
          <w:color w:val="auto"/>
          <w:lang w:val="en-US" w:eastAsia="zh-CN"/>
        </w:rPr>
        <w:t>全市</w:t>
      </w:r>
      <w:r>
        <w:rPr>
          <w:rFonts w:hint="eastAsia"/>
          <w:color w:val="auto"/>
        </w:rPr>
        <w:t>规模养殖场粪污处理设施装备配套率已达</w:t>
      </w:r>
      <w:r>
        <w:rPr>
          <w:rFonts w:hint="eastAsia"/>
          <w:color w:val="auto"/>
          <w:lang w:val="en-US" w:eastAsia="zh-CN"/>
        </w:rPr>
        <w:t>98</w:t>
      </w:r>
      <w:r>
        <w:rPr>
          <w:rFonts w:hint="eastAsia"/>
          <w:color w:val="auto"/>
        </w:rPr>
        <w:t>%，“十四五”期间，将通过现有畜禽规模养殖场相关源头减量设施、粪污处理设施和田间配套设施等的更新改造，新建规模养殖场粪污处理设施装备配套，畜禽养殖业环境监督执法、畜牧业相关补贴政策的相结合，</w:t>
      </w:r>
      <w:r>
        <w:rPr>
          <w:rFonts w:hint="eastAsia"/>
          <w:color w:val="auto"/>
          <w:lang w:val="en-US" w:eastAsia="zh-CN"/>
        </w:rPr>
        <w:t>各</w:t>
      </w:r>
      <w:r>
        <w:rPr>
          <w:rFonts w:hint="eastAsia"/>
          <w:color w:val="auto"/>
        </w:rPr>
        <w:t>级资金扶持，推动</w:t>
      </w:r>
      <w:r>
        <w:rPr>
          <w:rFonts w:hint="eastAsia"/>
          <w:color w:val="auto"/>
          <w:lang w:eastAsia="zh-CN"/>
        </w:rPr>
        <w:t>全市</w:t>
      </w:r>
      <w:r>
        <w:rPr>
          <w:rFonts w:hint="eastAsia"/>
          <w:color w:val="auto"/>
        </w:rPr>
        <w:t>畜禽粪污资源化利用进程，提升粪污处理设施装备配套率至</w:t>
      </w:r>
      <w:r>
        <w:rPr>
          <w:rFonts w:hint="eastAsia"/>
          <w:color w:val="auto"/>
          <w:lang w:val="en-US" w:eastAsia="zh-CN"/>
        </w:rPr>
        <w:t>100</w:t>
      </w:r>
      <w:r>
        <w:rPr>
          <w:rFonts w:hint="eastAsia"/>
          <w:color w:val="auto"/>
        </w:rPr>
        <w:t>%</w:t>
      </w:r>
      <w:r>
        <w:rPr>
          <w:rFonts w:hint="eastAsia"/>
          <w:color w:val="auto"/>
          <w:lang w:val="en-US" w:eastAsia="zh-CN"/>
        </w:rPr>
        <w:t>的目标是可达的</w:t>
      </w:r>
      <w:r>
        <w:rPr>
          <w:rFonts w:hint="eastAsia"/>
          <w:color w:val="auto"/>
        </w:rPr>
        <w:t>。</w:t>
      </w:r>
    </w:p>
    <w:p>
      <w:pPr>
        <w:bidi w:val="0"/>
        <w:rPr>
          <w:rFonts w:hint="default"/>
          <w:color w:val="auto"/>
          <w:lang w:val="en-US" w:eastAsia="zh-CN"/>
        </w:rPr>
      </w:pPr>
      <w:r>
        <w:rPr>
          <w:rFonts w:hint="eastAsia"/>
          <w:color w:val="auto"/>
          <w:lang w:eastAsia="zh-CN"/>
        </w:rPr>
        <w:t>（</w:t>
      </w:r>
      <w:r>
        <w:rPr>
          <w:rFonts w:hint="eastAsia"/>
          <w:color w:val="auto"/>
          <w:lang w:val="en-US" w:eastAsia="zh-CN"/>
        </w:rPr>
        <w:t>3）畜禽规模养殖场粪污资源化利用台账覆盖率</w:t>
      </w:r>
    </w:p>
    <w:p>
      <w:pPr>
        <w:bidi w:val="0"/>
        <w:rPr>
          <w:rFonts w:hint="eastAsia"/>
          <w:color w:val="auto"/>
        </w:rPr>
      </w:pPr>
      <w:r>
        <w:rPr>
          <w:rFonts w:hint="eastAsia"/>
          <w:color w:val="auto"/>
          <w:lang w:eastAsia="zh-CN"/>
        </w:rPr>
        <w:t>禹州市</w:t>
      </w:r>
      <w:r>
        <w:rPr>
          <w:rFonts w:hint="eastAsia"/>
          <w:color w:val="auto"/>
        </w:rPr>
        <w:t>“十四五”期间，通过加强宣传，逐步推进粪肥利用台账制度实施，强化指导服务，做好粪肥利用台账培训等工作措施，规范台账制度落地、实施、监管工作，</w:t>
      </w:r>
      <w:r>
        <w:rPr>
          <w:rFonts w:hint="eastAsia"/>
          <w:color w:val="auto"/>
          <w:lang w:val="en-US" w:eastAsia="zh-CN"/>
        </w:rPr>
        <w:t>2025年</w:t>
      </w:r>
      <w:r>
        <w:rPr>
          <w:rFonts w:hint="eastAsia"/>
          <w:color w:val="auto"/>
        </w:rPr>
        <w:t>畜禽规模养殖场资源化利用台账建设率达到100%</w:t>
      </w:r>
      <w:r>
        <w:rPr>
          <w:rFonts w:hint="eastAsia"/>
          <w:color w:val="auto"/>
          <w:lang w:val="en-US" w:eastAsia="zh-CN"/>
        </w:rPr>
        <w:t>的目标是可达的</w:t>
      </w:r>
      <w:r>
        <w:rPr>
          <w:rFonts w:hint="eastAsia"/>
          <w:color w:val="auto"/>
        </w:rPr>
        <w:t>。</w:t>
      </w:r>
    </w:p>
    <w:p>
      <w:pPr>
        <w:bidi w:val="0"/>
        <w:rPr>
          <w:rFonts w:hint="default" w:eastAsia="仿宋"/>
          <w:color w:val="auto"/>
          <w:lang w:val="en-US" w:eastAsia="zh-CN"/>
        </w:rPr>
      </w:pPr>
      <w:r>
        <w:rPr>
          <w:rFonts w:hint="eastAsia"/>
          <w:color w:val="auto"/>
          <w:lang w:eastAsia="zh-CN"/>
        </w:rPr>
        <w:t>（</w:t>
      </w:r>
      <w:r>
        <w:rPr>
          <w:rFonts w:hint="eastAsia"/>
          <w:color w:val="auto"/>
          <w:lang w:val="en-US" w:eastAsia="zh-CN"/>
        </w:rPr>
        <w:t>4）大型规模养殖场氨减排比例</w:t>
      </w:r>
    </w:p>
    <w:p>
      <w:pPr>
        <w:bidi w:val="0"/>
        <w:rPr>
          <w:rFonts w:hint="default"/>
          <w:color w:val="auto"/>
          <w:lang w:val="en-US" w:eastAsia="zh-CN"/>
        </w:rPr>
      </w:pPr>
      <w:r>
        <w:rPr>
          <w:rFonts w:hint="eastAsia"/>
          <w:color w:val="auto"/>
          <w:lang w:val="en-US" w:eastAsia="zh-CN"/>
        </w:rPr>
        <w:t>全市畜禽规模杨养殖场尚未开展氨气治理，氨减排指标作为</w:t>
      </w:r>
      <w:r>
        <w:rPr>
          <w:rFonts w:hint="eastAsia"/>
          <w:color w:val="auto"/>
        </w:rPr>
        <w:t>“十四五”</w:t>
      </w:r>
      <w:r>
        <w:rPr>
          <w:rFonts w:hint="eastAsia"/>
          <w:color w:val="auto"/>
          <w:lang w:val="en-US" w:eastAsia="zh-CN"/>
        </w:rPr>
        <w:t>期间，禹州市将落实国家及省级氨减排的相关要求，通过畜禽规模养殖场</w:t>
      </w:r>
      <w:r>
        <w:rPr>
          <w:rFonts w:hint="eastAsia"/>
          <w:color w:val="0000FF"/>
          <w:lang w:val="en-US" w:eastAsia="zh-CN"/>
        </w:rPr>
        <w:t>科学饲喂、清粪工艺的改进、粪污处理技术升级和设施装备的改造、农田粪污输送管网的建设</w:t>
      </w:r>
      <w:r>
        <w:rPr>
          <w:rFonts w:hint="eastAsia"/>
          <w:color w:val="auto"/>
          <w:lang w:val="en-US" w:eastAsia="zh-CN"/>
        </w:rPr>
        <w:t>等氨减排措施的实施，推广科学饲喂、氨气源头治理技术，固态粪肥堆肥场由开放式变为封闭式、液态粪肥储存池加盖处理等措施</w:t>
      </w:r>
      <w:r>
        <w:rPr>
          <w:rFonts w:hint="eastAsia"/>
          <w:color w:val="auto"/>
        </w:rPr>
        <w:t>，</w:t>
      </w:r>
      <w:r>
        <w:rPr>
          <w:rFonts w:hint="eastAsia"/>
          <w:color w:val="auto"/>
          <w:lang w:val="en-US" w:eastAsia="zh-CN"/>
        </w:rPr>
        <w:t>2025年</w:t>
      </w:r>
      <w:r>
        <w:rPr>
          <w:rFonts w:hint="eastAsia"/>
          <w:color w:val="auto"/>
        </w:rPr>
        <w:t>大型规模养殖场氨减排比例达到</w:t>
      </w:r>
      <w:r>
        <w:rPr>
          <w:rFonts w:hint="eastAsia"/>
          <w:color w:val="auto"/>
          <w:lang w:val="en-US" w:eastAsia="zh-CN"/>
        </w:rPr>
        <w:t>5</w:t>
      </w:r>
      <w:r>
        <w:rPr>
          <w:rFonts w:hint="eastAsia"/>
          <w:color w:val="auto"/>
        </w:rPr>
        <w:t>%</w:t>
      </w:r>
      <w:r>
        <w:rPr>
          <w:rFonts w:hint="eastAsia"/>
          <w:color w:val="auto"/>
          <w:lang w:val="en-US" w:eastAsia="zh-CN"/>
        </w:rPr>
        <w:t>的目标是可达的。</w:t>
      </w:r>
    </w:p>
    <w:p>
      <w:pPr>
        <w:bidi w:val="0"/>
        <w:rPr>
          <w:rFonts w:hint="eastAsia"/>
          <w:color w:val="auto"/>
        </w:rPr>
      </w:pPr>
      <w:r>
        <w:rPr>
          <w:rFonts w:hint="eastAsia"/>
          <w:color w:val="auto"/>
        </w:rPr>
        <w:t>总体来说，</w:t>
      </w:r>
      <w:r>
        <w:rPr>
          <w:rFonts w:hint="eastAsia"/>
          <w:color w:val="auto"/>
          <w:lang w:eastAsia="zh-CN"/>
        </w:rPr>
        <w:t>禹州市</w:t>
      </w:r>
      <w:r>
        <w:rPr>
          <w:rFonts w:hint="eastAsia"/>
          <w:color w:val="auto"/>
        </w:rPr>
        <w:t>畜禽养殖优势明显，问题也普遍存在，在严格落实各项畜禽养殖污染防治措施，不断提升畜禽粪污综合利用水平，强化监督管理的基础上，本规划目标实现具有可</w:t>
      </w:r>
      <w:r>
        <w:rPr>
          <w:rFonts w:hint="eastAsia"/>
          <w:color w:val="auto"/>
          <w:lang w:val="en-US" w:eastAsia="zh-CN"/>
        </w:rPr>
        <w:t>达</w:t>
      </w:r>
      <w:r>
        <w:rPr>
          <w:rFonts w:hint="eastAsia"/>
          <w:color w:val="auto"/>
        </w:rPr>
        <w:t>性。</w:t>
      </w:r>
    </w:p>
    <w:p>
      <w:pPr>
        <w:rPr>
          <w:rFonts w:hint="eastAsia"/>
          <w:color w:val="auto"/>
        </w:rPr>
      </w:pPr>
      <w:r>
        <w:rPr>
          <w:rFonts w:hint="eastAsia"/>
          <w:color w:val="auto"/>
        </w:rPr>
        <w:br w:type="page"/>
      </w:r>
    </w:p>
    <w:p>
      <w:pPr>
        <w:pStyle w:val="4"/>
        <w:bidi w:val="0"/>
        <w:rPr>
          <w:rFonts w:hint="eastAsia"/>
          <w:color w:val="auto"/>
        </w:rPr>
      </w:pPr>
      <w:bookmarkStart w:id="53" w:name="_Toc5373"/>
      <w:bookmarkStart w:id="54" w:name="_Toc11904"/>
      <w:r>
        <w:rPr>
          <w:rFonts w:hint="eastAsia"/>
          <w:color w:val="auto"/>
        </w:rPr>
        <w:t>4</w:t>
      </w:r>
      <w:r>
        <w:rPr>
          <w:rFonts w:hint="eastAsia"/>
          <w:color w:val="auto"/>
          <w:lang w:val="en-US" w:eastAsia="zh-CN"/>
        </w:rPr>
        <w:t xml:space="preserve"> </w:t>
      </w:r>
      <w:r>
        <w:rPr>
          <w:rFonts w:hint="eastAsia"/>
          <w:color w:val="auto"/>
        </w:rPr>
        <w:t>主要任务</w:t>
      </w:r>
      <w:bookmarkEnd w:id="53"/>
      <w:bookmarkEnd w:id="54"/>
    </w:p>
    <w:p>
      <w:pPr>
        <w:pStyle w:val="5"/>
        <w:bidi w:val="0"/>
        <w:rPr>
          <w:rFonts w:hint="eastAsia"/>
          <w:color w:val="auto"/>
        </w:rPr>
      </w:pPr>
      <w:bookmarkStart w:id="55" w:name="_Toc13063"/>
      <w:bookmarkStart w:id="56" w:name="_Toc7401"/>
      <w:r>
        <w:rPr>
          <w:rFonts w:hint="eastAsia"/>
          <w:color w:val="auto"/>
        </w:rPr>
        <w:t>4.</w:t>
      </w:r>
      <w:r>
        <w:rPr>
          <w:rFonts w:hint="eastAsia"/>
          <w:color w:val="auto"/>
          <w:lang w:val="en-US" w:eastAsia="zh-CN"/>
        </w:rPr>
        <w:t>1畜禽养殖污染防治总体要求</w:t>
      </w:r>
      <w:bookmarkEnd w:id="55"/>
      <w:bookmarkEnd w:id="56"/>
    </w:p>
    <w:p>
      <w:pPr>
        <w:pStyle w:val="6"/>
        <w:bidi w:val="0"/>
        <w:rPr>
          <w:rFonts w:hint="default"/>
          <w:color w:val="auto"/>
          <w:lang w:val="en-US" w:eastAsia="zh-CN"/>
        </w:rPr>
      </w:pPr>
      <w:r>
        <w:rPr>
          <w:rFonts w:hint="eastAsia"/>
          <w:color w:val="auto"/>
          <w:lang w:val="en-US" w:eastAsia="zh-CN"/>
        </w:rPr>
        <w:t>4.1.1开展南水北调总干渠保护、三类水河流重点监管</w:t>
      </w:r>
    </w:p>
    <w:p>
      <w:pPr>
        <w:bidi w:val="0"/>
        <w:rPr>
          <w:rFonts w:hint="eastAsia"/>
          <w:color w:val="auto"/>
        </w:rPr>
      </w:pPr>
      <w:r>
        <w:rPr>
          <w:rFonts w:hint="eastAsia"/>
          <w:color w:val="auto"/>
          <w:lang w:val="en-US" w:eastAsia="zh-CN"/>
        </w:rPr>
        <w:t>落实“三线一单”、生态环境管控分区要求，避开南水北调总干渠水源一级保护区，开展</w:t>
      </w:r>
      <w:r>
        <w:rPr>
          <w:rFonts w:hint="eastAsia"/>
          <w:color w:val="0000FF"/>
          <w:lang w:val="en-US" w:eastAsia="zh-CN"/>
        </w:rPr>
        <w:t>白沙水库、颍河橡胶一坝、化庄桥、山货桥、褚河桥、颖河二坝断面</w:t>
      </w:r>
      <w:r>
        <w:rPr>
          <w:rFonts w:hint="eastAsia"/>
          <w:color w:val="auto"/>
          <w:lang w:val="en-US" w:eastAsia="zh-CN"/>
        </w:rPr>
        <w:t>三类水河流的常态化监管，建立工作台账，对存在问题的规模养殖场建立整改清单，确定整治治理时限和具体要求。加强重点区域</w:t>
      </w:r>
      <w:r>
        <w:rPr>
          <w:rFonts w:hint="eastAsia"/>
          <w:color w:val="auto"/>
          <w:highlight w:val="none"/>
          <w:lang w:val="en-US" w:eastAsia="zh-CN"/>
        </w:rPr>
        <w:t>内</w:t>
      </w:r>
      <w:r>
        <w:rPr>
          <w:rFonts w:hint="eastAsia"/>
          <w:color w:val="auto"/>
          <w:lang w:val="en-US" w:eastAsia="zh-CN"/>
        </w:rPr>
        <w:t>畜禽规模养殖场排查，完善其粪污设施建设，提升污染防治水平。</w:t>
      </w:r>
      <w:bookmarkStart w:id="106" w:name="_GoBack"/>
      <w:bookmarkEnd w:id="106"/>
    </w:p>
    <w:p>
      <w:pPr>
        <w:pStyle w:val="6"/>
        <w:bidi w:val="0"/>
        <w:rPr>
          <w:rFonts w:hint="default" w:eastAsia="仿宋"/>
          <w:color w:val="auto"/>
          <w:lang w:val="en-US" w:eastAsia="zh-CN"/>
        </w:rPr>
      </w:pPr>
      <w:r>
        <w:rPr>
          <w:rFonts w:hint="eastAsia"/>
          <w:color w:val="auto"/>
          <w:lang w:val="en-US" w:eastAsia="zh-CN"/>
        </w:rPr>
        <w:t>4.1.2优化种养空间布局</w:t>
      </w:r>
    </w:p>
    <w:p>
      <w:pPr>
        <w:keepNext w:val="0"/>
        <w:keepLines w:val="0"/>
        <w:widowControl/>
        <w:suppressLineNumbers w:val="0"/>
        <w:jc w:val="left"/>
        <w:rPr>
          <w:rFonts w:hint="default" w:eastAsia="仿宋"/>
          <w:color w:val="auto"/>
          <w:lang w:val="en-US" w:eastAsia="zh-CN"/>
        </w:rPr>
      </w:pPr>
      <w:r>
        <w:rPr>
          <w:rFonts w:hint="eastAsia"/>
          <w:color w:val="auto"/>
        </w:rPr>
        <w:t>在火龙镇、山货乡、鸿畅镇、小吕镇等承载潜力较大</w:t>
      </w:r>
      <w:r>
        <w:rPr>
          <w:rFonts w:hint="eastAsia"/>
          <w:color w:val="auto"/>
          <w:lang w:val="en-US" w:eastAsia="zh-CN"/>
        </w:rPr>
        <w:t>的</w:t>
      </w:r>
      <w:r>
        <w:rPr>
          <w:rFonts w:hint="eastAsia"/>
          <w:color w:val="auto"/>
        </w:rPr>
        <w:t>区域，高标准改造粪污处理设施，并与周边村民紧密结合，积极消纳养殖场粪肥，促进区域种养结合。引导畜禽养殖业向养殖密度相对较大的顺店镇、古城镇、无梁镇、文殊镇、鸠山镇、褚河镇、范坡镇、郭连镇、浅井镇、方岗镇、花石镇、张得镇、磨街镇、梁北镇、苌庄镇、方山镇、朱阁镇</w:t>
      </w:r>
      <w:r>
        <w:rPr>
          <w:rFonts w:ascii="仿宋" w:hAnsi="仿宋" w:eastAsia="仿宋" w:cs="仿宋"/>
          <w:color w:val="auto"/>
          <w:kern w:val="0"/>
          <w:sz w:val="28"/>
          <w:szCs w:val="28"/>
          <w:lang w:val="en-US" w:eastAsia="zh-CN" w:bidi="ar"/>
        </w:rPr>
        <w:t>发展</w:t>
      </w:r>
      <w:r>
        <w:rPr>
          <w:rFonts w:hint="eastAsia"/>
          <w:color w:val="auto"/>
        </w:rPr>
        <w:t>。对</w:t>
      </w:r>
      <w:r>
        <w:rPr>
          <w:rFonts w:hint="eastAsia"/>
          <w:color w:val="auto"/>
          <w:lang w:val="en-US" w:eastAsia="zh-CN"/>
        </w:rPr>
        <w:t>有</w:t>
      </w:r>
      <w:r>
        <w:rPr>
          <w:rFonts w:hint="eastAsia"/>
          <w:color w:val="auto"/>
        </w:rPr>
        <w:t>种植业</w:t>
      </w:r>
      <w:r>
        <w:rPr>
          <w:rFonts w:hint="eastAsia"/>
          <w:color w:val="auto"/>
          <w:lang w:eastAsia="zh-CN"/>
        </w:rPr>
        <w:t>、</w:t>
      </w:r>
      <w:r>
        <w:rPr>
          <w:rFonts w:hint="eastAsia"/>
          <w:color w:val="auto"/>
          <w:lang w:val="en-US" w:eastAsia="zh-CN"/>
        </w:rPr>
        <w:t>无</w:t>
      </w:r>
      <w:r>
        <w:rPr>
          <w:rFonts w:hint="eastAsia"/>
          <w:color w:val="auto"/>
        </w:rPr>
        <w:t>畜禽养殖场（户）的颍川街道办事处</w:t>
      </w:r>
      <w:r>
        <w:rPr>
          <w:rFonts w:hint="eastAsia"/>
          <w:color w:val="auto"/>
          <w:lang w:eastAsia="zh-CN"/>
        </w:rPr>
        <w:t>、</w:t>
      </w:r>
      <w:r>
        <w:rPr>
          <w:rFonts w:hint="eastAsia"/>
          <w:color w:val="auto"/>
        </w:rPr>
        <w:t>夏都街道办事处</w:t>
      </w:r>
      <w:r>
        <w:rPr>
          <w:rFonts w:hint="eastAsia"/>
          <w:color w:val="auto"/>
          <w:lang w:eastAsia="zh-CN"/>
        </w:rPr>
        <w:t>、</w:t>
      </w:r>
      <w:r>
        <w:rPr>
          <w:rFonts w:hint="eastAsia"/>
          <w:color w:val="auto"/>
        </w:rPr>
        <w:t>韩城街道办事处</w:t>
      </w:r>
      <w:r>
        <w:rPr>
          <w:rFonts w:hint="eastAsia"/>
          <w:color w:val="auto"/>
          <w:lang w:eastAsia="zh-CN"/>
        </w:rPr>
        <w:t>、</w:t>
      </w:r>
      <w:r>
        <w:rPr>
          <w:rFonts w:hint="eastAsia"/>
          <w:color w:val="auto"/>
        </w:rPr>
        <w:t>钧台街道办事处</w:t>
      </w:r>
      <w:r>
        <w:rPr>
          <w:rFonts w:hint="eastAsia"/>
          <w:color w:val="auto"/>
          <w:lang w:val="en-US" w:eastAsia="zh-CN"/>
        </w:rPr>
        <w:t>4</w:t>
      </w:r>
      <w:r>
        <w:rPr>
          <w:rFonts w:hint="eastAsia"/>
          <w:color w:val="auto"/>
        </w:rPr>
        <w:t>个街道办事处，</w:t>
      </w:r>
      <w:r>
        <w:rPr>
          <w:rFonts w:hint="eastAsia"/>
          <w:color w:val="auto"/>
          <w:lang w:val="en-US" w:eastAsia="zh-CN"/>
        </w:rPr>
        <w:t>可用于</w:t>
      </w:r>
      <w:r>
        <w:rPr>
          <w:rFonts w:hint="eastAsia"/>
          <w:color w:val="auto"/>
        </w:rPr>
        <w:t>周边农户畜禽养殖场（户）粪污</w:t>
      </w:r>
      <w:r>
        <w:rPr>
          <w:rFonts w:hint="eastAsia"/>
          <w:color w:val="auto"/>
          <w:lang w:val="en-US" w:eastAsia="zh-CN"/>
        </w:rPr>
        <w:t>消纳</w:t>
      </w:r>
      <w:r>
        <w:rPr>
          <w:rFonts w:hint="eastAsia"/>
          <w:color w:val="auto"/>
        </w:rPr>
        <w:t>。</w:t>
      </w:r>
      <w:r>
        <w:rPr>
          <w:rFonts w:hint="eastAsia"/>
          <w:color w:val="auto"/>
          <w:lang w:val="en-US" w:eastAsia="zh-CN"/>
        </w:rPr>
        <w:t>对于接近环境承载力阈值的神垕镇，后续应注重合理规划养殖布局，定期进行土地承载力测算，确保做到种养匹配。</w:t>
      </w:r>
    </w:p>
    <w:p>
      <w:pPr>
        <w:pStyle w:val="6"/>
        <w:bidi w:val="0"/>
        <w:rPr>
          <w:rFonts w:hint="default"/>
          <w:color w:val="auto"/>
          <w:lang w:val="en-US"/>
        </w:rPr>
      </w:pPr>
      <w:r>
        <w:rPr>
          <w:rFonts w:hint="eastAsia"/>
          <w:color w:val="auto"/>
        </w:rPr>
        <w:t>4.1.</w:t>
      </w:r>
      <w:r>
        <w:rPr>
          <w:rFonts w:hint="eastAsia"/>
          <w:color w:val="auto"/>
          <w:lang w:val="en-US" w:eastAsia="zh-CN"/>
        </w:rPr>
        <w:t>3巩固落实禁养区方案执行</w:t>
      </w:r>
    </w:p>
    <w:p>
      <w:pPr>
        <w:bidi w:val="0"/>
        <w:rPr>
          <w:rFonts w:hint="eastAsia"/>
          <w:color w:val="auto"/>
          <w:lang w:val="en-US" w:eastAsia="zh-CN"/>
        </w:rPr>
      </w:pPr>
      <w:r>
        <w:rPr>
          <w:rFonts w:hint="eastAsia"/>
          <w:color w:val="auto"/>
          <w:lang w:val="en-US" w:eastAsia="zh-CN"/>
        </w:rPr>
        <w:t>严格执行畜禽禁养区管理规定，在全市划定的禁养区范围内，禁止新建畜禽规模养殖场。避开颍河饮用水水源一级保护区、乡镇集中式饮用水水源保护区等区域。开展禁养区规模养殖场排查工作，巩固禁养区搬迁或关停工作成果，动态排查清理禁养区“复养”行为。</w:t>
      </w:r>
    </w:p>
    <w:p>
      <w:pPr>
        <w:pStyle w:val="5"/>
        <w:bidi w:val="0"/>
        <w:rPr>
          <w:rFonts w:hint="eastAsia"/>
          <w:color w:val="auto"/>
        </w:rPr>
      </w:pPr>
      <w:bookmarkStart w:id="57" w:name="_Toc16126"/>
      <w:bookmarkStart w:id="58" w:name="_Toc21665"/>
      <w:r>
        <w:rPr>
          <w:rFonts w:hint="eastAsia"/>
          <w:color w:val="auto"/>
        </w:rPr>
        <w:t>4.</w:t>
      </w:r>
      <w:r>
        <w:rPr>
          <w:rFonts w:hint="eastAsia"/>
          <w:color w:val="auto"/>
          <w:lang w:val="en-US" w:eastAsia="zh-CN"/>
        </w:rPr>
        <w:t>2</w:t>
      </w:r>
      <w:r>
        <w:rPr>
          <w:rFonts w:hint="eastAsia"/>
          <w:color w:val="auto"/>
        </w:rPr>
        <w:t>完善粪污处理</w:t>
      </w:r>
      <w:r>
        <w:rPr>
          <w:rFonts w:hint="eastAsia"/>
          <w:color w:val="auto"/>
          <w:lang w:val="en-US" w:eastAsia="zh-CN"/>
        </w:rPr>
        <w:t>和</w:t>
      </w:r>
      <w:r>
        <w:rPr>
          <w:rFonts w:hint="eastAsia"/>
          <w:color w:val="auto"/>
        </w:rPr>
        <w:t>利用设施</w:t>
      </w:r>
      <w:bookmarkEnd w:id="57"/>
      <w:bookmarkEnd w:id="58"/>
    </w:p>
    <w:p>
      <w:pPr>
        <w:pStyle w:val="6"/>
        <w:bidi w:val="0"/>
        <w:rPr>
          <w:rFonts w:hint="eastAsia"/>
          <w:color w:val="auto"/>
        </w:rPr>
      </w:pPr>
      <w:r>
        <w:rPr>
          <w:rFonts w:hint="eastAsia"/>
          <w:color w:val="auto"/>
        </w:rPr>
        <w:t>4.</w:t>
      </w:r>
      <w:r>
        <w:rPr>
          <w:rFonts w:hint="eastAsia"/>
          <w:color w:val="auto"/>
          <w:lang w:val="en-US" w:eastAsia="zh-CN"/>
        </w:rPr>
        <w:t>2</w:t>
      </w:r>
      <w:r>
        <w:rPr>
          <w:rFonts w:hint="eastAsia"/>
          <w:color w:val="auto"/>
        </w:rPr>
        <w:t>.1源头</w:t>
      </w:r>
      <w:r>
        <w:rPr>
          <w:rFonts w:hint="eastAsia"/>
          <w:color w:val="auto"/>
          <w:lang w:val="en-US" w:eastAsia="zh-CN"/>
        </w:rPr>
        <w:t>减量</w:t>
      </w:r>
      <w:r>
        <w:rPr>
          <w:rFonts w:hint="eastAsia"/>
          <w:color w:val="auto"/>
          <w:lang w:eastAsia="zh-CN"/>
        </w:rPr>
        <w:t>、</w:t>
      </w:r>
      <w:r>
        <w:rPr>
          <w:rFonts w:hint="eastAsia"/>
          <w:color w:val="auto"/>
        </w:rPr>
        <w:t>畜禽规模养殖场清洁生产设施建设</w:t>
      </w:r>
    </w:p>
    <w:p>
      <w:pPr>
        <w:bidi w:val="0"/>
        <w:rPr>
          <w:rFonts w:hint="eastAsia"/>
          <w:color w:val="0000FF"/>
          <w:lang w:val="en-US" w:eastAsia="zh-CN"/>
        </w:rPr>
      </w:pPr>
      <w:r>
        <w:rPr>
          <w:rFonts w:hint="eastAsia"/>
          <w:color w:val="auto"/>
        </w:rPr>
        <w:t>畜禽养殖场环境质量及卫生控制应符合NY/T</w:t>
      </w:r>
      <w:r>
        <w:rPr>
          <w:rFonts w:hint="eastAsia"/>
          <w:color w:val="auto"/>
          <w:lang w:val="en-US" w:eastAsia="zh-CN"/>
        </w:rPr>
        <w:t xml:space="preserve"> 1167</w:t>
      </w:r>
      <w:r>
        <w:rPr>
          <w:rFonts w:hint="eastAsia"/>
          <w:color w:val="auto"/>
        </w:rPr>
        <w:t>的有关要求。</w:t>
      </w:r>
      <w:r>
        <w:rPr>
          <w:rFonts w:hint="eastAsia"/>
          <w:color w:val="auto"/>
          <w:lang w:val="en-US" w:eastAsia="zh-CN"/>
        </w:rPr>
        <w:t>现有畜禽养殖场（户）</w:t>
      </w:r>
      <w:r>
        <w:rPr>
          <w:rFonts w:hint="eastAsia"/>
          <w:color w:val="auto"/>
        </w:rPr>
        <w:t>逐步淘汰水冲粪</w:t>
      </w:r>
      <w:r>
        <w:rPr>
          <w:rFonts w:hint="eastAsia"/>
          <w:color w:val="auto"/>
          <w:lang w:val="en-US" w:eastAsia="zh-CN"/>
        </w:rPr>
        <w:t>的</w:t>
      </w:r>
      <w:r>
        <w:rPr>
          <w:rFonts w:hint="eastAsia"/>
          <w:color w:val="auto"/>
        </w:rPr>
        <w:t>清粪方式，畜禽养殖业污染治理应从源头控制，新建</w:t>
      </w:r>
      <w:r>
        <w:rPr>
          <w:rFonts w:hint="eastAsia"/>
          <w:color w:val="auto"/>
          <w:lang w:val="en-US" w:eastAsia="zh-CN"/>
        </w:rPr>
        <w:t>畜禽规模养殖场按照《河南省畜禽粪污资源化利用设施建设指南》要求，落实</w:t>
      </w:r>
      <w:r>
        <w:rPr>
          <w:rFonts w:hint="eastAsia"/>
          <w:color w:val="auto"/>
        </w:rPr>
        <w:t>雨污分</w:t>
      </w:r>
      <w:r>
        <w:rPr>
          <w:rFonts w:hint="eastAsia"/>
          <w:color w:val="auto"/>
          <w:lang w:val="en-US" w:eastAsia="zh-CN"/>
        </w:rPr>
        <w:t>流措施</w:t>
      </w:r>
      <w:r>
        <w:rPr>
          <w:rFonts w:hint="eastAsia"/>
          <w:color w:val="auto"/>
          <w:lang w:eastAsia="zh-CN"/>
        </w:rPr>
        <w:t>，</w:t>
      </w:r>
      <w:r>
        <w:rPr>
          <w:rFonts w:hint="eastAsia"/>
          <w:color w:val="0000FF"/>
          <w:lang w:eastAsia="zh-CN"/>
        </w:rPr>
        <w:t>鼓励</w:t>
      </w:r>
      <w:r>
        <w:rPr>
          <w:rFonts w:hint="eastAsia"/>
          <w:color w:val="0000FF"/>
          <w:lang w:val="en-US" w:eastAsia="zh-CN"/>
        </w:rPr>
        <w:t>支持现有养殖场（户）圈舍及粪污贮存设施进行雨污分流改造。推广节水工艺、技术和设备，督促现有畜禽养殖场/户完善节水控水设施改造，重点支持达到规定规模标准的畜禽养殖场，更新改造自动喂料、自动饮水、自动清粪等设施装备；推广节水粪污清理技术，鼓励畜禽养殖场（户）采用干清粪、地面垫料、床（网）下垫料等清粪工艺，提高机械化自动化水平。</w:t>
      </w:r>
    </w:p>
    <w:p>
      <w:pPr>
        <w:pStyle w:val="6"/>
        <w:bidi w:val="0"/>
        <w:rPr>
          <w:rFonts w:hint="eastAsia" w:eastAsia="仿宋"/>
          <w:color w:val="auto"/>
          <w:lang w:eastAsia="zh-CN"/>
        </w:rPr>
      </w:pPr>
      <w:r>
        <w:rPr>
          <w:rFonts w:hint="eastAsia"/>
          <w:color w:val="auto"/>
        </w:rPr>
        <w:t>4.</w:t>
      </w:r>
      <w:r>
        <w:rPr>
          <w:rFonts w:hint="eastAsia"/>
          <w:color w:val="auto"/>
          <w:lang w:val="en-US" w:eastAsia="zh-CN"/>
        </w:rPr>
        <w:t>2</w:t>
      </w:r>
      <w:r>
        <w:rPr>
          <w:rFonts w:hint="eastAsia"/>
          <w:color w:val="auto"/>
        </w:rPr>
        <w:t>.2畜禽规模养殖场粪污处理利用设施建设</w:t>
      </w:r>
    </w:p>
    <w:p>
      <w:pPr>
        <w:bidi w:val="0"/>
        <w:rPr>
          <w:rFonts w:hint="eastAsia"/>
          <w:color w:val="auto"/>
          <w:highlight w:val="yellow"/>
        </w:rPr>
      </w:pPr>
      <w:r>
        <w:rPr>
          <w:rFonts w:hint="eastAsia"/>
          <w:color w:val="auto"/>
        </w:rPr>
        <w:t>根据粪污产生类型、粪污处理与利用模式不同，强化粪污预处理、储存、处理设施建设，确保实现粪污无害化处理和有效储存。农业部门加强技术指导服务，</w:t>
      </w:r>
      <w:r>
        <w:rPr>
          <w:rFonts w:hint="eastAsia"/>
          <w:color w:val="0000FF"/>
          <w:highlight w:val="none"/>
        </w:rPr>
        <w:t>支持和引导规模以下养殖场（户）加快建设完善粪污处理利用设施。落实动物防疫要求，有效处理处置病死畜禽防疫废弃物，病死畜禽处置应符合病死畜禽无害化处理要求。</w:t>
      </w:r>
    </w:p>
    <w:p>
      <w:pPr>
        <w:bidi w:val="0"/>
        <w:rPr>
          <w:rFonts w:hint="eastAsia"/>
          <w:color w:val="auto"/>
        </w:rPr>
      </w:pPr>
      <w:r>
        <w:rPr>
          <w:rFonts w:hint="eastAsia"/>
          <w:color w:val="auto"/>
          <w:lang w:eastAsia="zh-CN"/>
        </w:rPr>
        <w:t>指导</w:t>
      </w:r>
      <w:r>
        <w:rPr>
          <w:rFonts w:hint="eastAsia"/>
          <w:color w:val="auto"/>
        </w:rPr>
        <w:t>采用</w:t>
      </w:r>
      <w:r>
        <w:rPr>
          <w:rFonts w:hint="eastAsia"/>
          <w:color w:val="auto"/>
          <w:lang w:eastAsia="zh-CN"/>
        </w:rPr>
        <w:t>生产</w:t>
      </w:r>
      <w:r>
        <w:rPr>
          <w:rFonts w:hint="eastAsia"/>
          <w:color w:val="auto"/>
        </w:rPr>
        <w:t>有机肥方式的养殖场，有机肥加工设施建设按具备相应规模工程设计资质单位的设计方案执行。采用沼气发酵的养殖场，建设厌氧消化反应器、沼气收集和处置系统、沼液沼渣分离和贮存系统，实现资源化产品的安全处置、妥善贮存和综合利用，做好冬季保温。采用堆肥发酵工艺的养殖场，应建设储存、发酵等场地（至少可暂存180天粪污），配备翻抛设备</w:t>
      </w:r>
      <w:r>
        <w:rPr>
          <w:rFonts w:hint="eastAsia"/>
          <w:color w:val="auto"/>
          <w:lang w:eastAsia="zh-CN"/>
        </w:rPr>
        <w:t>，</w:t>
      </w:r>
      <w:r>
        <w:rPr>
          <w:rFonts w:hint="eastAsia"/>
          <w:color w:val="auto"/>
        </w:rPr>
        <w:t>做到设施规模和还田利用间隔时间相匹配，严禁粪污露天存放</w:t>
      </w:r>
      <w:r>
        <w:rPr>
          <w:rFonts w:hint="eastAsia"/>
          <w:color w:val="auto"/>
          <w:lang w:eastAsia="zh-CN"/>
        </w:rPr>
        <w:t>。鼓励开展实时线上远程管控，并结合线下现场定期检查，确保粪污处理设施正常运行。保证规模养殖场粪污处理设施装备100%高质量配套。</w:t>
      </w:r>
    </w:p>
    <w:p>
      <w:pPr>
        <w:pStyle w:val="6"/>
        <w:bidi w:val="0"/>
        <w:rPr>
          <w:rFonts w:hint="eastAsia"/>
          <w:color w:val="auto"/>
        </w:rPr>
      </w:pPr>
      <w:r>
        <w:rPr>
          <w:rFonts w:hint="eastAsia"/>
          <w:color w:val="auto"/>
        </w:rPr>
        <w:t>4.</w:t>
      </w:r>
      <w:r>
        <w:rPr>
          <w:rFonts w:hint="eastAsia"/>
          <w:color w:val="auto"/>
          <w:lang w:val="en-US" w:eastAsia="zh-CN"/>
        </w:rPr>
        <w:t>2</w:t>
      </w:r>
      <w:r>
        <w:rPr>
          <w:rFonts w:hint="eastAsia"/>
          <w:color w:val="auto"/>
        </w:rPr>
        <w:t>.</w:t>
      </w:r>
      <w:r>
        <w:rPr>
          <w:rFonts w:hint="eastAsia"/>
          <w:color w:val="auto"/>
          <w:lang w:val="en-US" w:eastAsia="zh-CN"/>
        </w:rPr>
        <w:t>3</w:t>
      </w:r>
      <w:r>
        <w:rPr>
          <w:rFonts w:hint="eastAsia"/>
          <w:color w:val="auto"/>
        </w:rPr>
        <w:t>田间配套设施建设</w:t>
      </w:r>
    </w:p>
    <w:p>
      <w:pPr>
        <w:keepNext w:val="0"/>
        <w:keepLines w:val="0"/>
        <w:widowControl/>
        <w:suppressLineNumbers w:val="0"/>
        <w:jc w:val="left"/>
        <w:rPr>
          <w:rFonts w:hint="eastAsia"/>
          <w:color w:val="auto"/>
        </w:rPr>
      </w:pPr>
      <w:r>
        <w:rPr>
          <w:rFonts w:hint="eastAsia"/>
          <w:color w:val="0000FF"/>
        </w:rPr>
        <w:t>建设田间固体粪肥、肥水和沼液田间贮存利用设备及管网设施，配备液体粪污抽吸泵、密闭式液体粪污转运车、固体粪污装载车和转运车、固态、液态粪肥撒施机、沼液沼渣抽排机、远距离施肥泵粪肥机械化还田作业设施，</w:t>
      </w:r>
      <w:r>
        <w:rPr>
          <w:rFonts w:hint="eastAsia"/>
          <w:color w:val="auto"/>
        </w:rPr>
        <w:t>鼓励有条件的养殖场建设田间输送管网，配套机械施肥、水肥一体化等设施，提升有机肥施用技术与配套设施水平。建立畜禽粪污收集、处理、利用全链条信息化监测监管体系。合理选择粪肥还田输送管道、配置运输罐车通过车载或管道形式将处理置后的粪肥输送至农田</w:t>
      </w:r>
      <w:r>
        <w:rPr>
          <w:rFonts w:hint="eastAsia"/>
          <w:color w:val="auto"/>
          <w:lang w:eastAsia="zh-CN"/>
        </w:rPr>
        <w:t>，</w:t>
      </w:r>
      <w:r>
        <w:rPr>
          <w:rFonts w:hint="eastAsia"/>
          <w:color w:val="auto"/>
        </w:rPr>
        <w:t>加强管理</w:t>
      </w:r>
      <w:r>
        <w:rPr>
          <w:rFonts w:hint="eastAsia"/>
          <w:color w:val="auto"/>
          <w:lang w:eastAsia="zh-CN"/>
        </w:rPr>
        <w:t>，</w:t>
      </w:r>
      <w:r>
        <w:rPr>
          <w:rFonts w:hint="eastAsia"/>
          <w:color w:val="auto"/>
        </w:rPr>
        <w:t>严格控制污水输送沿途的弃、撒和跑、冒、滴、漏。</w:t>
      </w:r>
    </w:p>
    <w:p>
      <w:pPr>
        <w:pStyle w:val="6"/>
        <w:bidi w:val="0"/>
        <w:rPr>
          <w:rFonts w:hint="eastAsia"/>
          <w:color w:val="0000FF"/>
          <w:lang w:val="en-US" w:eastAsia="zh-CN"/>
        </w:rPr>
      </w:pPr>
      <w:r>
        <w:rPr>
          <w:rFonts w:hint="eastAsia"/>
          <w:color w:val="0000FF"/>
          <w:lang w:val="en-US" w:eastAsia="zh-CN"/>
        </w:rPr>
        <w:t>4.2.4加强臭气、氨气减排防控设施建设</w:t>
      </w:r>
    </w:p>
    <w:p>
      <w:pPr>
        <w:bidi w:val="0"/>
        <w:ind w:left="0" w:leftChars="0" w:firstLine="560" w:firstLineChars="200"/>
        <w:rPr>
          <w:rFonts w:hint="eastAsia"/>
          <w:color w:val="0000FF"/>
          <w:lang w:val="en-US" w:eastAsia="zh-CN"/>
        </w:rPr>
      </w:pPr>
      <w:r>
        <w:rPr>
          <w:rFonts w:hint="eastAsia"/>
          <w:color w:val="0000FF"/>
          <w:lang w:val="en-US" w:eastAsia="zh-CN"/>
        </w:rPr>
        <w:t>强化畜禽养殖场日常管理，增加畜禽舍清理次数，减少固体粪便堆放时间，在粪污厌氧处理和堆肥中添加脲素酶等抑制剂，减少氨气排放。鼓励圈舍内安装普通喷头、电动喷雾加除臭菌种，降低排出空气臭气强度，结合省级要求，争取到2025年，实现大型畜禽规模养殖场氨减排5%。</w:t>
      </w:r>
    </w:p>
    <w:p>
      <w:pPr>
        <w:pStyle w:val="6"/>
        <w:bidi w:val="0"/>
        <w:rPr>
          <w:rFonts w:hint="default"/>
          <w:color w:val="auto"/>
          <w:lang w:val="en-US" w:eastAsia="zh-CN"/>
        </w:rPr>
      </w:pPr>
      <w:r>
        <w:rPr>
          <w:rFonts w:hint="eastAsia"/>
          <w:color w:val="auto"/>
          <w:lang w:val="en-US" w:eastAsia="zh-CN"/>
        </w:rPr>
        <w:t>4.2.5加强设施管理维护</w:t>
      </w:r>
    </w:p>
    <w:p>
      <w:pPr>
        <w:keepNext w:val="0"/>
        <w:keepLines w:val="0"/>
        <w:widowControl/>
        <w:suppressLineNumbers w:val="0"/>
        <w:jc w:val="left"/>
        <w:rPr>
          <w:rFonts w:hint="eastAsia"/>
          <w:color w:val="auto"/>
        </w:rPr>
      </w:pPr>
      <w:r>
        <w:rPr>
          <w:rFonts w:hint="eastAsia"/>
          <w:color w:val="auto"/>
          <w:lang w:val="en-US" w:eastAsia="zh-CN"/>
        </w:rPr>
        <w:t>加强设施的日常巡查和维护，并对粪污处理设施设置标示标牌。及时对粪污处理设施及资源化利用设施运行维护。</w:t>
      </w:r>
      <w:r>
        <w:rPr>
          <w:rFonts w:hint="eastAsia"/>
          <w:color w:val="auto"/>
        </w:rPr>
        <w:t>严格执行相关环境安全管理规定建立设施运行维护管理台账，加强对操作人员、维护人员专业技术培训。</w:t>
      </w:r>
    </w:p>
    <w:p>
      <w:pPr>
        <w:pStyle w:val="5"/>
        <w:bidi w:val="0"/>
        <w:rPr>
          <w:rFonts w:hint="default"/>
          <w:color w:val="auto"/>
          <w:highlight w:val="none"/>
          <w:lang w:val="en-US"/>
        </w:rPr>
      </w:pPr>
      <w:bookmarkStart w:id="59" w:name="_Toc5894"/>
      <w:bookmarkStart w:id="60" w:name="_Toc14476"/>
      <w:r>
        <w:rPr>
          <w:rFonts w:hint="eastAsia"/>
          <w:color w:val="auto"/>
          <w:highlight w:val="none"/>
        </w:rPr>
        <w:t>4.</w:t>
      </w:r>
      <w:r>
        <w:rPr>
          <w:rFonts w:hint="eastAsia"/>
          <w:color w:val="auto"/>
          <w:highlight w:val="none"/>
          <w:lang w:val="en-US" w:eastAsia="zh-CN"/>
        </w:rPr>
        <w:t>3提升畜禽粪污资源化利用水平</w:t>
      </w:r>
      <w:bookmarkEnd w:id="59"/>
      <w:bookmarkEnd w:id="60"/>
    </w:p>
    <w:p>
      <w:pPr>
        <w:pStyle w:val="6"/>
        <w:bidi w:val="0"/>
        <w:rPr>
          <w:rFonts w:hint="eastAsia"/>
          <w:color w:val="auto"/>
          <w:lang w:val="en-US" w:eastAsia="zh-CN"/>
        </w:rPr>
      </w:pPr>
      <w:r>
        <w:rPr>
          <w:rFonts w:hint="eastAsia"/>
          <w:color w:val="auto"/>
        </w:rPr>
        <w:t>4.</w:t>
      </w:r>
      <w:r>
        <w:rPr>
          <w:rFonts w:hint="eastAsia"/>
          <w:color w:val="auto"/>
          <w:lang w:val="en-US" w:eastAsia="zh-CN"/>
        </w:rPr>
        <w:t>3.1</w:t>
      </w:r>
      <w:r>
        <w:rPr>
          <w:rFonts w:hint="eastAsia"/>
          <w:color w:val="auto"/>
          <w:highlight w:val="none"/>
          <w:lang w:val="en-US" w:eastAsia="zh-CN"/>
        </w:rPr>
        <w:t>粪污资源化利用途径</w:t>
      </w:r>
    </w:p>
    <w:p>
      <w:pPr>
        <w:bidi w:val="0"/>
        <w:rPr>
          <w:rFonts w:hint="eastAsia"/>
          <w:color w:val="auto"/>
        </w:rPr>
      </w:pPr>
      <w:r>
        <w:rPr>
          <w:rFonts w:hint="eastAsia"/>
          <w:color w:val="auto"/>
        </w:rPr>
        <w:t>按照《河南省畜禽粪污资源化利用设施建设指南》要求，依据不同养殖规模，周边土地消纳能力，粪污处理方式等，合理选择粪污资源化利用途径。畜禽养殖场（户）应根据《河南省规模以下养殖户畜禽粪污处理设施建设的指导意见（试行）》要求，规范选择资源化模式。鼓励规模养殖场使用畜禽粪肥就地利用模式</w:t>
      </w:r>
      <w:r>
        <w:rPr>
          <w:rFonts w:hint="eastAsia"/>
          <w:color w:val="auto"/>
          <w:lang w:eastAsia="zh-CN"/>
        </w:rPr>
        <w:t>，</w:t>
      </w:r>
      <w:r>
        <w:rPr>
          <w:rFonts w:hint="eastAsia"/>
          <w:color w:val="auto"/>
          <w:lang w:val="en-US" w:eastAsia="zh-CN"/>
        </w:rPr>
        <w:t>选择有机肥料外供等合理的</w:t>
      </w:r>
      <w:r>
        <w:rPr>
          <w:rFonts w:hint="eastAsia"/>
          <w:color w:val="auto"/>
        </w:rPr>
        <w:t>粪污资源化利用途径。到2025年，畜禽粪污综合利用率</w:t>
      </w:r>
      <w:r>
        <w:rPr>
          <w:rFonts w:hint="eastAsia"/>
          <w:color w:val="auto"/>
          <w:lang w:val="en-US" w:eastAsia="zh-CN"/>
        </w:rPr>
        <w:t>可</w:t>
      </w:r>
      <w:r>
        <w:rPr>
          <w:rFonts w:hint="eastAsia"/>
          <w:color w:val="auto"/>
        </w:rPr>
        <w:t>达到</w:t>
      </w:r>
      <w:r>
        <w:rPr>
          <w:rFonts w:hint="eastAsia"/>
          <w:color w:val="auto"/>
          <w:lang w:eastAsia="zh-CN"/>
        </w:rPr>
        <w:t>83%</w:t>
      </w:r>
      <w:r>
        <w:rPr>
          <w:rFonts w:hint="eastAsia"/>
          <w:color w:val="auto"/>
        </w:rPr>
        <w:t>。</w:t>
      </w:r>
    </w:p>
    <w:p>
      <w:pPr>
        <w:pStyle w:val="6"/>
        <w:bidi w:val="0"/>
        <w:rPr>
          <w:rFonts w:hint="default"/>
          <w:color w:val="auto"/>
          <w:lang w:val="en-US" w:eastAsia="zh-CN"/>
        </w:rPr>
      </w:pPr>
      <w:r>
        <w:rPr>
          <w:rFonts w:hint="eastAsia"/>
          <w:color w:val="auto"/>
        </w:rPr>
        <w:t>4.</w:t>
      </w:r>
      <w:r>
        <w:rPr>
          <w:rFonts w:hint="eastAsia"/>
          <w:color w:val="auto"/>
          <w:lang w:val="en-US" w:eastAsia="zh-CN"/>
        </w:rPr>
        <w:t>3.2</w:t>
      </w:r>
      <w:r>
        <w:rPr>
          <w:rFonts w:hint="eastAsia"/>
          <w:color w:val="auto"/>
          <w:highlight w:val="none"/>
          <w:lang w:val="en-US" w:eastAsia="zh-CN"/>
        </w:rPr>
        <w:t>利用好粪</w:t>
      </w:r>
      <w:r>
        <w:rPr>
          <w:rFonts w:hint="eastAsia"/>
          <w:color w:val="auto"/>
          <w:lang w:val="en-US" w:eastAsia="zh-CN"/>
        </w:rPr>
        <w:t>肥还田社会化服务组织</w:t>
      </w:r>
    </w:p>
    <w:p>
      <w:pPr>
        <w:bidi w:val="0"/>
        <w:rPr>
          <w:rFonts w:hint="eastAsia"/>
          <w:color w:val="auto"/>
        </w:rPr>
      </w:pPr>
      <w:r>
        <w:rPr>
          <w:rFonts w:hint="eastAsia"/>
          <w:color w:val="auto"/>
        </w:rPr>
        <w:t>推动建立畜禽粪污等农业有机废弃物收集、转化、利用网络体系，</w:t>
      </w:r>
      <w:r>
        <w:rPr>
          <w:rFonts w:hint="eastAsia"/>
          <w:color w:val="0000FF"/>
          <w:lang w:val="en-US" w:eastAsia="zh-CN"/>
        </w:rPr>
        <w:t>通过完善粪污付费机制、粪污拉运输送设施、收集转运体系，改善粪污量受限的现状，为</w:t>
      </w:r>
      <w:r>
        <w:rPr>
          <w:rFonts w:hint="eastAsia"/>
          <w:color w:val="0000FF"/>
          <w:highlight w:val="none"/>
          <w:lang w:val="en-US" w:eastAsia="zh-CN"/>
        </w:rPr>
        <w:t>利用好2家</w:t>
      </w:r>
      <w:r>
        <w:rPr>
          <w:rFonts w:hint="eastAsia"/>
          <w:color w:val="0000FF"/>
        </w:rPr>
        <w:t>粪污集中处理中心</w:t>
      </w:r>
      <w:r>
        <w:rPr>
          <w:rFonts w:hint="eastAsia"/>
          <w:color w:val="0000FF"/>
          <w:lang w:val="en-US" w:eastAsia="zh-CN"/>
        </w:rPr>
        <w:t>做好铺垫</w:t>
      </w:r>
      <w:r>
        <w:rPr>
          <w:rFonts w:hint="eastAsia"/>
          <w:color w:val="0000FF"/>
          <w:lang w:eastAsia="zh-CN"/>
        </w:rPr>
        <w:t>，</w:t>
      </w:r>
      <w:r>
        <w:rPr>
          <w:rFonts w:hint="eastAsia"/>
          <w:color w:val="auto"/>
          <w:lang w:val="en-US" w:eastAsia="zh-CN"/>
        </w:rPr>
        <w:t>并</w:t>
      </w:r>
      <w:r>
        <w:rPr>
          <w:rFonts w:hint="eastAsia"/>
          <w:color w:val="auto"/>
        </w:rPr>
        <w:t>培育壮大多种类型的粪污处理社会化服务组织，实行专业化生产、市场化运营。通过</w:t>
      </w:r>
      <w:r>
        <w:rPr>
          <w:rFonts w:hint="eastAsia"/>
          <w:color w:val="auto"/>
          <w:lang w:val="en-US" w:eastAsia="zh-CN"/>
        </w:rPr>
        <w:t>鼓励</w:t>
      </w:r>
      <w:r>
        <w:rPr>
          <w:rFonts w:hint="eastAsia"/>
          <w:color w:val="auto"/>
        </w:rPr>
        <w:t>在田间地头配套建设管网和储粪（液）池等方式，解决粪肥还田“最后一公里”问题。鼓励建立受益者付费机制，保障第三方处理企业和社会化服务组织合理收益。</w:t>
      </w:r>
    </w:p>
    <w:p>
      <w:pPr>
        <w:pStyle w:val="6"/>
        <w:bidi w:val="0"/>
        <w:rPr>
          <w:rFonts w:hint="default"/>
          <w:color w:val="auto"/>
          <w:lang w:val="en-US" w:eastAsia="zh-CN"/>
        </w:rPr>
      </w:pPr>
      <w:r>
        <w:rPr>
          <w:rFonts w:hint="eastAsia"/>
          <w:color w:val="auto"/>
        </w:rPr>
        <w:t>4.</w:t>
      </w:r>
      <w:r>
        <w:rPr>
          <w:rFonts w:hint="eastAsia"/>
          <w:color w:val="auto"/>
          <w:lang w:val="en-US" w:eastAsia="zh-CN"/>
        </w:rPr>
        <w:t>3.3优化粪污资源化利用模式及处理方式</w:t>
      </w:r>
    </w:p>
    <w:p>
      <w:pPr>
        <w:bidi w:val="0"/>
        <w:rPr>
          <w:rFonts w:hint="eastAsia"/>
          <w:color w:val="auto"/>
        </w:rPr>
      </w:pPr>
      <w:r>
        <w:rPr>
          <w:rFonts w:hint="eastAsia"/>
          <w:color w:val="auto"/>
          <w:lang w:val="en-US" w:eastAsia="zh-CN"/>
        </w:rPr>
        <w:t>以畜禽养殖废弃物减量化产生、无害化处理、资源化利用为重点，鼓励</w:t>
      </w:r>
      <w:r>
        <w:rPr>
          <w:rFonts w:hint="eastAsia"/>
          <w:color w:val="auto"/>
        </w:rPr>
        <w:t>畜禽</w:t>
      </w:r>
      <w:r>
        <w:rPr>
          <w:rFonts w:hint="eastAsia"/>
          <w:color w:val="auto"/>
          <w:lang w:val="en-US" w:eastAsia="zh-CN"/>
        </w:rPr>
        <w:t>规模养殖场</w:t>
      </w:r>
      <w:r>
        <w:rPr>
          <w:rFonts w:hint="eastAsia"/>
          <w:color w:val="auto"/>
        </w:rPr>
        <w:t>对</w:t>
      </w:r>
      <w:r>
        <w:rPr>
          <w:rFonts w:hint="eastAsia"/>
          <w:color w:val="auto"/>
          <w:lang w:val="en-US" w:eastAsia="zh-CN"/>
        </w:rPr>
        <w:t>畜禽</w:t>
      </w:r>
      <w:r>
        <w:rPr>
          <w:rFonts w:hint="eastAsia"/>
          <w:color w:val="auto"/>
        </w:rPr>
        <w:t>粪污全量收集和利用，不再强制要求固液分离，但要防止液体粪污输送沿途的弃、撒和跑冒滴漏现象。</w:t>
      </w:r>
    </w:p>
    <w:p>
      <w:pPr>
        <w:bidi w:val="0"/>
        <w:rPr>
          <w:rFonts w:hint="default"/>
          <w:color w:val="auto"/>
          <w:lang w:val="en-US" w:eastAsia="zh-CN"/>
        </w:rPr>
      </w:pPr>
      <w:r>
        <w:rPr>
          <w:rFonts w:hint="eastAsia"/>
          <w:color w:val="auto"/>
          <w:lang w:eastAsia="zh-CN"/>
        </w:rPr>
        <w:t>优化畜禽粪污资源化利用模式，对配套消纳土地不足的畜禽养殖场（户），指导通过减少畜禽存栏量、新建粪污处理设施装备、增加配套农用地面积、鼓励有机肥深加工，增加有机肥外售量等措施，确保做到种养匹配。</w:t>
      </w:r>
    </w:p>
    <w:p>
      <w:pPr>
        <w:bidi w:val="0"/>
        <w:rPr>
          <w:rFonts w:hint="eastAsia" w:ascii="Times New Roman" w:hAnsi="Times New Roman" w:eastAsia="仿宋" w:cs="Times New Roman"/>
          <w:color w:val="auto"/>
          <w:kern w:val="2"/>
          <w:sz w:val="28"/>
          <w:szCs w:val="22"/>
          <w:lang w:val="en-US" w:eastAsia="zh-CN" w:bidi="ar-SA"/>
        </w:rPr>
      </w:pPr>
      <w:r>
        <w:rPr>
          <w:rFonts w:hint="eastAsia"/>
          <w:color w:val="auto"/>
          <w:lang w:val="en-US" w:eastAsia="zh-CN"/>
        </w:rPr>
        <w:t>依据</w:t>
      </w:r>
      <w:r>
        <w:rPr>
          <w:rFonts w:hint="eastAsia"/>
          <w:color w:val="auto"/>
        </w:rPr>
        <w:t>《河南省畜禽粪污资源化利用设施建设指南》畜禽粪污配套土地消纳要求，合理选择所需配套土地消纳面积。对配套土地不足的规模养殖场或周边消纳土地面积不足的，畜禽养殖粪污就地消纳利用时应采取固液分离模式，提高其消纳比例，</w:t>
      </w:r>
      <w:r>
        <w:rPr>
          <w:rFonts w:hint="eastAsia"/>
          <w:color w:val="auto"/>
          <w:lang w:val="en-US" w:eastAsia="zh-CN"/>
        </w:rPr>
        <w:t>配合利用好</w:t>
      </w:r>
      <w:r>
        <w:rPr>
          <w:rFonts w:hint="eastAsia"/>
          <w:color w:val="auto"/>
        </w:rPr>
        <w:t>建立</w:t>
      </w:r>
      <w:r>
        <w:rPr>
          <w:rFonts w:hint="eastAsia"/>
          <w:color w:val="auto"/>
          <w:lang w:val="en-US" w:eastAsia="zh-CN"/>
        </w:rPr>
        <w:t>的</w:t>
      </w:r>
      <w:r>
        <w:rPr>
          <w:rFonts w:hint="eastAsia"/>
          <w:color w:val="auto"/>
        </w:rPr>
        <w:t>第三方粪肥服务机构</w:t>
      </w:r>
      <w:r>
        <w:rPr>
          <w:rFonts w:hint="eastAsia"/>
          <w:color w:val="auto"/>
          <w:lang w:eastAsia="zh-CN"/>
        </w:rPr>
        <w:t>。</w:t>
      </w:r>
      <w:r>
        <w:rPr>
          <w:rFonts w:hint="eastAsia" w:ascii="Times New Roman" w:hAnsi="Times New Roman" w:eastAsia="仿宋" w:cs="Times New Roman"/>
          <w:color w:val="auto"/>
          <w:kern w:val="2"/>
          <w:sz w:val="28"/>
          <w:szCs w:val="22"/>
          <w:lang w:val="en-US" w:eastAsia="zh-CN" w:bidi="ar-SA"/>
        </w:rPr>
        <w:t>科学指导粪肥还田数量、时间、方法和替代化肥比例，避免超量施用。推广沼液（肥水）还田、沼渣还田和堆肥还田等粪肥还田技术模式，固体粪肥宜作为基肥施用，液体粪肥可作为基肥或追肥施用。</w:t>
      </w:r>
    </w:p>
    <w:p>
      <w:pPr>
        <w:pStyle w:val="5"/>
        <w:bidi w:val="0"/>
        <w:rPr>
          <w:rFonts w:hint="eastAsia"/>
          <w:color w:val="auto"/>
          <w:highlight w:val="none"/>
        </w:rPr>
      </w:pPr>
      <w:bookmarkStart w:id="61" w:name="_Toc20627"/>
      <w:bookmarkStart w:id="62" w:name="_Toc28610"/>
      <w:r>
        <w:rPr>
          <w:rFonts w:hint="eastAsia"/>
          <w:color w:val="auto"/>
          <w:highlight w:val="none"/>
        </w:rPr>
        <w:t>4.</w:t>
      </w:r>
      <w:r>
        <w:rPr>
          <w:rFonts w:hint="eastAsia"/>
          <w:color w:val="auto"/>
          <w:highlight w:val="none"/>
          <w:lang w:val="en-US" w:eastAsia="zh-CN"/>
        </w:rPr>
        <w:t>4</w:t>
      </w:r>
      <w:r>
        <w:rPr>
          <w:rFonts w:hint="eastAsia"/>
          <w:color w:val="auto"/>
          <w:highlight w:val="none"/>
        </w:rPr>
        <w:t>建立健全台账管理制度</w:t>
      </w:r>
      <w:bookmarkEnd w:id="61"/>
      <w:bookmarkEnd w:id="62"/>
    </w:p>
    <w:p>
      <w:pPr>
        <w:pStyle w:val="6"/>
        <w:bidi w:val="0"/>
        <w:rPr>
          <w:rFonts w:hint="eastAsia"/>
          <w:color w:val="0000FF"/>
        </w:rPr>
      </w:pPr>
      <w:r>
        <w:rPr>
          <w:rFonts w:hint="eastAsia"/>
          <w:color w:val="0000FF"/>
        </w:rPr>
        <w:t>4.</w:t>
      </w:r>
      <w:r>
        <w:rPr>
          <w:rFonts w:hint="eastAsia"/>
          <w:color w:val="0000FF"/>
          <w:lang w:val="en-US" w:eastAsia="zh-CN"/>
        </w:rPr>
        <w:t>4</w:t>
      </w:r>
      <w:r>
        <w:rPr>
          <w:rFonts w:hint="eastAsia"/>
          <w:color w:val="0000FF"/>
        </w:rPr>
        <w:t>.1建立完善直联直报信息系统</w:t>
      </w:r>
    </w:p>
    <w:p>
      <w:pPr>
        <w:bidi w:val="0"/>
        <w:rPr>
          <w:rFonts w:hint="eastAsia"/>
          <w:color w:val="0000FF"/>
          <w:lang w:val="en-US" w:eastAsia="zh-CN"/>
        </w:rPr>
      </w:pPr>
      <w:r>
        <w:rPr>
          <w:rFonts w:hint="eastAsia"/>
          <w:color w:val="0000FF"/>
          <w:lang w:val="en-US" w:eastAsia="zh-CN"/>
        </w:rPr>
        <w:t>农业农村、生态环境部门要按照农业农村部、生态环境部的部署要求，督促指导辖区内所有畜禽规模养殖场、第三方服务机构及时填报、更新畜禽规模养殖场直联直报信息系统，及时对其粪污处理设施装备配套情况进行验收或核查。对已由农业农村、生态环境部门联合出具验收或核查证明文件的规模养殖场不再重复验收或核查。</w:t>
      </w:r>
    </w:p>
    <w:p>
      <w:pPr>
        <w:pStyle w:val="6"/>
        <w:bidi w:val="0"/>
        <w:rPr>
          <w:rFonts w:hint="eastAsia"/>
          <w:lang w:eastAsia="zh-CN"/>
        </w:rPr>
      </w:pPr>
      <w:r>
        <w:rPr>
          <w:rFonts w:hint="eastAsia"/>
        </w:rPr>
        <w:t>4.</w:t>
      </w:r>
      <w:r>
        <w:rPr>
          <w:rFonts w:hint="eastAsia"/>
          <w:lang w:val="en-US" w:eastAsia="zh-CN"/>
        </w:rPr>
        <w:t>4</w:t>
      </w:r>
      <w:r>
        <w:rPr>
          <w:rFonts w:hint="eastAsia"/>
        </w:rPr>
        <w:t>.</w:t>
      </w:r>
      <w:r>
        <w:rPr>
          <w:rFonts w:hint="eastAsia"/>
          <w:lang w:val="en-US" w:eastAsia="zh-CN"/>
        </w:rPr>
        <w:t>2</w:t>
      </w:r>
      <w:r>
        <w:rPr>
          <w:rFonts w:hint="eastAsia"/>
        </w:rPr>
        <w:t>加强宣传服务，逐步推进粪肥利用台账制度实施</w:t>
      </w:r>
    </w:p>
    <w:p>
      <w:pPr>
        <w:bidi w:val="0"/>
        <w:rPr>
          <w:rFonts w:hint="eastAsia"/>
          <w:color w:val="auto"/>
        </w:rPr>
      </w:pPr>
      <w:r>
        <w:rPr>
          <w:rFonts w:hint="eastAsia"/>
          <w:color w:val="0000FF"/>
          <w:highlight w:val="none"/>
        </w:rPr>
        <w:t>农业农村部门要指导畜禽规模养殖场将畜禽粪污资源化利用情况作为养殖档案的重要内容，建立畜禽粪污资源化利用台账，及时准确记录有关信息，确保畜禽粪污去向可追溯。</w:t>
      </w:r>
      <w:r>
        <w:rPr>
          <w:rFonts w:hint="eastAsia"/>
          <w:color w:val="auto"/>
        </w:rPr>
        <w:t>提前确定粪肥还田利用计划，及时记录粪污日处理量和粪肥施用时间、施用量与施肥方式等，确保台账数据真实准确。</w:t>
      </w:r>
    </w:p>
    <w:p>
      <w:pPr>
        <w:bidi w:val="0"/>
        <w:rPr>
          <w:rFonts w:hint="eastAsia"/>
          <w:color w:val="auto"/>
        </w:rPr>
      </w:pPr>
      <w:r>
        <w:rPr>
          <w:rFonts w:hint="eastAsia"/>
          <w:color w:val="auto"/>
        </w:rPr>
        <w:t>农业农村部门制定推进计划，以规模养殖场为重点，大力推进粪肥利用台账制度，鼓励有条件的规模以下畜禽养殖场户填报，逐步完善粪肥利用</w:t>
      </w:r>
      <w:r>
        <w:rPr>
          <w:rFonts w:hint="eastAsia"/>
          <w:color w:val="auto"/>
          <w:lang w:val="en-US" w:eastAsia="zh-CN"/>
        </w:rPr>
        <w:t>计划和管理</w:t>
      </w:r>
      <w:r>
        <w:rPr>
          <w:rFonts w:hint="eastAsia"/>
          <w:color w:val="auto"/>
          <w:lang w:eastAsia="zh-CN"/>
        </w:rPr>
        <w:t>台账</w:t>
      </w:r>
      <w:r>
        <w:rPr>
          <w:rFonts w:hint="eastAsia"/>
          <w:color w:val="auto"/>
        </w:rPr>
        <w:t>。采取多种方式加强对台账填报的培训，要让养殖场熟悉填报的具体项目内容、如何填写等。</w:t>
      </w:r>
    </w:p>
    <w:p>
      <w:pPr>
        <w:pStyle w:val="6"/>
        <w:bidi w:val="0"/>
        <w:rPr>
          <w:rFonts w:hint="eastAsia"/>
          <w:color w:val="auto"/>
        </w:rPr>
      </w:pPr>
      <w:r>
        <w:rPr>
          <w:rFonts w:hint="eastAsia"/>
          <w:color w:val="auto"/>
        </w:rPr>
        <w:t>4.</w:t>
      </w:r>
      <w:r>
        <w:rPr>
          <w:rFonts w:hint="eastAsia"/>
          <w:color w:val="auto"/>
          <w:lang w:val="en-US" w:eastAsia="zh-CN"/>
        </w:rPr>
        <w:t>4</w:t>
      </w:r>
      <w:r>
        <w:rPr>
          <w:rFonts w:hint="eastAsia"/>
          <w:color w:val="auto"/>
        </w:rPr>
        <w:t>.</w:t>
      </w:r>
      <w:r>
        <w:rPr>
          <w:rFonts w:hint="eastAsia"/>
          <w:color w:val="auto"/>
          <w:lang w:val="en-US" w:eastAsia="zh-CN"/>
        </w:rPr>
        <w:t>3</w:t>
      </w:r>
      <w:r>
        <w:rPr>
          <w:rFonts w:hint="eastAsia"/>
          <w:color w:val="auto"/>
        </w:rPr>
        <w:t>层层落实责任，做好台账记录</w:t>
      </w:r>
    </w:p>
    <w:p>
      <w:pPr>
        <w:keepNext w:val="0"/>
        <w:keepLines w:val="0"/>
        <w:widowControl/>
        <w:suppressLineNumbers w:val="0"/>
        <w:jc w:val="left"/>
        <w:rPr>
          <w:rFonts w:hint="eastAsia"/>
          <w:color w:val="auto"/>
          <w:lang w:eastAsia="zh-CN"/>
        </w:rPr>
      </w:pPr>
      <w:r>
        <w:rPr>
          <w:rFonts w:hint="eastAsia"/>
          <w:color w:val="auto"/>
        </w:rPr>
        <w:t>可参照省下发的</w:t>
      </w:r>
      <w:r>
        <w:rPr>
          <w:rFonts w:hint="eastAsia"/>
          <w:color w:val="auto"/>
          <w:lang w:eastAsia="zh-CN"/>
        </w:rPr>
        <w:t>台账</w:t>
      </w:r>
      <w:r>
        <w:rPr>
          <w:rFonts w:hint="eastAsia"/>
          <w:color w:val="auto"/>
        </w:rPr>
        <w:t>格式，按照要求记录粪污资源化利用的管理台账，并分配专人进行记录和管理，明确“直联直报”系统信息员，做到责任到单位、到部门、到岗位、到人头。</w:t>
      </w:r>
      <w:r>
        <w:rPr>
          <w:rFonts w:hint="eastAsia"/>
          <w:color w:val="auto"/>
          <w:lang w:val="en-US" w:eastAsia="zh-CN"/>
        </w:rPr>
        <w:t>在此基础上，对全市184家畜禽规模养殖场及畜禽养殖户进行调查统计，全面摸清各养殖场的粪污处理设施设备情况，逐场建立畜禽粪污处理设施、设备及粪污资源化利用模式台账，规范建立《禹州市畜禽规模养殖场粪污设施设备情况登记表》档案。</w:t>
      </w:r>
      <w:r>
        <w:rPr>
          <w:rFonts w:hint="eastAsia"/>
          <w:color w:val="auto"/>
        </w:rPr>
        <w:t>养殖场是</w:t>
      </w:r>
      <w:r>
        <w:rPr>
          <w:rFonts w:hint="eastAsia"/>
          <w:color w:val="auto"/>
          <w:lang w:eastAsia="zh-CN"/>
        </w:rPr>
        <w:t>台账</w:t>
      </w:r>
      <w:r>
        <w:rPr>
          <w:rFonts w:hint="eastAsia"/>
          <w:color w:val="auto"/>
        </w:rPr>
        <w:t>填报主体，各乡镇以及相关的管理部门加强对管理台账的监督检查工作，严格落实省级要求，及时报送台账建立情况。到2025年年底，畜禽规模养殖场粪污资源化利用台账覆盖率达100%</w:t>
      </w:r>
      <w:r>
        <w:rPr>
          <w:rFonts w:hint="eastAsia"/>
          <w:color w:val="auto"/>
          <w:lang w:eastAsia="zh-CN"/>
        </w:rPr>
        <w:t>。</w:t>
      </w:r>
    </w:p>
    <w:p>
      <w:pPr>
        <w:pStyle w:val="5"/>
        <w:bidi w:val="0"/>
        <w:rPr>
          <w:rFonts w:hint="eastAsia"/>
          <w:color w:val="auto"/>
          <w:highlight w:val="none"/>
        </w:rPr>
      </w:pPr>
      <w:bookmarkStart w:id="63" w:name="_Toc21678"/>
      <w:bookmarkStart w:id="64" w:name="_Toc32433"/>
      <w:r>
        <w:rPr>
          <w:rFonts w:hint="eastAsia"/>
          <w:color w:val="auto"/>
          <w:highlight w:val="none"/>
        </w:rPr>
        <w:t>4.</w:t>
      </w:r>
      <w:r>
        <w:rPr>
          <w:rFonts w:hint="eastAsia"/>
          <w:color w:val="auto"/>
          <w:highlight w:val="none"/>
          <w:lang w:val="en-US" w:eastAsia="zh-CN"/>
        </w:rPr>
        <w:t>5</w:t>
      </w:r>
      <w:r>
        <w:rPr>
          <w:rFonts w:hint="eastAsia"/>
          <w:color w:val="auto"/>
          <w:highlight w:val="none"/>
        </w:rPr>
        <w:t>强化环境监管</w:t>
      </w:r>
      <w:bookmarkEnd w:id="63"/>
      <w:bookmarkEnd w:id="64"/>
    </w:p>
    <w:p>
      <w:pPr>
        <w:pStyle w:val="6"/>
        <w:bidi w:val="0"/>
        <w:rPr>
          <w:rFonts w:hint="eastAsia"/>
          <w:color w:val="auto"/>
        </w:rPr>
      </w:pPr>
      <w:r>
        <w:rPr>
          <w:rFonts w:hint="eastAsia"/>
          <w:color w:val="auto"/>
        </w:rPr>
        <w:t>4.</w:t>
      </w:r>
      <w:r>
        <w:rPr>
          <w:rFonts w:hint="eastAsia"/>
          <w:color w:val="auto"/>
          <w:lang w:val="en-US" w:eastAsia="zh-CN"/>
        </w:rPr>
        <w:t>5.</w:t>
      </w:r>
      <w:r>
        <w:rPr>
          <w:rFonts w:hint="eastAsia"/>
          <w:color w:val="auto"/>
        </w:rPr>
        <w:t>1严格审批监管</w:t>
      </w:r>
    </w:p>
    <w:p>
      <w:pPr>
        <w:bidi w:val="0"/>
        <w:rPr>
          <w:rFonts w:hint="eastAsia"/>
          <w:color w:val="auto"/>
        </w:rPr>
      </w:pPr>
      <w:r>
        <w:rPr>
          <w:rFonts w:hint="eastAsia"/>
          <w:color w:val="auto"/>
        </w:rPr>
        <w:t>按照《畜禽规模养殖污染防治条例》，对畜禽养殖场的污染防治设施的建设、验收和运行实行“三同时”制度。</w:t>
      </w:r>
      <w:r>
        <w:rPr>
          <w:rFonts w:hint="eastAsia"/>
          <w:color w:val="auto"/>
          <w:sz w:val="28"/>
          <w:szCs w:val="36"/>
        </w:rPr>
        <w:t>严格落实《河南省畜禽养殖建设项目环境影响评价文件审查审批原则》</w:t>
      </w:r>
      <w:r>
        <w:rPr>
          <w:rFonts w:hint="eastAsia"/>
          <w:color w:val="auto"/>
          <w:sz w:val="28"/>
          <w:szCs w:val="36"/>
          <w:lang w:eastAsia="zh-CN"/>
        </w:rPr>
        <w:t>，规范畜禽养殖项目环评审批，严格准入条件，对畜禽规模养殖相关规划依法依规开展环境影响评价</w:t>
      </w:r>
      <w:r>
        <w:rPr>
          <w:rFonts w:hint="eastAsia"/>
          <w:color w:val="auto"/>
        </w:rPr>
        <w:t>，确保畜禽养殖产业发展符合区域环境功能定位和环境保护要求。审批部门严格审批，对选址、工艺、污染防治措施等不合规的项目严格审批或备案。</w:t>
      </w:r>
    </w:p>
    <w:p>
      <w:pPr>
        <w:pStyle w:val="6"/>
        <w:bidi w:val="0"/>
        <w:rPr>
          <w:rFonts w:hint="eastAsia"/>
          <w:color w:val="auto"/>
        </w:rPr>
      </w:pPr>
      <w:r>
        <w:rPr>
          <w:rFonts w:hint="eastAsia"/>
          <w:color w:val="auto"/>
        </w:rPr>
        <w:t>4.</w:t>
      </w:r>
      <w:r>
        <w:rPr>
          <w:rFonts w:hint="eastAsia"/>
          <w:color w:val="auto"/>
          <w:lang w:val="en-US" w:eastAsia="zh-CN"/>
        </w:rPr>
        <w:t>5</w:t>
      </w:r>
      <w:r>
        <w:rPr>
          <w:rFonts w:hint="eastAsia"/>
          <w:color w:val="auto"/>
        </w:rPr>
        <w:t>.2加强环境监督执法</w:t>
      </w:r>
    </w:p>
    <w:p>
      <w:pPr>
        <w:bidi w:val="0"/>
        <w:rPr>
          <w:rFonts w:hint="eastAsia"/>
          <w:color w:val="auto"/>
        </w:rPr>
      </w:pPr>
      <w:r>
        <w:rPr>
          <w:rFonts w:hint="eastAsia"/>
          <w:color w:val="auto"/>
        </w:rPr>
        <w:t>农业农村部门要加强对畜禽粪肥的质量监测，畜禽养殖执法监管，规范畜禽养殖污染物排放，</w:t>
      </w:r>
      <w:r>
        <w:rPr>
          <w:rFonts w:hint="eastAsia"/>
          <w:color w:val="auto"/>
          <w:lang w:eastAsia="zh-CN"/>
        </w:rPr>
        <w:t>对</w:t>
      </w:r>
      <w:r>
        <w:rPr>
          <w:rFonts w:hint="eastAsia"/>
          <w:color w:val="auto"/>
        </w:rPr>
        <w:t>污染防治设置配套不到位、粪污未经无害化处理直排外环境等违法行为，建立问题清单和责任清单，明确整改目标和整改时限，依法查处粪肥超量施用污染环境的环境违法行为。养殖场（户）畜禽粪污去向不明的，视为未利用。</w:t>
      </w:r>
    </w:p>
    <w:p>
      <w:pPr>
        <w:bidi w:val="0"/>
        <w:rPr>
          <w:rFonts w:hint="eastAsia"/>
          <w:color w:val="auto"/>
        </w:rPr>
      </w:pPr>
      <w:r>
        <w:rPr>
          <w:rFonts w:hint="eastAsia"/>
          <w:color w:val="auto"/>
          <w:lang w:val="en-US" w:eastAsia="zh-CN"/>
        </w:rPr>
        <w:t>核查畜禽粪污处理设施装备配套情况，定期向社会公布核查结果，对超过整改时限仍未整改到位的养殖场（户），依法责令停止生产或使用。</w:t>
      </w:r>
      <w:r>
        <w:rPr>
          <w:rFonts w:hint="eastAsia"/>
          <w:color w:val="auto"/>
        </w:rPr>
        <w:t>畅通环境信访举报途径，及时查处环境违法行为。</w:t>
      </w:r>
    </w:p>
    <w:p>
      <w:pPr>
        <w:pStyle w:val="6"/>
        <w:bidi w:val="0"/>
        <w:rPr>
          <w:rFonts w:hint="eastAsia"/>
          <w:color w:val="auto"/>
          <w:lang w:val="en-US" w:eastAsia="zh-CN"/>
        </w:rPr>
      </w:pPr>
      <w:r>
        <w:rPr>
          <w:rFonts w:hint="eastAsia"/>
          <w:color w:val="auto"/>
          <w:lang w:val="en-US" w:eastAsia="zh-CN"/>
        </w:rPr>
        <w:t>4.5.3加强南水北调总干渠沿线监管、三类水河流重点监测</w:t>
      </w:r>
    </w:p>
    <w:p>
      <w:pPr>
        <w:rPr>
          <w:rFonts w:hint="default"/>
          <w:color w:val="auto"/>
          <w:lang w:val="en-US" w:eastAsia="zh-CN"/>
        </w:rPr>
      </w:pPr>
      <w:r>
        <w:rPr>
          <w:rFonts w:hint="eastAsia"/>
          <w:color w:val="auto"/>
          <w:lang w:val="en-US" w:eastAsia="zh-CN"/>
        </w:rPr>
        <w:t>开展畜禽养殖业污染监测，重点加强对</w:t>
      </w:r>
      <w:r>
        <w:rPr>
          <w:rFonts w:hint="default"/>
          <w:color w:val="auto"/>
          <w:lang w:val="en-US" w:eastAsia="zh-CN"/>
        </w:rPr>
        <w:t>南水北总干渠沿线</w:t>
      </w:r>
      <w:r>
        <w:rPr>
          <w:rFonts w:hint="eastAsia"/>
          <w:color w:val="auto"/>
          <w:lang w:val="en-US" w:eastAsia="zh-CN"/>
        </w:rPr>
        <w:t>的</w:t>
      </w:r>
      <w:r>
        <w:rPr>
          <w:rFonts w:hint="default"/>
          <w:color w:val="auto"/>
          <w:lang w:val="en-US" w:eastAsia="zh-CN"/>
        </w:rPr>
        <w:t>监管</w:t>
      </w:r>
      <w:r>
        <w:rPr>
          <w:rFonts w:hint="eastAsia"/>
          <w:color w:val="auto"/>
          <w:lang w:val="en-US" w:eastAsia="zh-CN"/>
        </w:rPr>
        <w:t>，保证南水北调总干渠水质稳定良好。</w:t>
      </w:r>
      <w:r>
        <w:rPr>
          <w:rFonts w:hint="eastAsia"/>
          <w:color w:val="0000FF"/>
          <w:lang w:val="en-US" w:eastAsia="zh-CN"/>
        </w:rPr>
        <w:t>对白沙水库、颍河橡胶一坝、化庄桥、山货桥、褚河桥、颖河二坝</w:t>
      </w:r>
      <w:r>
        <w:rPr>
          <w:rFonts w:hint="eastAsia"/>
          <w:color w:val="auto"/>
          <w:lang w:val="en-US" w:eastAsia="zh-CN"/>
        </w:rPr>
        <w:t>的</w:t>
      </w:r>
      <w:r>
        <w:rPr>
          <w:rFonts w:hint="eastAsia"/>
          <w:color w:val="auto"/>
          <w:highlight w:val="none"/>
          <w:lang w:val="en-US" w:eastAsia="zh-CN"/>
        </w:rPr>
        <w:t>三类</w:t>
      </w:r>
      <w:r>
        <w:rPr>
          <w:rFonts w:hint="eastAsia"/>
          <w:color w:val="auto"/>
          <w:lang w:val="en-US" w:eastAsia="zh-CN"/>
        </w:rPr>
        <w:t>水河流两侧畜禽养殖区、粪肥还田处等可能污染的位置开展重点监测。</w:t>
      </w:r>
    </w:p>
    <w:p>
      <w:pPr>
        <w:pStyle w:val="6"/>
        <w:bidi w:val="0"/>
        <w:rPr>
          <w:rFonts w:hint="eastAsia"/>
          <w:color w:val="auto"/>
        </w:rPr>
      </w:pPr>
      <w:r>
        <w:rPr>
          <w:rFonts w:hint="eastAsia"/>
          <w:color w:val="auto"/>
        </w:rPr>
        <w:t>4.</w:t>
      </w:r>
      <w:r>
        <w:rPr>
          <w:rFonts w:hint="eastAsia"/>
          <w:color w:val="auto"/>
          <w:lang w:val="en-US" w:eastAsia="zh-CN"/>
        </w:rPr>
        <w:t>5</w:t>
      </w:r>
      <w:r>
        <w:rPr>
          <w:rFonts w:hint="eastAsia"/>
          <w:color w:val="auto"/>
        </w:rPr>
        <w:t>.4提升畜禽养殖环境管理智慧水平</w:t>
      </w:r>
    </w:p>
    <w:p>
      <w:pPr>
        <w:bidi w:val="0"/>
        <w:rPr>
          <w:rFonts w:hint="eastAsia"/>
          <w:color w:val="auto"/>
        </w:rPr>
      </w:pPr>
      <w:r>
        <w:rPr>
          <w:rFonts w:hint="eastAsia"/>
          <w:color w:val="auto"/>
        </w:rPr>
        <w:t>依靠</w:t>
      </w:r>
      <w:r>
        <w:rPr>
          <w:rFonts w:hint="eastAsia"/>
          <w:color w:val="auto"/>
          <w:lang w:val="en-US" w:eastAsia="zh-CN"/>
        </w:rPr>
        <w:t>直连直报</w:t>
      </w:r>
      <w:r>
        <w:rPr>
          <w:rFonts w:hint="eastAsia"/>
          <w:color w:val="auto"/>
          <w:lang w:eastAsia="zh-CN"/>
        </w:rPr>
        <w:t>、</w:t>
      </w:r>
      <w:r>
        <w:rPr>
          <w:rFonts w:hint="eastAsia"/>
          <w:color w:val="auto"/>
          <w:lang w:val="en-US" w:eastAsia="zh-CN"/>
        </w:rPr>
        <w:t>排污许可</w:t>
      </w:r>
      <w:r>
        <w:rPr>
          <w:rFonts w:hint="eastAsia"/>
          <w:color w:val="auto"/>
        </w:rPr>
        <w:t>系统，借用互联网、物联网、大数据</w:t>
      </w:r>
      <w:r>
        <w:rPr>
          <w:rFonts w:hint="eastAsia"/>
          <w:color w:val="auto"/>
          <w:lang w:eastAsia="zh-CN"/>
        </w:rPr>
        <w:t>、</w:t>
      </w:r>
      <w:r>
        <w:rPr>
          <w:rFonts w:hint="eastAsia"/>
          <w:color w:val="auto"/>
        </w:rPr>
        <w:t>5G、无人机等硬软件，对主导产业进行动态监测。探索养殖企业管理数据与行政管理平台的数字化对接，动态掌握</w:t>
      </w:r>
      <w:r>
        <w:rPr>
          <w:rFonts w:hint="eastAsia"/>
          <w:color w:val="auto"/>
          <w:lang w:eastAsia="zh-CN"/>
        </w:rPr>
        <w:t>乡镇</w:t>
      </w:r>
      <w:r>
        <w:rPr>
          <w:rFonts w:hint="eastAsia"/>
          <w:color w:val="auto"/>
        </w:rPr>
        <w:t>养殖场、养殖规模、废弃物综合利用、污染防治设施建设等情况，实现畜禽养殖业数字化和智能化。加强粪污处理监管，推进</w:t>
      </w:r>
      <w:r>
        <w:rPr>
          <w:rFonts w:hint="eastAsia"/>
          <w:color w:val="auto"/>
          <w:lang w:eastAsia="zh-CN"/>
        </w:rPr>
        <w:t>禹州市</w:t>
      </w:r>
      <w:r>
        <w:rPr>
          <w:rFonts w:hint="eastAsia"/>
          <w:color w:val="auto"/>
        </w:rPr>
        <w:t>规模养殖场智慧管控。</w:t>
      </w:r>
    </w:p>
    <w:p>
      <w:pPr>
        <w:rPr>
          <w:rFonts w:hint="eastAsia"/>
          <w:color w:val="auto"/>
        </w:rPr>
      </w:pPr>
      <w:r>
        <w:rPr>
          <w:rFonts w:hint="eastAsia"/>
          <w:color w:val="auto"/>
        </w:rPr>
        <w:br w:type="page"/>
      </w:r>
    </w:p>
    <w:p>
      <w:pPr>
        <w:pStyle w:val="4"/>
        <w:bidi w:val="0"/>
        <w:rPr>
          <w:rFonts w:hint="eastAsia"/>
          <w:color w:val="auto"/>
          <w:highlight w:val="none"/>
        </w:rPr>
      </w:pPr>
      <w:bookmarkStart w:id="65" w:name="_Toc11250"/>
      <w:bookmarkStart w:id="66" w:name="_Toc17660"/>
      <w:r>
        <w:rPr>
          <w:rFonts w:hint="eastAsia"/>
          <w:color w:val="auto"/>
          <w:highlight w:val="none"/>
        </w:rPr>
        <w:t>5</w:t>
      </w:r>
      <w:r>
        <w:rPr>
          <w:rFonts w:hint="eastAsia"/>
          <w:color w:val="auto"/>
          <w:highlight w:val="none"/>
          <w:lang w:val="en-US" w:eastAsia="zh-CN"/>
        </w:rPr>
        <w:t xml:space="preserve"> </w:t>
      </w:r>
      <w:r>
        <w:rPr>
          <w:rFonts w:hint="eastAsia"/>
          <w:color w:val="auto"/>
          <w:highlight w:val="none"/>
        </w:rPr>
        <w:t>重点工程</w:t>
      </w:r>
      <w:bookmarkEnd w:id="65"/>
      <w:bookmarkEnd w:id="66"/>
    </w:p>
    <w:p>
      <w:pPr>
        <w:pStyle w:val="5"/>
        <w:bidi w:val="0"/>
        <w:rPr>
          <w:rFonts w:hint="default"/>
          <w:color w:val="auto"/>
        </w:rPr>
      </w:pPr>
      <w:bookmarkStart w:id="67" w:name="_Toc25344"/>
      <w:bookmarkStart w:id="68" w:name="_Toc7513"/>
      <w:r>
        <w:rPr>
          <w:rFonts w:hint="eastAsia"/>
          <w:color w:val="auto"/>
        </w:rPr>
        <w:t>5.1</w:t>
      </w:r>
      <w:bookmarkStart w:id="69" w:name="_Toc28971"/>
      <w:bookmarkStart w:id="70" w:name="_Toc14050"/>
      <w:bookmarkStart w:id="71" w:name="_Toc99132386"/>
      <w:r>
        <w:rPr>
          <w:rFonts w:hint="eastAsia"/>
          <w:color w:val="auto"/>
        </w:rPr>
        <w:t>畜禽粪污处理利用设施提升</w:t>
      </w:r>
      <w:r>
        <w:rPr>
          <w:rFonts w:hint="eastAsia"/>
          <w:color w:val="auto"/>
          <w:lang w:val="en-US" w:eastAsia="zh-CN"/>
        </w:rPr>
        <w:t>工程</w:t>
      </w:r>
      <w:bookmarkEnd w:id="67"/>
      <w:bookmarkEnd w:id="68"/>
      <w:bookmarkEnd w:id="69"/>
      <w:bookmarkEnd w:id="70"/>
      <w:bookmarkEnd w:id="71"/>
    </w:p>
    <w:p>
      <w:pPr>
        <w:bidi w:val="0"/>
        <w:ind w:left="0" w:leftChars="0" w:firstLine="560" w:firstLineChars="200"/>
        <w:rPr>
          <w:rFonts w:hint="eastAsia"/>
          <w:color w:val="auto"/>
          <w:lang w:val="en-US" w:eastAsia="zh-CN"/>
        </w:rPr>
      </w:pPr>
      <w:r>
        <w:rPr>
          <w:rFonts w:hint="eastAsia"/>
          <w:color w:val="0000FF"/>
          <w:highlight w:val="none"/>
          <w:lang w:val="en-US" w:eastAsia="zh-CN"/>
        </w:rPr>
        <w:t>约有9家养殖场的粪污处理设施较落后或“三防”措施不到位，</w:t>
      </w:r>
      <w:r>
        <w:rPr>
          <w:rFonts w:hint="eastAsia"/>
          <w:color w:val="0000FF"/>
          <w:lang w:val="en-US" w:eastAsia="zh-CN"/>
        </w:rPr>
        <w:t>需提升改造和完善，故本此规划对这些养殖场进行改造，</w:t>
      </w:r>
      <w:r>
        <w:rPr>
          <w:rFonts w:hint="eastAsia"/>
          <w:color w:val="auto"/>
          <w:lang w:val="en-US" w:eastAsia="zh-CN"/>
        </w:rPr>
        <w:t>完善粪污设施，提升粪污资源化利用水平。</w:t>
      </w:r>
    </w:p>
    <w:p>
      <w:pPr>
        <w:pStyle w:val="5"/>
        <w:bidi w:val="0"/>
        <w:rPr>
          <w:rFonts w:hint="eastAsia"/>
          <w:color w:val="auto"/>
        </w:rPr>
      </w:pPr>
      <w:bookmarkStart w:id="72" w:name="_Toc25469"/>
      <w:bookmarkStart w:id="73" w:name="_Toc23158"/>
      <w:bookmarkStart w:id="74" w:name="_Toc31478"/>
      <w:r>
        <w:rPr>
          <w:rFonts w:hint="eastAsia"/>
          <w:color w:val="auto"/>
        </w:rPr>
        <w:t>5.</w:t>
      </w:r>
      <w:r>
        <w:rPr>
          <w:rFonts w:hint="eastAsia"/>
          <w:color w:val="auto"/>
          <w:lang w:val="en-US" w:eastAsia="zh-CN"/>
        </w:rPr>
        <w:t>2</w:t>
      </w:r>
      <w:bookmarkEnd w:id="72"/>
      <w:bookmarkStart w:id="75" w:name="_Toc99132393"/>
      <w:bookmarkStart w:id="76" w:name="_Toc10778"/>
      <w:bookmarkStart w:id="77" w:name="_Toc13311"/>
      <w:r>
        <w:rPr>
          <w:rFonts w:hint="eastAsia"/>
          <w:color w:val="auto"/>
        </w:rPr>
        <w:t>畜禽粪污转运及集中处理中心建设工程</w:t>
      </w:r>
      <w:bookmarkEnd w:id="73"/>
      <w:bookmarkEnd w:id="74"/>
    </w:p>
    <w:p>
      <w:pPr>
        <w:bidi w:val="0"/>
        <w:rPr>
          <w:rFonts w:hint="eastAsia"/>
          <w:color w:val="auto"/>
        </w:rPr>
      </w:pPr>
      <w:r>
        <w:rPr>
          <w:rFonts w:hint="eastAsia"/>
          <w:color w:val="0000FF"/>
          <w:lang w:val="en-US" w:eastAsia="zh-CN"/>
        </w:rPr>
        <w:t>通过完善粪污付费机制、粪污拉运输送设施、收集转运体系，改善粪污量受限的现状，</w:t>
      </w:r>
      <w:r>
        <w:rPr>
          <w:rFonts w:hint="eastAsia"/>
          <w:color w:val="0000FF"/>
          <w:highlight w:val="none"/>
          <w:lang w:val="en-US" w:eastAsia="zh-CN"/>
        </w:rPr>
        <w:t>利用好2家</w:t>
      </w:r>
      <w:r>
        <w:rPr>
          <w:rFonts w:hint="eastAsia"/>
          <w:color w:val="0000FF"/>
        </w:rPr>
        <w:t>粪污集中处理中心</w:t>
      </w:r>
      <w:r>
        <w:rPr>
          <w:rFonts w:hint="eastAsia"/>
          <w:color w:val="0000FF"/>
          <w:lang w:eastAsia="zh-CN"/>
        </w:rPr>
        <w:t>，</w:t>
      </w:r>
      <w:r>
        <w:rPr>
          <w:rFonts w:hint="eastAsia"/>
          <w:color w:val="auto"/>
        </w:rPr>
        <w:t>在</w:t>
      </w:r>
      <w:r>
        <w:rPr>
          <w:rFonts w:hint="eastAsia" w:ascii="Times New Roman" w:hAnsi="Times New Roman"/>
          <w:color w:val="auto"/>
          <w:lang w:val="en-US" w:eastAsia="zh-CN"/>
        </w:rPr>
        <w:t>褚河镇化庄村、苌庄镇石庙村、苌庄镇柏村</w:t>
      </w:r>
      <w:r>
        <w:rPr>
          <w:rFonts w:hint="eastAsia"/>
          <w:color w:val="auto"/>
        </w:rPr>
        <w:t>建设</w:t>
      </w:r>
      <w:r>
        <w:rPr>
          <w:rFonts w:hint="eastAsia"/>
          <w:color w:val="auto"/>
          <w:lang w:val="en-US" w:eastAsia="zh-CN"/>
        </w:rPr>
        <w:t>3</w:t>
      </w:r>
      <w:r>
        <w:rPr>
          <w:rFonts w:hint="eastAsia"/>
          <w:color w:val="auto"/>
        </w:rPr>
        <w:t>处畜禽粪污处理中心</w:t>
      </w:r>
      <w:r>
        <w:rPr>
          <w:rFonts w:hint="eastAsia"/>
          <w:color w:val="auto"/>
          <w:lang w:eastAsia="zh-CN"/>
        </w:rPr>
        <w:t>（</w:t>
      </w:r>
      <w:r>
        <w:rPr>
          <w:rFonts w:hint="eastAsia"/>
          <w:color w:val="auto"/>
          <w:lang w:val="en-US" w:eastAsia="zh-CN"/>
        </w:rPr>
        <w:t>有机肥厂</w:t>
      </w:r>
      <w:r>
        <w:rPr>
          <w:rFonts w:hint="eastAsia"/>
          <w:color w:val="auto"/>
          <w:lang w:eastAsia="zh-CN"/>
        </w:rPr>
        <w:t>）</w:t>
      </w:r>
      <w:r>
        <w:rPr>
          <w:rFonts w:hint="eastAsia"/>
          <w:color w:val="auto"/>
        </w:rPr>
        <w:t>。建设内容包括村级堆粪场，畜禽粪污处理中心，配备除砂池、匀浆池、厌氧发酵罐、一体化储气柜、有机肥生产车间、沼液池，以及辅助配套设施等。</w:t>
      </w:r>
    </w:p>
    <w:p>
      <w:pPr>
        <w:pStyle w:val="5"/>
        <w:bidi w:val="0"/>
        <w:rPr>
          <w:rFonts w:hint="eastAsia"/>
          <w:color w:val="auto"/>
          <w:lang w:val="en-US" w:eastAsia="zh-CN"/>
        </w:rPr>
      </w:pPr>
      <w:bookmarkStart w:id="78" w:name="_Toc13497"/>
      <w:bookmarkStart w:id="79" w:name="_Toc25766"/>
      <w:r>
        <w:rPr>
          <w:rFonts w:hint="eastAsia"/>
          <w:color w:val="auto"/>
          <w:lang w:val="en-US" w:eastAsia="zh-CN"/>
        </w:rPr>
        <w:t>5.3</w:t>
      </w:r>
      <w:bookmarkEnd w:id="75"/>
      <w:bookmarkEnd w:id="76"/>
      <w:bookmarkEnd w:id="77"/>
      <w:r>
        <w:rPr>
          <w:rFonts w:hint="default"/>
          <w:color w:val="auto"/>
        </w:rPr>
        <w:t>监管体系建设工</w:t>
      </w:r>
      <w:r>
        <w:rPr>
          <w:rFonts w:hint="eastAsia"/>
          <w:color w:val="auto"/>
          <w:lang w:val="en-US" w:eastAsia="zh-CN"/>
        </w:rPr>
        <w:t>程</w:t>
      </w:r>
      <w:bookmarkEnd w:id="78"/>
      <w:bookmarkEnd w:id="79"/>
    </w:p>
    <w:p>
      <w:pPr>
        <w:bidi w:val="0"/>
        <w:rPr>
          <w:rFonts w:hint="default"/>
          <w:color w:val="auto"/>
        </w:rPr>
      </w:pPr>
      <w:r>
        <w:rPr>
          <w:rFonts w:hint="default"/>
          <w:color w:val="auto"/>
        </w:rPr>
        <w:t>畜禽养殖污染防治</w:t>
      </w:r>
      <w:r>
        <w:rPr>
          <w:rFonts w:hint="eastAsia"/>
          <w:color w:val="auto"/>
          <w:lang w:val="en-US" w:eastAsia="zh-CN"/>
        </w:rPr>
        <w:t>环境</w:t>
      </w:r>
      <w:r>
        <w:rPr>
          <w:rFonts w:hint="default"/>
          <w:color w:val="auto"/>
        </w:rPr>
        <w:t>监管体系建设主要包括</w:t>
      </w:r>
    </w:p>
    <w:p>
      <w:pPr>
        <w:bidi w:val="0"/>
        <w:rPr>
          <w:rFonts w:hint="default"/>
          <w:color w:val="auto"/>
        </w:rPr>
      </w:pPr>
      <w:r>
        <w:rPr>
          <w:rFonts w:hint="eastAsia"/>
          <w:color w:val="auto"/>
          <w:lang w:eastAsia="zh-CN"/>
        </w:rPr>
        <w:t>（</w:t>
      </w:r>
      <w:r>
        <w:rPr>
          <w:rFonts w:hint="eastAsia"/>
          <w:color w:val="auto"/>
          <w:lang w:val="en-US" w:eastAsia="zh-CN"/>
        </w:rPr>
        <w:t>1</w:t>
      </w:r>
      <w:r>
        <w:rPr>
          <w:rFonts w:hint="default"/>
          <w:color w:val="auto"/>
        </w:rPr>
        <w:t>）按照“一场一档”的要求，督促指导畜禽规模养殖场、第三方服务机构建立完善畜禽粪污资源化利用档案。</w:t>
      </w:r>
      <w:r>
        <w:rPr>
          <w:rFonts w:hint="eastAsia"/>
          <w:color w:val="auto"/>
          <w:lang w:val="en-US" w:eastAsia="zh-CN"/>
        </w:rPr>
        <w:t>许昌市生态环境局禹州分局</w:t>
      </w:r>
      <w:r>
        <w:rPr>
          <w:rFonts w:hint="default"/>
          <w:color w:val="auto"/>
        </w:rPr>
        <w:t>和农业农村</w:t>
      </w:r>
      <w:r>
        <w:rPr>
          <w:rFonts w:hint="eastAsia"/>
          <w:color w:val="auto"/>
          <w:lang w:val="en-US" w:eastAsia="zh-CN"/>
        </w:rPr>
        <w:t>局</w:t>
      </w:r>
      <w:r>
        <w:rPr>
          <w:rFonts w:hint="default"/>
          <w:color w:val="auto"/>
        </w:rPr>
        <w:t>不定期对规模养殖场档案建立及台账规范性情况开展抽查工作。</w:t>
      </w:r>
    </w:p>
    <w:p>
      <w:pPr>
        <w:bidi w:val="0"/>
        <w:rPr>
          <w:rFonts w:hint="default"/>
          <w:color w:val="auto"/>
        </w:rPr>
      </w:pPr>
      <w:r>
        <w:rPr>
          <w:rFonts w:hint="eastAsia"/>
          <w:color w:val="auto"/>
          <w:lang w:eastAsia="zh-CN"/>
        </w:rPr>
        <w:t>（</w:t>
      </w:r>
      <w:r>
        <w:rPr>
          <w:rFonts w:hint="eastAsia"/>
          <w:color w:val="auto"/>
          <w:lang w:val="en-US" w:eastAsia="zh-CN"/>
        </w:rPr>
        <w:t>2</w:t>
      </w:r>
      <w:r>
        <w:rPr>
          <w:rFonts w:hint="default"/>
          <w:color w:val="auto"/>
        </w:rPr>
        <w:t>）督促畜禽规模养殖场安装摄像头，对粪污资源利用设施进行在线监控，并不定期开展线下调查。</w:t>
      </w:r>
    </w:p>
    <w:p>
      <w:pPr>
        <w:bidi w:val="0"/>
        <w:rPr>
          <w:rFonts w:hint="eastAsia"/>
          <w:color w:val="auto"/>
          <w:lang w:eastAsia="zh-CN"/>
        </w:rPr>
      </w:pPr>
      <w:r>
        <w:rPr>
          <w:rFonts w:hint="eastAsia"/>
          <w:color w:val="auto"/>
          <w:lang w:eastAsia="zh-CN"/>
        </w:rPr>
        <w:t>（</w:t>
      </w:r>
      <w:r>
        <w:rPr>
          <w:rFonts w:hint="eastAsia"/>
          <w:color w:val="auto"/>
          <w:lang w:val="en-US" w:eastAsia="zh-CN"/>
        </w:rPr>
        <w:t>3</w:t>
      </w:r>
      <w:r>
        <w:rPr>
          <w:rFonts w:hint="eastAsia"/>
          <w:color w:val="auto"/>
          <w:lang w:eastAsia="zh-CN"/>
        </w:rPr>
        <w:t>）完善粪污付费机制、粪污拉运输送设施、收集转运体系。</w:t>
      </w:r>
    </w:p>
    <w:p>
      <w:pPr>
        <w:bidi w:val="0"/>
        <w:ind w:left="0" w:leftChars="0" w:firstLine="0" w:firstLineChars="0"/>
        <w:jc w:val="center"/>
        <w:rPr>
          <w:rFonts w:hint="eastAsia"/>
          <w:b/>
          <w:bCs/>
          <w:color w:val="auto"/>
        </w:rPr>
      </w:pPr>
      <w:r>
        <w:rPr>
          <w:rFonts w:hint="eastAsia"/>
          <w:b/>
          <w:bCs/>
          <w:color w:val="auto"/>
        </w:rPr>
        <w:t>表</w:t>
      </w:r>
      <w:r>
        <w:rPr>
          <w:rFonts w:hint="eastAsia"/>
          <w:b/>
          <w:bCs/>
          <w:color w:val="auto"/>
          <w:lang w:val="en-US" w:eastAsia="zh-CN"/>
        </w:rPr>
        <w:t>5-</w:t>
      </w:r>
      <w:r>
        <w:rPr>
          <w:rFonts w:hint="eastAsia"/>
          <w:b/>
          <w:bCs/>
          <w:color w:val="auto"/>
        </w:rPr>
        <w:t>1-1</w:t>
      </w:r>
      <w:r>
        <w:rPr>
          <w:rFonts w:hint="eastAsia"/>
          <w:b/>
          <w:bCs/>
          <w:color w:val="auto"/>
          <w:lang w:val="en-US" w:eastAsia="zh-CN"/>
        </w:rPr>
        <w:t xml:space="preserve">  </w:t>
      </w:r>
      <w:r>
        <w:rPr>
          <w:rFonts w:hint="eastAsia"/>
          <w:b/>
          <w:bCs/>
          <w:color w:val="auto"/>
        </w:rPr>
        <w:t>重点工程表</w:t>
      </w:r>
    </w:p>
    <w:tbl>
      <w:tblPr>
        <w:tblStyle w:val="1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0"/>
        <w:gridCol w:w="1086"/>
        <w:gridCol w:w="2940"/>
        <w:gridCol w:w="961"/>
        <w:gridCol w:w="1287"/>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1" w:hRule="atLeast"/>
          <w:tblHeader/>
          <w:jc w:val="center"/>
        </w:trPr>
        <w:tc>
          <w:tcPr>
            <w:tcW w:w="569" w:type="pc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ascii="Times New Roman" w:hAnsi="Times New Roman" w:cs="Times New Roman"/>
                <w:b/>
                <w:bCs/>
                <w:color w:val="auto"/>
                <w:sz w:val="24"/>
                <w:szCs w:val="24"/>
              </w:rPr>
            </w:pPr>
            <w:r>
              <w:rPr>
                <w:rFonts w:hint="eastAsia" w:ascii="Times New Roman" w:hAnsi="Times New Roman" w:cs="Times New Roman"/>
                <w:b/>
                <w:bCs/>
                <w:color w:val="auto"/>
                <w:sz w:val="24"/>
                <w:szCs w:val="24"/>
              </w:rPr>
              <w:t>项目类型</w:t>
            </w:r>
          </w:p>
        </w:tc>
        <w:tc>
          <w:tcPr>
            <w:tcW w:w="2362" w:type="pct"/>
            <w:gridSpan w:val="2"/>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ascii="Times New Roman" w:hAnsi="Times New Roman" w:cs="Times New Roman"/>
                <w:b/>
                <w:bCs/>
                <w:color w:val="auto"/>
                <w:sz w:val="24"/>
                <w:szCs w:val="24"/>
              </w:rPr>
            </w:pPr>
            <w:r>
              <w:rPr>
                <w:rFonts w:hint="eastAsia" w:ascii="Times New Roman" w:hAnsi="Times New Roman" w:cs="Times New Roman"/>
                <w:b/>
                <w:bCs/>
                <w:color w:val="auto"/>
                <w:sz w:val="24"/>
                <w:szCs w:val="24"/>
              </w:rPr>
              <w:t>建设内容</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default" w:ascii="Times New Roman" w:hAnsi="Times New Roman" w:eastAsia="仿宋" w:cs="Times New Roman"/>
                <w:b/>
                <w:bCs/>
                <w:i w:val="0"/>
                <w:iCs w:val="0"/>
                <w:color w:val="auto"/>
                <w:kern w:val="0"/>
                <w:sz w:val="24"/>
                <w:szCs w:val="24"/>
                <w:u w:val="none"/>
                <w:lang w:val="en-US" w:eastAsia="zh-CN" w:bidi="ar"/>
              </w:rPr>
            </w:pPr>
            <w:r>
              <w:rPr>
                <w:rFonts w:hint="default" w:ascii="Times New Roman" w:hAnsi="Times New Roman" w:eastAsia="仿宋" w:cs="Times New Roman"/>
                <w:b/>
                <w:bCs/>
                <w:i w:val="0"/>
                <w:iCs w:val="0"/>
                <w:color w:val="auto"/>
                <w:kern w:val="0"/>
                <w:sz w:val="24"/>
                <w:szCs w:val="24"/>
                <w:u w:val="none"/>
                <w:lang w:val="en-US" w:eastAsia="zh-CN" w:bidi="ar"/>
              </w:rPr>
              <w:t>投资</w:t>
            </w:r>
          </w:p>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bCs/>
                <w:color w:val="auto"/>
                <w:sz w:val="24"/>
                <w:szCs w:val="24"/>
              </w:rPr>
            </w:pPr>
            <w:r>
              <w:rPr>
                <w:rFonts w:hint="default" w:ascii="Times New Roman" w:hAnsi="Times New Roman" w:eastAsia="仿宋" w:cs="Times New Roman"/>
                <w:b/>
                <w:bCs/>
                <w:i w:val="0"/>
                <w:iCs w:val="0"/>
                <w:color w:val="auto"/>
                <w:kern w:val="0"/>
                <w:sz w:val="24"/>
                <w:szCs w:val="24"/>
                <w:u w:val="none"/>
                <w:lang w:val="en-US" w:eastAsia="zh-CN" w:bidi="ar"/>
              </w:rPr>
              <w:t>（万元）</w:t>
            </w:r>
          </w:p>
        </w:tc>
        <w:tc>
          <w:tcPr>
            <w:tcW w:w="755" w:type="pc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ascii="Times New Roman" w:hAnsi="Times New Roman" w:cs="Times New Roman"/>
                <w:b/>
                <w:bCs/>
                <w:color w:val="auto"/>
                <w:sz w:val="24"/>
                <w:szCs w:val="24"/>
              </w:rPr>
            </w:pPr>
            <w:r>
              <w:rPr>
                <w:rFonts w:hint="eastAsia" w:ascii="Times New Roman" w:hAnsi="Times New Roman" w:cs="Times New Roman"/>
                <w:b/>
                <w:bCs/>
                <w:color w:val="auto"/>
                <w:sz w:val="24"/>
                <w:szCs w:val="24"/>
              </w:rPr>
              <w:t>责任单位</w:t>
            </w:r>
          </w:p>
        </w:tc>
        <w:tc>
          <w:tcPr>
            <w:tcW w:w="748" w:type="pc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bCs/>
                <w:color w:val="auto"/>
                <w:sz w:val="24"/>
                <w:szCs w:val="24"/>
              </w:rPr>
            </w:pPr>
            <w:r>
              <w:rPr>
                <w:rFonts w:hint="eastAsia" w:ascii="Times New Roman" w:hAnsi="Times New Roman" w:cs="Times New Roman"/>
                <w:b/>
                <w:bCs/>
                <w:color w:val="auto"/>
                <w:sz w:val="24"/>
                <w:szCs w:val="24"/>
                <w:lang w:val="en-US" w:eastAsia="zh-CN"/>
              </w:rPr>
              <w:t>实施</w:t>
            </w:r>
            <w:r>
              <w:rPr>
                <w:rFonts w:hint="eastAsia" w:ascii="Times New Roman" w:hAnsi="Times New Roman" w:cs="Times New Roman"/>
                <w:b/>
                <w:bCs/>
                <w:color w:val="auto"/>
                <w:sz w:val="24"/>
                <w:szCs w:val="24"/>
              </w:rPr>
              <w:t>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569"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畜禽粪污处理利用设施提升工程</w:t>
            </w:r>
          </w:p>
        </w:tc>
        <w:tc>
          <w:tcPr>
            <w:tcW w:w="637"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lang w:val="en-US" w:eastAsia="zh-CN"/>
              </w:rPr>
              <w:t>建设完善粪污贮存设施</w:t>
            </w: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禹州市福瑞养殖有限公司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cs="Times New Roman"/>
                <w:b w:val="0"/>
                <w:bCs w:val="0"/>
                <w:i w:val="0"/>
                <w:iCs w:val="0"/>
                <w:color w:val="auto"/>
                <w:kern w:val="0"/>
                <w:sz w:val="24"/>
                <w:szCs w:val="24"/>
                <w:u w:val="none"/>
                <w:lang w:val="en-US" w:eastAsia="zh-CN" w:bidi="ar"/>
              </w:rPr>
              <w:t>15</w:t>
            </w:r>
          </w:p>
        </w:tc>
        <w:tc>
          <w:tcPr>
            <w:tcW w:w="755"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禹州市农业农村局、生态环境局</w:t>
            </w:r>
          </w:p>
        </w:tc>
        <w:tc>
          <w:tcPr>
            <w:tcW w:w="748"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lang w:val="en-US" w:eastAsia="zh-CN"/>
              </w:rPr>
              <w:t>202</w:t>
            </w:r>
            <w:r>
              <w:rPr>
                <w:rFonts w:hint="eastAsia" w:cs="Times New Roman"/>
                <w:b w:val="0"/>
                <w:bCs w:val="0"/>
                <w:color w:val="auto"/>
                <w:sz w:val="24"/>
                <w:szCs w:val="24"/>
                <w:lang w:val="en-US" w:eastAsia="zh-CN"/>
              </w:rPr>
              <w:t>2</w:t>
            </w:r>
            <w:r>
              <w:rPr>
                <w:rFonts w:hint="eastAsia" w:ascii="Times New Roman" w:hAnsi="Times New Roman" w:cs="Times New Roman"/>
                <w:b w:val="0"/>
                <w:bCs w:val="0"/>
                <w:color w:val="auto"/>
                <w:sz w:val="24"/>
                <w:szCs w:val="24"/>
                <w:lang w:val="en-US" w:eastAsia="zh-CN"/>
              </w:rPr>
              <w:t>-2025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color w:val="auto"/>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color w:val="auto"/>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河南省昭祥种植养殖有限公司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cs="Times New Roman"/>
                <w:b w:val="0"/>
                <w:bCs w:val="0"/>
                <w:i w:val="0"/>
                <w:iCs w:val="0"/>
                <w:color w:val="auto"/>
                <w:kern w:val="0"/>
                <w:sz w:val="24"/>
                <w:szCs w:val="24"/>
                <w:u w:val="none"/>
                <w:lang w:val="en-US" w:eastAsia="zh-CN" w:bidi="ar"/>
              </w:rPr>
              <w:t>2</w:t>
            </w:r>
            <w:r>
              <w:rPr>
                <w:rFonts w:hint="eastAsia" w:ascii="Times New Roman" w:hAnsi="Times New Roman" w:cs="Times New Roman"/>
                <w:b w:val="0"/>
                <w:bCs w:val="0"/>
                <w:i w:val="0"/>
                <w:iCs w:val="0"/>
                <w:color w:val="auto"/>
                <w:kern w:val="0"/>
                <w:sz w:val="24"/>
                <w:szCs w:val="24"/>
                <w:u w:val="none"/>
                <w:lang w:val="en-US" w:eastAsia="zh-CN" w:bidi="ar"/>
              </w:rPr>
              <w:t>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禹州盛硕生态农业有限公司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cs="Times New Roman"/>
                <w:b w:val="0"/>
                <w:bCs w:val="0"/>
                <w:i w:val="0"/>
                <w:iCs w:val="0"/>
                <w:color w:val="auto"/>
                <w:kern w:val="0"/>
                <w:sz w:val="24"/>
                <w:szCs w:val="24"/>
                <w:u w:val="none"/>
                <w:lang w:val="en-US" w:eastAsia="zh-CN" w:bidi="ar"/>
              </w:rPr>
              <w:t>10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禹州市丰燮养殖有限公司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cs="Times New Roman"/>
                <w:b w:val="0"/>
                <w:bCs w:val="0"/>
                <w:i w:val="0"/>
                <w:iCs w:val="0"/>
                <w:color w:val="auto"/>
                <w:kern w:val="0"/>
                <w:sz w:val="24"/>
                <w:szCs w:val="24"/>
                <w:u w:val="none"/>
                <w:lang w:val="en-US" w:eastAsia="zh-CN" w:bidi="ar"/>
              </w:rPr>
              <w:t>5</w:t>
            </w:r>
            <w:r>
              <w:rPr>
                <w:rFonts w:hint="eastAsia" w:ascii="Times New Roman" w:hAnsi="Times New Roman" w:cs="Times New Roman"/>
                <w:b w:val="0"/>
                <w:bCs w:val="0"/>
                <w:i w:val="0"/>
                <w:iCs w:val="0"/>
                <w:color w:val="auto"/>
                <w:kern w:val="0"/>
                <w:sz w:val="24"/>
                <w:szCs w:val="24"/>
                <w:u w:val="none"/>
                <w:lang w:val="en-US" w:eastAsia="zh-CN" w:bidi="ar"/>
              </w:rPr>
              <w:t>5</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河南省永军养殖有限公司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cs="Times New Roman"/>
                <w:b w:val="0"/>
                <w:bCs w:val="0"/>
                <w:i w:val="0"/>
                <w:iCs w:val="0"/>
                <w:color w:val="auto"/>
                <w:kern w:val="0"/>
                <w:sz w:val="24"/>
                <w:szCs w:val="24"/>
                <w:u w:val="none"/>
                <w:lang w:val="en-US" w:eastAsia="zh-CN" w:bidi="ar"/>
              </w:rPr>
              <w:t>20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禹州市神垕镇扬名养殖场</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cs="Times New Roman"/>
                <w:b w:val="0"/>
                <w:bCs w:val="0"/>
                <w:i w:val="0"/>
                <w:iCs w:val="0"/>
                <w:color w:val="auto"/>
                <w:kern w:val="0"/>
                <w:sz w:val="24"/>
                <w:szCs w:val="24"/>
                <w:u w:val="none"/>
                <w:lang w:val="en-US" w:eastAsia="zh-CN" w:bidi="ar"/>
              </w:rPr>
              <w:t>1</w:t>
            </w:r>
            <w:r>
              <w:rPr>
                <w:rFonts w:hint="eastAsia" w:cs="Times New Roman"/>
                <w:b w:val="0"/>
                <w:bCs w:val="0"/>
                <w:i w:val="0"/>
                <w:iCs w:val="0"/>
                <w:color w:val="auto"/>
                <w:kern w:val="0"/>
                <w:sz w:val="24"/>
                <w:szCs w:val="24"/>
                <w:u w:val="none"/>
                <w:lang w:val="en-US" w:eastAsia="zh-CN" w:bidi="ar"/>
              </w:rPr>
              <w:t>5</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禹州市远利养殖有限公司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cs="Times New Roman"/>
                <w:b w:val="0"/>
                <w:bCs w:val="0"/>
                <w:i w:val="0"/>
                <w:iCs w:val="0"/>
                <w:color w:val="auto"/>
                <w:kern w:val="0"/>
                <w:sz w:val="24"/>
                <w:szCs w:val="24"/>
                <w:u w:val="none"/>
                <w:lang w:val="en-US" w:eastAsia="zh-CN" w:bidi="ar"/>
              </w:rPr>
              <w:t>36</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禹州市梁北镇张新见养殖场</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cs="Times New Roman"/>
                <w:b w:val="0"/>
                <w:bCs w:val="0"/>
                <w:i w:val="0"/>
                <w:iCs w:val="0"/>
                <w:color w:val="auto"/>
                <w:kern w:val="0"/>
                <w:sz w:val="24"/>
                <w:szCs w:val="24"/>
                <w:u w:val="none"/>
                <w:lang w:val="en-US" w:eastAsia="zh-CN" w:bidi="ar"/>
              </w:rPr>
              <w:t>10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1725"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禹州市龙跃牧业有限公司</w:t>
            </w:r>
          </w:p>
        </w:tc>
        <w:tc>
          <w:tcPr>
            <w:tcW w:w="564" w:type="pct"/>
            <w:noWrap w:val="0"/>
            <w:vAlign w:val="center"/>
          </w:tcPr>
          <w:p>
            <w:pPr>
              <w:keepNext w:val="0"/>
              <w:keepLines w:val="0"/>
              <w:widowControl/>
              <w:suppressLineNumbers w:val="0"/>
              <w:spacing w:line="240" w:lineRule="auto"/>
              <w:ind w:left="0" w:leftChars="0" w:firstLine="0" w:firstLineChars="0"/>
              <w:jc w:val="center"/>
              <w:textAlignment w:val="center"/>
              <w:rPr>
                <w:rFonts w:hint="eastAsia" w:ascii="Times New Roman" w:hAnsi="Times New Roman" w:eastAsia="仿宋" w:cs="Times New Roman"/>
                <w:b w:val="0"/>
                <w:bCs w:val="0"/>
                <w:i w:val="0"/>
                <w:iCs w:val="0"/>
                <w:color w:val="auto"/>
                <w:kern w:val="0"/>
                <w:sz w:val="24"/>
                <w:szCs w:val="24"/>
                <w:u w:val="none"/>
                <w:lang w:val="en-US" w:eastAsia="zh-CN" w:bidi="ar"/>
              </w:rPr>
            </w:pPr>
            <w:r>
              <w:rPr>
                <w:rFonts w:hint="eastAsia" w:ascii="Times New Roman" w:hAnsi="Times New Roman" w:eastAsia="仿宋" w:cs="Times New Roman"/>
                <w:b w:val="0"/>
                <w:bCs w:val="0"/>
                <w:i w:val="0"/>
                <w:iCs w:val="0"/>
                <w:color w:val="auto"/>
                <w:kern w:val="0"/>
                <w:sz w:val="24"/>
                <w:szCs w:val="24"/>
                <w:u w:val="none"/>
                <w:lang w:val="en-US" w:eastAsia="zh-CN" w:bidi="ar"/>
              </w:rPr>
              <w:t>17</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569"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eastAsia="zh-CN"/>
              </w:rPr>
            </w:pPr>
            <w:r>
              <w:rPr>
                <w:rFonts w:hint="eastAsia" w:ascii="Times New Roman" w:hAnsi="Times New Roman" w:cs="Times New Roman"/>
                <w:b w:val="0"/>
                <w:bCs w:val="0"/>
                <w:color w:val="auto"/>
                <w:sz w:val="24"/>
                <w:szCs w:val="24"/>
              </w:rPr>
              <w:t>畜禽粪污转运及集中处理中心建设工程</w:t>
            </w:r>
          </w:p>
        </w:tc>
        <w:tc>
          <w:tcPr>
            <w:tcW w:w="637"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畜禽粪污有机肥制造相关设备</w:t>
            </w:r>
          </w:p>
        </w:tc>
        <w:tc>
          <w:tcPr>
            <w:tcW w:w="1725"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b w:val="0"/>
                <w:bCs w:val="0"/>
                <w:color w:val="auto"/>
                <w:kern w:val="0"/>
                <w:sz w:val="24"/>
                <w:szCs w:val="24"/>
                <w:highlight w:val="none"/>
                <w:lang w:val="en-US" w:eastAsia="zh-CN" w:bidi="ar-SA"/>
              </w:rPr>
            </w:pPr>
            <w:r>
              <w:rPr>
                <w:rFonts w:hint="eastAsia" w:ascii="Times New Roman" w:hAnsi="Times New Roman" w:cs="Times New Roman"/>
                <w:b w:val="0"/>
                <w:bCs w:val="0"/>
                <w:color w:val="auto"/>
                <w:kern w:val="0"/>
                <w:sz w:val="24"/>
                <w:szCs w:val="24"/>
                <w:highlight w:val="none"/>
                <w:lang w:val="en-US" w:eastAsia="zh-CN"/>
              </w:rPr>
              <w:t>禹州市宝丽生物肥有限公司</w:t>
            </w:r>
          </w:p>
        </w:tc>
        <w:tc>
          <w:tcPr>
            <w:tcW w:w="564"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b w:val="0"/>
                <w:bCs w:val="0"/>
                <w:color w:val="auto"/>
                <w:kern w:val="0"/>
                <w:sz w:val="24"/>
                <w:szCs w:val="24"/>
                <w:highlight w:val="none"/>
                <w:lang w:val="en-US" w:eastAsia="zh-CN" w:bidi="ar-SA"/>
              </w:rPr>
            </w:pPr>
            <w:r>
              <w:rPr>
                <w:rFonts w:hint="eastAsia" w:cs="Times New Roman"/>
                <w:b w:val="0"/>
                <w:bCs w:val="0"/>
                <w:color w:val="auto"/>
                <w:kern w:val="0"/>
                <w:sz w:val="24"/>
                <w:szCs w:val="24"/>
                <w:highlight w:val="none"/>
                <w:lang w:val="en-US" w:eastAsia="zh-CN"/>
              </w:rPr>
              <w:t>73</w:t>
            </w:r>
            <w:r>
              <w:rPr>
                <w:rFonts w:hint="eastAsia" w:ascii="Times New Roman" w:hAnsi="Times New Roman" w:cs="Times New Roman"/>
                <w:b w:val="0"/>
                <w:bCs w:val="0"/>
                <w:color w:val="auto"/>
                <w:kern w:val="0"/>
                <w:sz w:val="24"/>
                <w:szCs w:val="24"/>
                <w:highlight w:val="none"/>
                <w:lang w:val="en-US" w:eastAsia="zh-CN"/>
              </w:rPr>
              <w:t>0</w:t>
            </w:r>
          </w:p>
        </w:tc>
        <w:tc>
          <w:tcPr>
            <w:tcW w:w="755"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禹州市农业农村局、生态环境局</w:t>
            </w:r>
          </w:p>
        </w:tc>
        <w:tc>
          <w:tcPr>
            <w:tcW w:w="748"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lang w:val="en-US" w:eastAsia="zh-CN"/>
              </w:rPr>
              <w:t>202</w:t>
            </w:r>
            <w:r>
              <w:rPr>
                <w:rFonts w:hint="eastAsia" w:cs="Times New Roman"/>
                <w:b w:val="0"/>
                <w:bCs w:val="0"/>
                <w:color w:val="auto"/>
                <w:sz w:val="24"/>
                <w:szCs w:val="24"/>
                <w:lang w:val="en-US" w:eastAsia="zh-CN"/>
              </w:rPr>
              <w:t>1</w:t>
            </w:r>
            <w:r>
              <w:rPr>
                <w:rFonts w:hint="eastAsia" w:ascii="Times New Roman" w:hAnsi="Times New Roman" w:cs="Times New Roman"/>
                <w:b w:val="0"/>
                <w:bCs w:val="0"/>
                <w:color w:val="auto"/>
                <w:sz w:val="24"/>
                <w:szCs w:val="24"/>
                <w:lang w:val="en-US" w:eastAsia="zh-CN"/>
              </w:rPr>
              <w:t>-202</w:t>
            </w:r>
            <w:r>
              <w:rPr>
                <w:rFonts w:hint="eastAsia" w:cs="Times New Roman"/>
                <w:b w:val="0"/>
                <w:bCs w:val="0"/>
                <w:color w:val="auto"/>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color w:val="auto"/>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color w:val="auto"/>
              </w:rPr>
            </w:pPr>
          </w:p>
        </w:tc>
        <w:tc>
          <w:tcPr>
            <w:tcW w:w="1725"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b w:val="0"/>
                <w:bCs w:val="0"/>
                <w:color w:val="auto"/>
                <w:kern w:val="0"/>
                <w:sz w:val="24"/>
                <w:szCs w:val="24"/>
                <w:highlight w:val="none"/>
                <w:lang w:val="en-US" w:eastAsia="zh-CN" w:bidi="ar-SA"/>
              </w:rPr>
            </w:pPr>
            <w:r>
              <w:rPr>
                <w:rFonts w:hint="eastAsia" w:ascii="Times New Roman" w:hAnsi="Times New Roman" w:cs="Times New Roman"/>
                <w:b w:val="0"/>
                <w:bCs w:val="0"/>
                <w:color w:val="auto"/>
                <w:kern w:val="0"/>
                <w:sz w:val="24"/>
                <w:szCs w:val="24"/>
                <w:highlight w:val="none"/>
                <w:lang w:val="en-US" w:eastAsia="zh-CN"/>
              </w:rPr>
              <w:t>禹州市福合有机化肥有限公司</w:t>
            </w:r>
          </w:p>
        </w:tc>
        <w:tc>
          <w:tcPr>
            <w:tcW w:w="564"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b w:val="0"/>
                <w:bCs w:val="0"/>
                <w:color w:val="auto"/>
                <w:kern w:val="0"/>
                <w:sz w:val="24"/>
                <w:szCs w:val="24"/>
                <w:highlight w:val="none"/>
                <w:lang w:val="en-US" w:eastAsia="zh-CN" w:bidi="ar-SA"/>
              </w:rPr>
            </w:pPr>
            <w:r>
              <w:rPr>
                <w:rFonts w:hint="eastAsia" w:cs="Times New Roman"/>
                <w:b w:val="0"/>
                <w:bCs w:val="0"/>
                <w:color w:val="auto"/>
                <w:kern w:val="0"/>
                <w:sz w:val="24"/>
                <w:szCs w:val="24"/>
                <w:highlight w:val="none"/>
                <w:lang w:val="en-US" w:eastAsia="zh-CN"/>
              </w:rPr>
              <w:t>62</w:t>
            </w:r>
            <w:r>
              <w:rPr>
                <w:rFonts w:hint="eastAsia" w:ascii="Times New Roman" w:hAnsi="Times New Roman" w:cs="Times New Roman"/>
                <w:b w:val="0"/>
                <w:bCs w:val="0"/>
                <w:color w:val="auto"/>
                <w:kern w:val="0"/>
                <w:sz w:val="24"/>
                <w:szCs w:val="24"/>
                <w:highlight w:val="none"/>
                <w:lang w:val="en-US" w:eastAsia="zh-CN"/>
              </w:rPr>
              <w:t>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637"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1725"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b w:val="0"/>
                <w:bCs w:val="0"/>
                <w:color w:val="auto"/>
                <w:kern w:val="0"/>
                <w:sz w:val="24"/>
                <w:szCs w:val="24"/>
                <w:highlight w:val="none"/>
                <w:lang w:val="en-US" w:eastAsia="zh-CN" w:bidi="ar-SA"/>
              </w:rPr>
            </w:pPr>
            <w:r>
              <w:rPr>
                <w:rFonts w:hint="eastAsia" w:ascii="Times New Roman" w:hAnsi="Times New Roman" w:cs="Times New Roman"/>
                <w:b w:val="0"/>
                <w:bCs w:val="0"/>
                <w:color w:val="auto"/>
                <w:kern w:val="0"/>
                <w:sz w:val="24"/>
                <w:szCs w:val="24"/>
                <w:highlight w:val="none"/>
                <w:lang w:val="en-US" w:eastAsia="zh-CN"/>
              </w:rPr>
              <w:t>禹州市梦源养殖有限公司</w:t>
            </w:r>
          </w:p>
        </w:tc>
        <w:tc>
          <w:tcPr>
            <w:tcW w:w="564"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b w:val="0"/>
                <w:bCs w:val="0"/>
                <w:color w:val="auto"/>
                <w:kern w:val="0"/>
                <w:sz w:val="24"/>
                <w:szCs w:val="24"/>
                <w:highlight w:val="none"/>
                <w:lang w:val="en-US" w:eastAsia="zh-CN" w:bidi="ar-SA"/>
              </w:rPr>
            </w:pPr>
            <w:r>
              <w:rPr>
                <w:rFonts w:hint="eastAsia" w:cs="Times New Roman"/>
                <w:b w:val="0"/>
                <w:bCs w:val="0"/>
                <w:color w:val="auto"/>
                <w:kern w:val="0"/>
                <w:sz w:val="24"/>
                <w:szCs w:val="24"/>
                <w:highlight w:val="none"/>
                <w:lang w:val="en-US" w:eastAsia="zh-CN"/>
              </w:rPr>
              <w:t>120</w:t>
            </w:r>
            <w:r>
              <w:rPr>
                <w:rFonts w:hint="eastAsia" w:ascii="Times New Roman" w:hAnsi="Times New Roman" w:cs="Times New Roman"/>
                <w:b w:val="0"/>
                <w:bCs w:val="0"/>
                <w:color w:val="auto"/>
                <w:kern w:val="0"/>
                <w:sz w:val="24"/>
                <w:szCs w:val="24"/>
                <w:highlight w:val="none"/>
                <w:lang w:val="en-US" w:eastAsia="zh-CN"/>
              </w:rPr>
              <w:t>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569"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监管体系建设工程</w:t>
            </w:r>
          </w:p>
        </w:tc>
        <w:tc>
          <w:tcPr>
            <w:tcW w:w="637"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cs="Times New Roman"/>
                <w:color w:val="auto"/>
                <w:sz w:val="24"/>
                <w:szCs w:val="24"/>
                <w:lang w:val="en-US" w:eastAsia="zh-CN"/>
              </w:rPr>
              <w:t>环境</w:t>
            </w:r>
            <w:r>
              <w:rPr>
                <w:rFonts w:hint="default" w:ascii="Times New Roman" w:hAnsi="Times New Roman" w:cs="Times New Roman"/>
                <w:color w:val="auto"/>
                <w:sz w:val="24"/>
                <w:szCs w:val="24"/>
                <w:lang w:val="en-US" w:eastAsia="zh-CN"/>
              </w:rPr>
              <w:t>监管体系</w:t>
            </w:r>
          </w:p>
        </w:tc>
        <w:tc>
          <w:tcPr>
            <w:tcW w:w="1725"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color w:val="auto"/>
                <w:kern w:val="2"/>
                <w:sz w:val="24"/>
                <w:szCs w:val="24"/>
                <w:lang w:val="en-US" w:eastAsia="zh-CN" w:bidi="ar-SA"/>
              </w:rPr>
            </w:pPr>
            <w:r>
              <w:rPr>
                <w:rFonts w:hint="default" w:ascii="Times New Roman" w:hAnsi="Times New Roman" w:cs="Times New Roman"/>
                <w:color w:val="auto"/>
                <w:sz w:val="24"/>
                <w:szCs w:val="24"/>
                <w:lang w:val="en-US" w:eastAsia="zh-CN"/>
              </w:rPr>
              <w:t>开展畜禽规模养殖场常态化监管，建立工作台账</w:t>
            </w:r>
            <w:r>
              <w:rPr>
                <w:rFonts w:hint="eastAsia" w:ascii="Times New Roman" w:hAnsi="Times New Roman" w:cs="Times New Roman"/>
                <w:color w:val="auto"/>
                <w:sz w:val="24"/>
                <w:szCs w:val="24"/>
                <w:lang w:val="en-US" w:eastAsia="zh-CN"/>
              </w:rPr>
              <w:t>并</w:t>
            </w:r>
            <w:r>
              <w:rPr>
                <w:rFonts w:hint="default" w:ascii="Times New Roman" w:hAnsi="Times New Roman" w:cs="Times New Roman"/>
                <w:color w:val="auto"/>
                <w:sz w:val="24"/>
                <w:szCs w:val="24"/>
                <w:lang w:val="en-US" w:eastAsia="zh-CN"/>
              </w:rPr>
              <w:t>抽查，对存在问题的规模养殖场建立整改清单</w:t>
            </w:r>
          </w:p>
        </w:tc>
        <w:tc>
          <w:tcPr>
            <w:tcW w:w="564" w:type="pc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仿宋" w:cs="Times New Roman"/>
                <w:b w:val="0"/>
                <w:bCs w:val="0"/>
                <w:color w:val="auto"/>
                <w:sz w:val="24"/>
                <w:szCs w:val="24"/>
                <w:lang w:val="en-US" w:eastAsia="zh-CN"/>
              </w:rPr>
            </w:pPr>
            <w:r>
              <w:rPr>
                <w:rFonts w:hint="eastAsia" w:cs="Times New Roman"/>
                <w:b w:val="0"/>
                <w:bCs w:val="0"/>
                <w:color w:val="auto"/>
                <w:sz w:val="24"/>
                <w:szCs w:val="24"/>
                <w:lang w:val="en-US" w:eastAsia="zh-CN"/>
              </w:rPr>
              <w:t>20</w:t>
            </w:r>
          </w:p>
        </w:tc>
        <w:tc>
          <w:tcPr>
            <w:tcW w:w="755"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r>
              <w:rPr>
                <w:rFonts w:hint="eastAsia" w:ascii="Times New Roman" w:hAnsi="Times New Roman" w:cs="Times New Roman"/>
                <w:b w:val="0"/>
                <w:bCs w:val="0"/>
                <w:color w:val="auto"/>
                <w:sz w:val="24"/>
                <w:szCs w:val="24"/>
              </w:rPr>
              <w:t>禹州市农业农村局、生态环境局</w:t>
            </w:r>
          </w:p>
        </w:tc>
        <w:tc>
          <w:tcPr>
            <w:tcW w:w="748" w:type="pct"/>
            <w:vMerge w:val="restar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lang w:eastAsia="zh-CN"/>
              </w:rPr>
            </w:pPr>
            <w:r>
              <w:rPr>
                <w:rFonts w:hint="eastAsia" w:ascii="Times New Roman" w:hAnsi="Times New Roman" w:cs="Times New Roman"/>
                <w:b w:val="0"/>
                <w:bCs w:val="0"/>
                <w:color w:val="auto"/>
                <w:sz w:val="24"/>
                <w:szCs w:val="24"/>
              </w:rPr>
              <w:t>202</w:t>
            </w:r>
            <w:r>
              <w:rPr>
                <w:rFonts w:hint="eastAsia" w:cs="Times New Roman"/>
                <w:b w:val="0"/>
                <w:bCs w:val="0"/>
                <w:color w:val="auto"/>
                <w:sz w:val="24"/>
                <w:szCs w:val="24"/>
                <w:lang w:val="en-US" w:eastAsia="zh-CN"/>
              </w:rPr>
              <w:t>1</w:t>
            </w:r>
            <w:r>
              <w:rPr>
                <w:rFonts w:hint="eastAsia" w:ascii="Times New Roman" w:hAnsi="Times New Roman" w:cs="Times New Roman"/>
                <w:b w:val="0"/>
                <w:bCs w:val="0"/>
                <w:color w:val="auto"/>
                <w:sz w:val="24"/>
                <w:szCs w:val="24"/>
              </w:rPr>
              <w:t>-202</w:t>
            </w:r>
            <w:r>
              <w:rPr>
                <w:rFonts w:hint="eastAsia" w:ascii="Times New Roman" w:hAnsi="Times New Roman" w:cs="Times New Roman"/>
                <w:b w:val="0"/>
                <w:bCs w:val="0"/>
                <w:color w:val="auto"/>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637" w:type="pct"/>
            <w:noWrap w:val="0"/>
            <w:vAlign w:val="center"/>
          </w:tcPr>
          <w:p>
            <w:pPr>
              <w:widowControl/>
              <w:spacing w:line="240" w:lineRule="auto"/>
              <w:ind w:left="0" w:leftChars="0" w:firstLine="0" w:firstLineChars="0"/>
              <w:jc w:val="center"/>
              <w:textAlignment w:val="center"/>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cs="Times New Roman"/>
                <w:color w:val="auto"/>
                <w:sz w:val="24"/>
                <w:szCs w:val="24"/>
                <w:lang w:val="en-US" w:eastAsia="zh-CN"/>
              </w:rPr>
              <w:t>环境监控</w:t>
            </w:r>
          </w:p>
        </w:tc>
        <w:tc>
          <w:tcPr>
            <w:tcW w:w="1725" w:type="pct"/>
            <w:noWrap w:val="0"/>
            <w:vAlign w:val="center"/>
          </w:tcPr>
          <w:p>
            <w:pPr>
              <w:widowControl/>
              <w:spacing w:line="240" w:lineRule="auto"/>
              <w:ind w:left="0" w:leftChars="0" w:firstLine="0" w:firstLineChars="0"/>
              <w:jc w:val="center"/>
              <w:textAlignment w:val="center"/>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cs="Times New Roman"/>
                <w:color w:val="auto"/>
                <w:sz w:val="24"/>
                <w:szCs w:val="24"/>
                <w:lang w:val="en-US" w:eastAsia="zh-CN"/>
              </w:rPr>
              <w:t>督促畜禽规模养殖场安装摄像头，对粪污资源利用设施进行在线监控</w:t>
            </w:r>
          </w:p>
        </w:tc>
        <w:tc>
          <w:tcPr>
            <w:tcW w:w="564" w:type="pct"/>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eastAsia="仿宋" w:cs="Times New Roman"/>
                <w:b w:val="0"/>
                <w:bCs w:val="0"/>
                <w:color w:val="auto"/>
                <w:kern w:val="2"/>
                <w:sz w:val="24"/>
                <w:szCs w:val="24"/>
                <w:lang w:val="en-US" w:eastAsia="zh-CN" w:bidi="ar-SA"/>
              </w:rPr>
            </w:pPr>
            <w:r>
              <w:rPr>
                <w:rFonts w:hint="eastAsia" w:cs="Times New Roman"/>
                <w:b w:val="0"/>
                <w:bCs w:val="0"/>
                <w:color w:val="auto"/>
                <w:sz w:val="24"/>
                <w:szCs w:val="24"/>
                <w:lang w:val="en-US" w:eastAsia="zh-CN"/>
              </w:rPr>
              <w:t>20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569"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1086" w:type="dxa"/>
            <w:noWrap w:val="0"/>
            <w:vAlign w:val="center"/>
          </w:tcPr>
          <w:p>
            <w:pPr>
              <w:widowControl/>
              <w:spacing w:line="240" w:lineRule="auto"/>
              <w:ind w:left="0" w:leftChars="0" w:firstLine="0" w:firstLineChars="0"/>
              <w:jc w:val="center"/>
              <w:textAlignment w:val="center"/>
              <w:rPr>
                <w:rFonts w:hint="default" w:ascii="Times New Roman" w:hAnsi="Times New Roman" w:eastAsia="仿宋" w:cs="Times New Roman"/>
                <w:color w:val="0000FF"/>
                <w:kern w:val="2"/>
                <w:sz w:val="24"/>
                <w:szCs w:val="24"/>
                <w:lang w:val="en-US" w:eastAsia="zh-CN" w:bidi="ar-SA"/>
              </w:rPr>
            </w:pPr>
            <w:r>
              <w:rPr>
                <w:rFonts w:hint="eastAsia" w:cs="Times New Roman"/>
                <w:color w:val="0000FF"/>
                <w:kern w:val="2"/>
                <w:sz w:val="24"/>
                <w:szCs w:val="24"/>
                <w:lang w:val="en-US" w:eastAsia="zh-CN" w:bidi="ar-SA"/>
              </w:rPr>
              <w:t>收集转运体系</w:t>
            </w:r>
          </w:p>
        </w:tc>
        <w:tc>
          <w:tcPr>
            <w:tcW w:w="2940" w:type="dxa"/>
            <w:noWrap w:val="0"/>
            <w:vAlign w:val="center"/>
          </w:tcPr>
          <w:p>
            <w:pPr>
              <w:widowControl/>
              <w:spacing w:line="240" w:lineRule="auto"/>
              <w:ind w:left="0" w:leftChars="0" w:firstLine="0" w:firstLineChars="0"/>
              <w:jc w:val="center"/>
              <w:textAlignment w:val="center"/>
              <w:rPr>
                <w:rFonts w:hint="default" w:ascii="Times New Roman" w:hAnsi="Times New Roman" w:eastAsia="仿宋" w:cs="Times New Roman"/>
                <w:color w:val="0000FF"/>
                <w:kern w:val="2"/>
                <w:sz w:val="24"/>
                <w:szCs w:val="24"/>
                <w:lang w:val="en-US" w:eastAsia="zh-CN" w:bidi="ar-SA"/>
              </w:rPr>
            </w:pPr>
            <w:r>
              <w:rPr>
                <w:rFonts w:hint="eastAsia" w:cs="Times New Roman"/>
                <w:color w:val="0000FF"/>
                <w:sz w:val="24"/>
                <w:szCs w:val="24"/>
                <w:lang w:val="en-US" w:eastAsia="zh-CN"/>
              </w:rPr>
              <w:t>强化完善</w:t>
            </w:r>
            <w:r>
              <w:rPr>
                <w:rFonts w:hint="eastAsia" w:ascii="Times New Roman" w:hAnsi="Times New Roman" w:cs="Times New Roman"/>
                <w:color w:val="0000FF"/>
                <w:sz w:val="24"/>
                <w:szCs w:val="24"/>
                <w:lang w:val="en-US" w:eastAsia="zh-CN"/>
              </w:rPr>
              <w:t>粪污付费机制、粪污拉运输送设施、收集转运体系</w:t>
            </w:r>
            <w:r>
              <w:rPr>
                <w:rFonts w:hint="eastAsia" w:cs="Times New Roman"/>
                <w:color w:val="0000FF"/>
                <w:sz w:val="24"/>
                <w:szCs w:val="24"/>
                <w:lang w:val="en-US" w:eastAsia="zh-CN"/>
              </w:rPr>
              <w:t>的建立</w:t>
            </w:r>
          </w:p>
        </w:tc>
        <w:tc>
          <w:tcPr>
            <w:tcW w:w="961" w:type="dxa"/>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仿宋" w:cs="Times New Roman"/>
                <w:b w:val="0"/>
                <w:bCs w:val="0"/>
                <w:color w:val="0000FF"/>
                <w:sz w:val="24"/>
                <w:szCs w:val="24"/>
                <w:lang w:val="en-US" w:eastAsia="zh-CN"/>
              </w:rPr>
            </w:pPr>
            <w:r>
              <w:rPr>
                <w:rFonts w:hint="eastAsia" w:cs="Times New Roman"/>
                <w:b w:val="0"/>
                <w:bCs w:val="0"/>
                <w:color w:val="0000FF"/>
                <w:sz w:val="24"/>
                <w:szCs w:val="24"/>
                <w:lang w:val="en-US" w:eastAsia="zh-CN"/>
              </w:rPr>
              <w:t>20</w:t>
            </w:r>
          </w:p>
        </w:tc>
        <w:tc>
          <w:tcPr>
            <w:tcW w:w="755"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c>
          <w:tcPr>
            <w:tcW w:w="748" w:type="pct"/>
            <w:vMerge w:val="continue"/>
            <w:noWrap w:val="0"/>
            <w:vAlign w:val="center"/>
          </w:tcPr>
          <w:p>
            <w:pPr>
              <w:pageBreakBefore w:val="0"/>
              <w:widowControl w:val="0"/>
              <w:kinsoku/>
              <w:wordWrap/>
              <w:overflowPunct/>
              <w:topLinePunct/>
              <w:autoSpaceDE/>
              <w:autoSpaceDN/>
              <w:bidi w:val="0"/>
              <w:adjustRightInd w:val="0"/>
              <w:snapToGrid w:val="0"/>
              <w:spacing w:line="240" w:lineRule="auto"/>
              <w:ind w:left="0" w:leftChars="0" w:firstLine="0" w:firstLineChars="0"/>
              <w:jc w:val="center"/>
              <w:textAlignment w:val="auto"/>
              <w:rPr>
                <w:rFonts w:hint="eastAsia" w:ascii="Times New Roman" w:hAnsi="Times New Roman" w:cs="Times New Roman"/>
                <w:b w:val="0"/>
                <w:bCs w:val="0"/>
                <w:color w:val="auto"/>
                <w:sz w:val="24"/>
                <w:szCs w:val="24"/>
              </w:rPr>
            </w:pPr>
          </w:p>
        </w:tc>
      </w:tr>
    </w:tbl>
    <w:p>
      <w:pPr>
        <w:ind w:left="0" w:leftChars="0" w:firstLine="0" w:firstLineChars="0"/>
        <w:jc w:val="center"/>
        <w:rPr>
          <w:rFonts w:hint="default"/>
          <w:color w:val="auto"/>
        </w:rPr>
      </w:pPr>
      <w:r>
        <w:rPr>
          <w:rFonts w:hint="default"/>
          <w:color w:val="auto"/>
        </w:rPr>
        <w:br w:type="page"/>
      </w:r>
    </w:p>
    <w:p>
      <w:pPr>
        <w:pStyle w:val="4"/>
        <w:bidi w:val="0"/>
        <w:rPr>
          <w:rFonts w:hint="eastAsia"/>
          <w:color w:val="auto"/>
        </w:rPr>
      </w:pPr>
      <w:bookmarkStart w:id="80" w:name="_Toc15249"/>
      <w:bookmarkStart w:id="81" w:name="_Toc24843"/>
      <w:r>
        <w:rPr>
          <w:rFonts w:hint="eastAsia"/>
          <w:color w:val="auto"/>
        </w:rPr>
        <w:t>6</w:t>
      </w:r>
      <w:r>
        <w:rPr>
          <w:rFonts w:hint="eastAsia"/>
          <w:color w:val="auto"/>
          <w:lang w:val="en-US" w:eastAsia="zh-CN"/>
        </w:rPr>
        <w:t xml:space="preserve"> </w:t>
      </w:r>
      <w:r>
        <w:rPr>
          <w:rFonts w:hint="eastAsia"/>
          <w:color w:val="auto"/>
        </w:rPr>
        <w:t>工程投资估算与资金筹措</w:t>
      </w:r>
      <w:bookmarkEnd w:id="80"/>
      <w:bookmarkEnd w:id="81"/>
    </w:p>
    <w:p>
      <w:pPr>
        <w:pStyle w:val="5"/>
        <w:bidi w:val="0"/>
        <w:rPr>
          <w:rFonts w:hint="eastAsia"/>
          <w:color w:val="auto"/>
        </w:rPr>
      </w:pPr>
      <w:bookmarkStart w:id="82" w:name="_Toc18133"/>
      <w:bookmarkStart w:id="83" w:name="_Toc5356"/>
      <w:r>
        <w:rPr>
          <w:rFonts w:hint="eastAsia"/>
          <w:color w:val="auto"/>
        </w:rPr>
        <w:t>6.1投资估算</w:t>
      </w:r>
      <w:bookmarkEnd w:id="82"/>
      <w:bookmarkEnd w:id="83"/>
    </w:p>
    <w:p>
      <w:pPr>
        <w:bidi w:val="0"/>
        <w:rPr>
          <w:rFonts w:hint="default" w:eastAsia="仿宋"/>
          <w:color w:val="auto"/>
          <w:lang w:val="en-US" w:eastAsia="zh-CN"/>
        </w:rPr>
      </w:pPr>
      <w:r>
        <w:rPr>
          <w:rFonts w:hint="eastAsia"/>
          <w:color w:val="auto"/>
          <w:lang w:val="en-US" w:eastAsia="zh-CN"/>
        </w:rPr>
        <w:t>三</w:t>
      </w:r>
      <w:r>
        <w:rPr>
          <w:rFonts w:hint="eastAsia"/>
          <w:color w:val="auto"/>
        </w:rPr>
        <w:t>大类工程五年投资合计</w:t>
      </w:r>
      <w:r>
        <w:rPr>
          <w:rFonts w:hint="eastAsia"/>
          <w:color w:val="auto"/>
          <w:lang w:val="en-US" w:eastAsia="zh-CN"/>
        </w:rPr>
        <w:t>2808</w:t>
      </w:r>
      <w:r>
        <w:rPr>
          <w:rFonts w:hint="eastAsia"/>
          <w:color w:val="auto"/>
          <w:highlight w:val="none"/>
          <w:lang w:val="en-US" w:eastAsia="zh-CN"/>
        </w:rPr>
        <w:t>万</w:t>
      </w:r>
      <w:r>
        <w:rPr>
          <w:rFonts w:hint="eastAsia"/>
          <w:color w:val="auto"/>
          <w:highlight w:val="none"/>
        </w:rPr>
        <w:t>元。</w:t>
      </w:r>
    </w:p>
    <w:p>
      <w:pPr>
        <w:bidi w:val="0"/>
        <w:ind w:left="0" w:leftChars="0" w:firstLine="0" w:firstLineChars="0"/>
        <w:jc w:val="center"/>
        <w:rPr>
          <w:rFonts w:hint="eastAsia"/>
          <w:b/>
          <w:bCs/>
          <w:color w:val="auto"/>
        </w:rPr>
      </w:pPr>
      <w:r>
        <w:rPr>
          <w:rFonts w:hint="eastAsia"/>
          <w:b/>
          <w:bCs/>
          <w:color w:val="auto"/>
        </w:rPr>
        <w:t>表6</w:t>
      </w:r>
      <w:r>
        <w:rPr>
          <w:rFonts w:hint="eastAsia"/>
          <w:b/>
          <w:bCs/>
          <w:color w:val="auto"/>
          <w:lang w:val="en-US" w:eastAsia="zh-CN"/>
        </w:rPr>
        <w:t>-</w:t>
      </w:r>
      <w:r>
        <w:rPr>
          <w:rFonts w:hint="eastAsia"/>
          <w:b/>
          <w:bCs/>
          <w:color w:val="auto"/>
        </w:rPr>
        <w:t>1-1</w:t>
      </w:r>
      <w:r>
        <w:rPr>
          <w:rFonts w:hint="eastAsia"/>
          <w:b/>
          <w:bCs/>
          <w:color w:val="auto"/>
          <w:lang w:val="en-US" w:eastAsia="zh-CN"/>
        </w:rPr>
        <w:t xml:space="preserve">  </w:t>
      </w:r>
      <w:r>
        <w:rPr>
          <w:rFonts w:hint="eastAsia"/>
          <w:b/>
          <w:bCs/>
          <w:color w:val="auto"/>
        </w:rPr>
        <w:t>重点工程投资估算表</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9"/>
        <w:gridCol w:w="5039"/>
        <w:gridCol w:w="23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bCs/>
                <w:color w:val="auto"/>
                <w:sz w:val="24"/>
                <w:szCs w:val="24"/>
              </w:rPr>
            </w:pPr>
            <w:r>
              <w:rPr>
                <w:rFonts w:hint="eastAsia" w:ascii="Times New Roman" w:hAnsi="Times New Roman" w:cs="Times New Roman"/>
                <w:b/>
                <w:bCs/>
                <w:color w:val="auto"/>
                <w:sz w:val="24"/>
                <w:szCs w:val="24"/>
              </w:rPr>
              <w:t>序号</w:t>
            </w:r>
          </w:p>
        </w:tc>
        <w:tc>
          <w:tcPr>
            <w:tcW w:w="2957"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bCs/>
                <w:color w:val="auto"/>
                <w:sz w:val="24"/>
                <w:szCs w:val="24"/>
              </w:rPr>
            </w:pPr>
            <w:r>
              <w:rPr>
                <w:rFonts w:hint="eastAsia" w:ascii="Times New Roman" w:hAnsi="Times New Roman" w:cs="Times New Roman"/>
                <w:b/>
                <w:bCs/>
                <w:color w:val="auto"/>
                <w:sz w:val="24"/>
                <w:szCs w:val="24"/>
              </w:rPr>
              <w:t>项目名称</w:t>
            </w:r>
          </w:p>
        </w:tc>
        <w:tc>
          <w:tcPr>
            <w:tcW w:w="135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bCs/>
                <w:color w:val="auto"/>
                <w:sz w:val="24"/>
                <w:szCs w:val="24"/>
              </w:rPr>
            </w:pPr>
            <w:r>
              <w:rPr>
                <w:rFonts w:hint="eastAsia" w:ascii="Times New Roman" w:hAnsi="Times New Roman" w:cs="Times New Roman"/>
                <w:b/>
                <w:bCs/>
                <w:color w:val="auto"/>
                <w:sz w:val="24"/>
                <w:szCs w:val="24"/>
              </w:rPr>
              <w:t>投资额（万元）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lang w:val="en-US" w:eastAsia="zh-CN"/>
              </w:rPr>
              <w:t>1</w:t>
            </w:r>
          </w:p>
        </w:tc>
        <w:tc>
          <w:tcPr>
            <w:tcW w:w="2957"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default" w:ascii="Times New Roman" w:hAnsi="Times New Roman" w:cs="Times New Roman"/>
                <w:b w:val="0"/>
                <w:bCs w:val="0"/>
                <w:color w:val="auto"/>
                <w:sz w:val="24"/>
                <w:szCs w:val="24"/>
              </w:rPr>
              <w:t>畜禽粪污处理利用设施提升工程</w:t>
            </w:r>
          </w:p>
        </w:tc>
        <w:tc>
          <w:tcPr>
            <w:tcW w:w="135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cs="Times New Roman"/>
                <w:b w:val="0"/>
                <w:bCs w:val="0"/>
                <w:color w:val="auto"/>
                <w:sz w:val="24"/>
                <w:szCs w:val="24"/>
                <w:lang w:val="en-US" w:eastAsia="zh-CN"/>
              </w:rPr>
              <w:t>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lang w:val="en-US" w:eastAsia="zh-CN"/>
              </w:rPr>
              <w:t>2</w:t>
            </w:r>
          </w:p>
        </w:tc>
        <w:tc>
          <w:tcPr>
            <w:tcW w:w="2957"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rPr>
              <w:t>畜禽粪污转运及集中处理中心建设工程</w:t>
            </w:r>
          </w:p>
        </w:tc>
        <w:tc>
          <w:tcPr>
            <w:tcW w:w="135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cs="Times New Roman"/>
                <w:b w:val="0"/>
                <w:bCs w:val="0"/>
                <w:color w:val="auto"/>
                <w:sz w:val="24"/>
                <w:szCs w:val="24"/>
                <w:lang w:val="en-US" w:eastAsia="zh-CN"/>
              </w:rPr>
              <w:t>2550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lang w:val="en-US" w:eastAsia="zh-CN"/>
              </w:rPr>
              <w:t>3</w:t>
            </w:r>
          </w:p>
        </w:tc>
        <w:tc>
          <w:tcPr>
            <w:tcW w:w="2957"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eastAsia="仿宋" w:cs="Times New Roman"/>
                <w:b w:val="0"/>
                <w:bCs w:val="0"/>
                <w:color w:val="auto"/>
                <w:kern w:val="2"/>
                <w:sz w:val="24"/>
                <w:szCs w:val="24"/>
                <w:lang w:val="en-US" w:eastAsia="zh-CN" w:bidi="ar-SA"/>
              </w:rPr>
            </w:pPr>
            <w:r>
              <w:rPr>
                <w:rFonts w:hint="default" w:ascii="Times New Roman" w:hAnsi="Times New Roman" w:cs="Times New Roman"/>
                <w:b w:val="0"/>
                <w:bCs w:val="0"/>
                <w:color w:val="auto"/>
                <w:sz w:val="24"/>
                <w:szCs w:val="24"/>
              </w:rPr>
              <w:t>监管体系建设</w:t>
            </w:r>
            <w:r>
              <w:rPr>
                <w:rFonts w:hint="eastAsia" w:ascii="Times New Roman" w:hAnsi="Times New Roman" w:cs="Times New Roman"/>
                <w:b w:val="0"/>
                <w:bCs w:val="0"/>
                <w:color w:val="auto"/>
                <w:sz w:val="24"/>
                <w:szCs w:val="24"/>
              </w:rPr>
              <w:t>工程</w:t>
            </w:r>
          </w:p>
        </w:tc>
        <w:tc>
          <w:tcPr>
            <w:tcW w:w="135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eastAsia="仿宋" w:cs="Times New Roman"/>
                <w:b w:val="0"/>
                <w:bCs w:val="0"/>
                <w:color w:val="auto"/>
                <w:kern w:val="2"/>
                <w:sz w:val="24"/>
                <w:szCs w:val="24"/>
                <w:lang w:val="en-US" w:eastAsia="zh-CN" w:bidi="ar-SA"/>
              </w:rPr>
            </w:pPr>
            <w:r>
              <w:rPr>
                <w:rFonts w:hint="eastAsia" w:cs="Times New Roman"/>
                <w:b w:val="0"/>
                <w:bCs w:val="0"/>
                <w:color w:val="auto"/>
                <w:sz w:val="24"/>
                <w:szCs w:val="24"/>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43" w:type="pct"/>
            <w:gridSpan w:val="2"/>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eastAsia" w:ascii="Times New Roman" w:hAnsi="Times New Roman" w:cs="Times New Roman"/>
                <w:b w:val="0"/>
                <w:bCs w:val="0"/>
                <w:color w:val="auto"/>
                <w:sz w:val="24"/>
                <w:szCs w:val="24"/>
                <w:lang w:val="en-US" w:eastAsia="zh-CN"/>
              </w:rPr>
            </w:pPr>
            <w:r>
              <w:rPr>
                <w:rFonts w:hint="eastAsia" w:ascii="Times New Roman" w:hAnsi="Times New Roman" w:cs="Times New Roman"/>
                <w:b w:val="0"/>
                <w:bCs w:val="0"/>
                <w:color w:val="auto"/>
                <w:sz w:val="24"/>
                <w:szCs w:val="24"/>
                <w:lang w:val="en-US" w:eastAsia="zh-CN"/>
              </w:rPr>
              <w:t>合计</w:t>
            </w:r>
          </w:p>
        </w:tc>
        <w:tc>
          <w:tcPr>
            <w:tcW w:w="1356" w:type="pct"/>
            <w:noWrap w:val="0"/>
            <w:vAlign w:val="center"/>
          </w:tcPr>
          <w:p>
            <w:pPr>
              <w:pageBreakBefore w:val="0"/>
              <w:widowControl w:val="0"/>
              <w:kinsoku/>
              <w:wordWrap/>
              <w:overflowPunct/>
              <w:topLinePunct/>
              <w:autoSpaceDE/>
              <w:autoSpaceDN/>
              <w:bidi w:val="0"/>
              <w:adjustRightInd w:val="0"/>
              <w:snapToGrid w:val="0"/>
              <w:spacing w:line="520" w:lineRule="exact"/>
              <w:ind w:left="0" w:leftChars="0" w:firstLine="0" w:firstLineChars="0"/>
              <w:jc w:val="center"/>
              <w:textAlignment w:val="auto"/>
              <w:rPr>
                <w:rFonts w:hint="default" w:ascii="Times New Roman" w:hAnsi="Times New Roman" w:cs="Times New Roman"/>
                <w:b w:val="0"/>
                <w:bCs w:val="0"/>
                <w:color w:val="auto"/>
                <w:sz w:val="24"/>
                <w:szCs w:val="24"/>
                <w:lang w:val="en-US" w:eastAsia="zh-CN"/>
              </w:rPr>
            </w:pPr>
            <w:r>
              <w:rPr>
                <w:rFonts w:hint="eastAsia" w:cs="Times New Roman"/>
                <w:b w:val="0"/>
                <w:bCs w:val="0"/>
                <w:color w:val="auto"/>
                <w:sz w:val="24"/>
                <w:szCs w:val="24"/>
                <w:lang w:val="en-US" w:eastAsia="zh-CN"/>
              </w:rPr>
              <w:t>2808</w:t>
            </w:r>
          </w:p>
        </w:tc>
      </w:tr>
    </w:tbl>
    <w:p>
      <w:pPr>
        <w:pStyle w:val="5"/>
        <w:bidi w:val="0"/>
        <w:rPr>
          <w:rFonts w:hint="eastAsia"/>
          <w:color w:val="auto"/>
        </w:rPr>
      </w:pPr>
      <w:bookmarkStart w:id="84" w:name="_Toc20756"/>
      <w:bookmarkStart w:id="85" w:name="_Toc20556"/>
      <w:r>
        <w:rPr>
          <w:rFonts w:hint="eastAsia"/>
          <w:color w:val="auto"/>
        </w:rPr>
        <w:t>6.2资金筹措</w:t>
      </w:r>
      <w:bookmarkEnd w:id="84"/>
      <w:bookmarkEnd w:id="85"/>
    </w:p>
    <w:p>
      <w:pPr>
        <w:rPr>
          <w:rFonts w:hint="eastAsia"/>
          <w:color w:val="auto"/>
        </w:rPr>
      </w:pPr>
      <w:r>
        <w:rPr>
          <w:rFonts w:hint="default"/>
          <w:color w:val="auto"/>
          <w:lang w:eastAsia="zh-CN"/>
        </w:rPr>
        <w:t>加强相关部门沟通协调，逐步形成发展种养结合循环农业的强大合力，整合各类相关建设资金，发挥资金聚集效应。通过政府投入、单位自筹、社会支持等多渠道筹资。</w:t>
      </w:r>
      <w:r>
        <w:rPr>
          <w:rFonts w:hint="eastAsia"/>
          <w:color w:val="auto"/>
        </w:rPr>
        <w:br w:type="page"/>
      </w:r>
    </w:p>
    <w:p>
      <w:pPr>
        <w:pStyle w:val="4"/>
        <w:bidi w:val="0"/>
        <w:rPr>
          <w:rFonts w:hint="eastAsia"/>
          <w:color w:val="auto"/>
          <w:highlight w:val="none"/>
        </w:rPr>
      </w:pPr>
      <w:bookmarkStart w:id="86" w:name="_Toc19429"/>
      <w:bookmarkStart w:id="87" w:name="_Toc25234"/>
      <w:r>
        <w:rPr>
          <w:rFonts w:hint="eastAsia"/>
          <w:color w:val="auto"/>
          <w:highlight w:val="none"/>
        </w:rPr>
        <w:t>7</w:t>
      </w:r>
      <w:r>
        <w:rPr>
          <w:rFonts w:hint="eastAsia"/>
          <w:color w:val="auto"/>
          <w:highlight w:val="none"/>
          <w:lang w:val="en-US" w:eastAsia="zh-CN"/>
        </w:rPr>
        <w:t xml:space="preserve"> </w:t>
      </w:r>
      <w:r>
        <w:rPr>
          <w:rFonts w:hint="eastAsia"/>
          <w:color w:val="auto"/>
          <w:highlight w:val="none"/>
        </w:rPr>
        <w:t>效益分析</w:t>
      </w:r>
      <w:bookmarkEnd w:id="86"/>
      <w:bookmarkEnd w:id="87"/>
    </w:p>
    <w:p>
      <w:pPr>
        <w:pStyle w:val="5"/>
        <w:bidi w:val="0"/>
        <w:rPr>
          <w:rFonts w:hint="eastAsia"/>
          <w:color w:val="auto"/>
        </w:rPr>
      </w:pPr>
      <w:bookmarkStart w:id="88" w:name="_Toc16960"/>
      <w:bookmarkStart w:id="89" w:name="_Toc30139"/>
      <w:r>
        <w:rPr>
          <w:rFonts w:hint="eastAsia"/>
          <w:color w:val="auto"/>
        </w:rPr>
        <w:t>7.1经济效益</w:t>
      </w:r>
      <w:bookmarkEnd w:id="88"/>
      <w:bookmarkEnd w:id="89"/>
    </w:p>
    <w:p>
      <w:pPr>
        <w:bidi w:val="0"/>
        <w:rPr>
          <w:rFonts w:hint="eastAsia"/>
          <w:color w:val="auto"/>
        </w:rPr>
      </w:pPr>
      <w:r>
        <w:rPr>
          <w:rFonts w:hint="eastAsia"/>
          <w:color w:val="auto"/>
        </w:rPr>
        <w:t>规划实施后，能够有效推进</w:t>
      </w:r>
      <w:r>
        <w:rPr>
          <w:rFonts w:hint="eastAsia"/>
          <w:color w:val="auto"/>
          <w:lang w:eastAsia="zh-CN"/>
        </w:rPr>
        <w:t>禹州市</w:t>
      </w:r>
      <w:r>
        <w:rPr>
          <w:rFonts w:hint="eastAsia"/>
          <w:color w:val="auto"/>
        </w:rPr>
        <w:t>畜禽养殖行业规范化、精细化发展，带动企业引进先进技术，舍弃落后养殖方式，能够有效促进</w:t>
      </w:r>
      <w:r>
        <w:rPr>
          <w:rFonts w:hint="eastAsia"/>
          <w:color w:val="auto"/>
          <w:lang w:eastAsia="zh-CN"/>
        </w:rPr>
        <w:t>禹州市</w:t>
      </w:r>
      <w:r>
        <w:rPr>
          <w:rFonts w:hint="eastAsia"/>
          <w:color w:val="auto"/>
        </w:rPr>
        <w:t>畜禽养殖产业优质发展、企业增收和农民富裕。同时，在落实严格环境准入、强化污染源头管控、加强技术引导示范、推行清洁养殖方式等措施的同时，也将促进畜禽养殖业的结构调整和布局优化，特别是种养循环、农牧结合、畜禽粪污转变为商品有机肥等模式与技术的推广，促进有机肥产量及施用量增加</w:t>
      </w:r>
      <w:r>
        <w:rPr>
          <w:rFonts w:hint="eastAsia"/>
          <w:color w:val="auto"/>
          <w:lang w:eastAsia="zh-CN"/>
        </w:rPr>
        <w:t>，</w:t>
      </w:r>
      <w:r>
        <w:rPr>
          <w:rFonts w:hint="eastAsia"/>
          <w:color w:val="auto"/>
        </w:rPr>
        <w:t>增强可持续发展能力。有机肥生产、沼气能源工程建设，将促进养殖废弃物综合利用和产业链有效延伸，提高农产品品质和价值，提升产业综合效益，拓宽创收渠道，增加地方财政收入</w:t>
      </w:r>
      <w:r>
        <w:rPr>
          <w:rFonts w:hint="eastAsia"/>
          <w:color w:val="auto"/>
          <w:lang w:eastAsia="zh-CN"/>
        </w:rPr>
        <w:t>，</w:t>
      </w:r>
      <w:r>
        <w:rPr>
          <w:rFonts w:hint="eastAsia"/>
          <w:color w:val="auto"/>
        </w:rPr>
        <w:t>提高经济效益。</w:t>
      </w:r>
    </w:p>
    <w:p>
      <w:pPr>
        <w:pStyle w:val="5"/>
        <w:bidi w:val="0"/>
        <w:rPr>
          <w:rFonts w:hint="eastAsia"/>
          <w:color w:val="auto"/>
        </w:rPr>
      </w:pPr>
      <w:bookmarkStart w:id="90" w:name="_Toc13454"/>
      <w:bookmarkStart w:id="91" w:name="_Toc29862"/>
      <w:r>
        <w:rPr>
          <w:rFonts w:hint="eastAsia"/>
          <w:color w:val="auto"/>
        </w:rPr>
        <w:t>7.2社会效益</w:t>
      </w:r>
      <w:bookmarkEnd w:id="90"/>
      <w:bookmarkEnd w:id="91"/>
    </w:p>
    <w:p>
      <w:pPr>
        <w:bidi w:val="0"/>
        <w:rPr>
          <w:rFonts w:hint="eastAsia"/>
          <w:color w:val="auto"/>
        </w:rPr>
      </w:pPr>
      <w:r>
        <w:rPr>
          <w:rFonts w:hint="eastAsia"/>
          <w:color w:val="auto"/>
        </w:rPr>
        <w:t>规划实施推动</w:t>
      </w:r>
      <w:r>
        <w:rPr>
          <w:rFonts w:hint="eastAsia"/>
          <w:color w:val="auto"/>
          <w:lang w:val="en-US" w:eastAsia="zh-CN"/>
        </w:rPr>
        <w:t>畜禽</w:t>
      </w:r>
      <w:r>
        <w:rPr>
          <w:rFonts w:hint="eastAsia"/>
          <w:color w:val="auto"/>
        </w:rPr>
        <w:t>粪污进一步收集和有效的处理处置，提升了地区生态环境污染协调控制能力，减少了各养殖场对周边农户生产、生活的影响，将百姓传统印象中养殖场“脏、臭、差、污染大户”的形象改变成“整洁、有序、卫生、环保、生态”新印象，极大改善各养殖场与周边群众的关系，促进了社会和谐。</w:t>
      </w:r>
    </w:p>
    <w:p>
      <w:pPr>
        <w:bidi w:val="0"/>
        <w:rPr>
          <w:rFonts w:hint="eastAsia"/>
          <w:color w:val="auto"/>
        </w:rPr>
      </w:pPr>
      <w:r>
        <w:rPr>
          <w:rFonts w:hint="eastAsia"/>
          <w:color w:val="auto"/>
        </w:rPr>
        <w:t>通过依法划定禁养区、限养区并强化污染防治，对饮用水水源地、重要河流水系等环境敏感区域进行重点整治，将有效提升农村饮用水安全保障水平，农村居民健康得到保障。</w:t>
      </w:r>
    </w:p>
    <w:p>
      <w:pPr>
        <w:bidi w:val="0"/>
        <w:rPr>
          <w:rFonts w:hint="eastAsia"/>
          <w:color w:val="auto"/>
        </w:rPr>
      </w:pPr>
      <w:r>
        <w:rPr>
          <w:rFonts w:hint="eastAsia"/>
          <w:color w:val="auto"/>
        </w:rPr>
        <w:t>通过推进养殖密集区的养殖户入区入园经营或污染物（沼液）第三方运输，发挥废弃物统一收集、集中处理，农村地区粪便乱堆、污水乱排的现象有所改观，村容村貌得到改善，人畜混居状况有所缓解，农村人居环境质量得到提高。</w:t>
      </w:r>
    </w:p>
    <w:p>
      <w:pPr>
        <w:bidi w:val="0"/>
        <w:rPr>
          <w:rFonts w:hint="eastAsia"/>
          <w:color w:val="auto"/>
        </w:rPr>
      </w:pPr>
      <w:r>
        <w:rPr>
          <w:rFonts w:hint="eastAsia"/>
          <w:color w:val="auto"/>
        </w:rPr>
        <w:t>养殖</w:t>
      </w:r>
      <w:r>
        <w:rPr>
          <w:rFonts w:hint="eastAsia"/>
          <w:color w:val="auto"/>
          <w:lang w:val="en-US" w:eastAsia="zh-CN"/>
        </w:rPr>
        <w:t>-</w:t>
      </w:r>
      <w:r>
        <w:rPr>
          <w:rFonts w:hint="eastAsia"/>
          <w:color w:val="auto"/>
        </w:rPr>
        <w:t>沼液沼渣</w:t>
      </w:r>
      <w:r>
        <w:rPr>
          <w:rFonts w:hint="eastAsia"/>
          <w:color w:val="auto"/>
          <w:lang w:val="en-US" w:eastAsia="zh-CN"/>
        </w:rPr>
        <w:t>-</w:t>
      </w:r>
      <w:r>
        <w:rPr>
          <w:rFonts w:hint="eastAsia"/>
          <w:color w:val="auto"/>
        </w:rPr>
        <w:t>有机肥</w:t>
      </w:r>
      <w:r>
        <w:rPr>
          <w:rFonts w:hint="eastAsia"/>
          <w:color w:val="auto"/>
          <w:lang w:val="en-US" w:eastAsia="zh-CN"/>
        </w:rPr>
        <w:t>-</w:t>
      </w:r>
      <w:r>
        <w:rPr>
          <w:rFonts w:hint="eastAsia"/>
          <w:color w:val="auto"/>
        </w:rPr>
        <w:t>农田</w:t>
      </w:r>
      <w:r>
        <w:rPr>
          <w:rFonts w:hint="eastAsia"/>
          <w:color w:val="auto"/>
          <w:lang w:val="en-US" w:eastAsia="zh-CN"/>
        </w:rPr>
        <w:t>-</w:t>
      </w:r>
      <w:r>
        <w:rPr>
          <w:rFonts w:hint="eastAsia"/>
          <w:color w:val="auto"/>
        </w:rPr>
        <w:t>秸轩</w:t>
      </w:r>
      <w:r>
        <w:rPr>
          <w:rFonts w:hint="eastAsia"/>
          <w:color w:val="auto"/>
          <w:lang w:val="en-US" w:eastAsia="zh-CN"/>
        </w:rPr>
        <w:t>-</w:t>
      </w:r>
      <w:r>
        <w:rPr>
          <w:rFonts w:hint="eastAsia"/>
          <w:color w:val="auto"/>
        </w:rPr>
        <w:t>养殖等循环利用各领域，可为周边养殖业、种植业等提供种养结合循环农业相关的示范和推动，产业链上各环节将提供大量工作岗位，可吸纳就业，从而带动周边产业的高质量发展，改善农村产业发展质量。</w:t>
      </w:r>
    </w:p>
    <w:p>
      <w:pPr>
        <w:pStyle w:val="5"/>
        <w:bidi w:val="0"/>
        <w:rPr>
          <w:rFonts w:hint="eastAsia"/>
          <w:color w:val="auto"/>
        </w:rPr>
      </w:pPr>
      <w:bookmarkStart w:id="92" w:name="_Toc27224"/>
      <w:bookmarkStart w:id="93" w:name="_Toc24966"/>
      <w:r>
        <w:rPr>
          <w:rFonts w:hint="eastAsia"/>
          <w:color w:val="auto"/>
        </w:rPr>
        <w:t>7.3环境效益</w:t>
      </w:r>
      <w:bookmarkEnd w:id="92"/>
      <w:bookmarkEnd w:id="93"/>
    </w:p>
    <w:p>
      <w:pPr>
        <w:bidi w:val="0"/>
        <w:rPr>
          <w:rFonts w:hint="eastAsia"/>
          <w:color w:val="auto"/>
        </w:rPr>
      </w:pPr>
      <w:r>
        <w:rPr>
          <w:rFonts w:hint="eastAsia"/>
          <w:color w:val="auto"/>
        </w:rPr>
        <w:t>养殖污染物通过治理和综合利用，实现污染物总量减排，推进环境质量改善。通过实施规模化养殖场（户）养殖废弃物综合利用和污染治理设施建设进程，减少污染物排放，消灭粪污直排和场外丢弃，能够有效改善区域水体环境、空气环境。</w:t>
      </w:r>
    </w:p>
    <w:p>
      <w:pPr>
        <w:bidi w:val="0"/>
        <w:rPr>
          <w:rFonts w:hint="eastAsia"/>
          <w:color w:val="auto"/>
        </w:rPr>
      </w:pPr>
      <w:r>
        <w:rPr>
          <w:rFonts w:hint="eastAsia"/>
          <w:color w:val="auto"/>
        </w:rPr>
        <w:t>各类政策补贴和技术示范工程将继续发挥积极的引导、带动和辐射作用，提高养殖企业和养殖户自发治污减排的积极性，促进畜禽养殖业污染减排工作持续深入开展，巩固减排工作成效。</w:t>
      </w:r>
    </w:p>
    <w:p>
      <w:pPr>
        <w:bidi w:val="0"/>
        <w:rPr>
          <w:rFonts w:hint="eastAsia"/>
          <w:color w:val="auto"/>
        </w:rPr>
      </w:pPr>
      <w:r>
        <w:rPr>
          <w:rFonts w:hint="eastAsia"/>
          <w:color w:val="auto"/>
        </w:rPr>
        <w:t>通过统筹安排、合理布局畜禽养殖废弃物综合利用和污染治理项目，能够在全市水污染防治重点流域和区域有效缓解农业面源污染、改善区域环境质量。</w:t>
      </w:r>
    </w:p>
    <w:p>
      <w:pPr>
        <w:rPr>
          <w:rFonts w:hint="eastAsia"/>
          <w:color w:val="auto"/>
        </w:rPr>
      </w:pPr>
      <w:r>
        <w:rPr>
          <w:rFonts w:hint="eastAsia"/>
          <w:color w:val="auto"/>
        </w:rPr>
        <w:br w:type="page"/>
      </w:r>
    </w:p>
    <w:p>
      <w:pPr>
        <w:pStyle w:val="4"/>
        <w:bidi w:val="0"/>
        <w:rPr>
          <w:rFonts w:hint="eastAsia"/>
          <w:color w:val="auto"/>
        </w:rPr>
      </w:pPr>
      <w:bookmarkStart w:id="94" w:name="_Toc760"/>
      <w:bookmarkStart w:id="95" w:name="_Toc7939"/>
      <w:r>
        <w:rPr>
          <w:rFonts w:hint="eastAsia"/>
          <w:color w:val="auto"/>
        </w:rPr>
        <w:t>8</w:t>
      </w:r>
      <w:r>
        <w:rPr>
          <w:rFonts w:hint="eastAsia"/>
          <w:color w:val="auto"/>
          <w:lang w:val="en-US" w:eastAsia="zh-CN"/>
        </w:rPr>
        <w:t xml:space="preserve"> </w:t>
      </w:r>
      <w:r>
        <w:rPr>
          <w:rFonts w:hint="eastAsia"/>
          <w:color w:val="auto"/>
        </w:rPr>
        <w:t>保障措施</w:t>
      </w:r>
      <w:bookmarkEnd w:id="94"/>
      <w:bookmarkEnd w:id="95"/>
    </w:p>
    <w:p>
      <w:pPr>
        <w:pStyle w:val="5"/>
        <w:bidi w:val="0"/>
        <w:rPr>
          <w:rFonts w:hint="default" w:eastAsia="仿宋"/>
          <w:color w:val="auto"/>
          <w:lang w:val="en-US" w:eastAsia="zh-CN"/>
        </w:rPr>
      </w:pPr>
      <w:bookmarkStart w:id="96" w:name="_Toc19051"/>
      <w:bookmarkStart w:id="97" w:name="_Toc14207"/>
      <w:r>
        <w:rPr>
          <w:rFonts w:hint="eastAsia"/>
          <w:color w:val="auto"/>
        </w:rPr>
        <w:t>8.1加强</w:t>
      </w:r>
      <w:r>
        <w:rPr>
          <w:rFonts w:hint="eastAsia"/>
          <w:color w:val="auto"/>
          <w:lang w:val="en-US" w:eastAsia="zh-CN"/>
        </w:rPr>
        <w:t>组织</w:t>
      </w:r>
      <w:r>
        <w:rPr>
          <w:rFonts w:hint="eastAsia"/>
          <w:color w:val="auto"/>
        </w:rPr>
        <w:t>领导</w:t>
      </w:r>
      <w:r>
        <w:rPr>
          <w:rFonts w:hint="eastAsia"/>
          <w:color w:val="auto"/>
          <w:lang w:eastAsia="zh-CN"/>
        </w:rPr>
        <w:t>、</w:t>
      </w:r>
      <w:r>
        <w:rPr>
          <w:rFonts w:hint="eastAsia"/>
          <w:color w:val="auto"/>
          <w:lang w:val="en-US" w:eastAsia="zh-CN"/>
        </w:rPr>
        <w:t>责任分工</w:t>
      </w:r>
      <w:bookmarkEnd w:id="96"/>
      <w:bookmarkEnd w:id="97"/>
    </w:p>
    <w:p>
      <w:pPr>
        <w:bidi w:val="0"/>
        <w:rPr>
          <w:rFonts w:hint="eastAsia"/>
          <w:color w:val="auto"/>
        </w:rPr>
      </w:pPr>
      <w:r>
        <w:rPr>
          <w:rFonts w:hint="eastAsia"/>
          <w:color w:val="auto"/>
          <w:lang w:val="en-US" w:eastAsia="zh-CN"/>
        </w:rPr>
        <w:t>政府加强对畜禽养殖污染防治工作的组织领导，加强污染防治工作协调，建立有效的部门沟通协作机制，按照部门职责分工，分解落实畜禽养殖污染防治任务，实现资源和信息共享。将畜禽养殖污染防治任务完成情况作为政府年度目标责任考核的重要内容，层层明确目标任务，落实防治工作责任，并根据目标任务完成情况采取相应的奖惩措施。禹州市</w:t>
      </w:r>
      <w:r>
        <w:rPr>
          <w:rFonts w:hint="eastAsia"/>
          <w:color w:val="auto"/>
        </w:rPr>
        <w:t>农业农村部门开展指导帮扶，监督指导畜禽养殖场（户）粪污处理设施建设及运行，满足资源化利用要求。</w:t>
      </w:r>
      <w:r>
        <w:rPr>
          <w:rFonts w:hint="eastAsia"/>
          <w:color w:val="auto"/>
          <w:lang w:val="en-US" w:eastAsia="zh-CN"/>
        </w:rPr>
        <w:t>禹州市</w:t>
      </w:r>
      <w:r>
        <w:rPr>
          <w:rFonts w:hint="eastAsia"/>
          <w:color w:val="auto"/>
        </w:rPr>
        <w:t>生态环境部门监督指导畜禽养殖场（户）落实污染防治主体责任，依法查处环境违法行为。按照属地管理原则，镇政府按照职责做好畜禽养殖污染防治工作，制定和完善乡镇所在辖区内的畜禽养殖防治措施。</w:t>
      </w:r>
    </w:p>
    <w:p>
      <w:pPr>
        <w:pStyle w:val="5"/>
        <w:bidi w:val="0"/>
        <w:rPr>
          <w:rFonts w:hint="default"/>
          <w:color w:val="auto"/>
          <w:lang w:val="en-US"/>
        </w:rPr>
      </w:pPr>
      <w:bookmarkStart w:id="98" w:name="_Toc22917"/>
      <w:bookmarkStart w:id="99" w:name="_Toc3053"/>
      <w:r>
        <w:rPr>
          <w:rFonts w:hint="eastAsia"/>
          <w:color w:val="auto"/>
        </w:rPr>
        <w:t>8.</w:t>
      </w:r>
      <w:r>
        <w:rPr>
          <w:rFonts w:hint="eastAsia"/>
          <w:color w:val="auto"/>
          <w:lang w:val="en-US" w:eastAsia="zh-CN"/>
        </w:rPr>
        <w:t>2加大政策支持</w:t>
      </w:r>
      <w:bookmarkEnd w:id="98"/>
      <w:bookmarkEnd w:id="99"/>
    </w:p>
    <w:p>
      <w:pPr>
        <w:bidi w:val="0"/>
        <w:rPr>
          <w:rFonts w:hint="eastAsia"/>
          <w:color w:val="auto"/>
        </w:rPr>
      </w:pPr>
      <w:r>
        <w:rPr>
          <w:rFonts w:hint="eastAsia"/>
          <w:color w:val="auto"/>
        </w:rPr>
        <w:t>逐步加大对畜禽养殖污染防治工作的资金投入，加大对生态畜牧业建设的政策扶持，研究畜禽污染治理贷补贴政策，对有机肥产品生产、经营、沼液收集处理等畜禽养殖废弃物综合利用及无害化处置等活动享受税收优惠政策。优先制定和实施针对畜禽养殖废弃物减量化、沼气发电和有机肥生产使用等废弃物资源化利用、污染治理设施建设和运营等优惠和扶持措施。</w:t>
      </w:r>
    </w:p>
    <w:p>
      <w:pPr>
        <w:pStyle w:val="5"/>
        <w:bidi w:val="0"/>
        <w:rPr>
          <w:rFonts w:hint="eastAsia" w:ascii="Times New Roman" w:hAnsi="Times New Roman" w:eastAsia="仿宋" w:cs="Times New Roman"/>
          <w:color w:val="auto"/>
          <w:highlight w:val="none"/>
          <w:lang w:val="en-US" w:eastAsia="zh-CN"/>
        </w:rPr>
      </w:pPr>
      <w:bookmarkStart w:id="100" w:name="_Toc22038"/>
      <w:bookmarkStart w:id="101" w:name="_Toc23657"/>
      <w:r>
        <w:rPr>
          <w:rFonts w:hint="eastAsia" w:ascii="Times New Roman" w:hAnsi="Times New Roman" w:cs="Times New Roman"/>
          <w:color w:val="auto"/>
          <w:highlight w:val="none"/>
          <w:lang w:val="en-US" w:eastAsia="zh-CN"/>
        </w:rPr>
        <w:t>8.</w:t>
      </w:r>
      <w:r>
        <w:rPr>
          <w:rFonts w:hint="eastAsia" w:cs="Times New Roman"/>
          <w:color w:val="auto"/>
          <w:highlight w:val="none"/>
          <w:lang w:val="en-US" w:eastAsia="zh-CN"/>
        </w:rPr>
        <w:t>3强化</w:t>
      </w:r>
      <w:r>
        <w:rPr>
          <w:rFonts w:hint="eastAsia" w:ascii="Times New Roman" w:hAnsi="Times New Roman" w:cs="Times New Roman"/>
          <w:color w:val="auto"/>
          <w:highlight w:val="none"/>
        </w:rPr>
        <w:t>技术</w:t>
      </w:r>
      <w:r>
        <w:rPr>
          <w:rFonts w:hint="eastAsia" w:cs="Times New Roman"/>
          <w:color w:val="auto"/>
          <w:highlight w:val="none"/>
          <w:lang w:val="en-US" w:eastAsia="zh-CN"/>
        </w:rPr>
        <w:t>指导</w:t>
      </w:r>
      <w:bookmarkEnd w:id="100"/>
      <w:bookmarkEnd w:id="101"/>
    </w:p>
    <w:p>
      <w:pPr>
        <w:bidi w:val="0"/>
        <w:rPr>
          <w:rFonts w:hint="eastAsia"/>
          <w:color w:val="auto"/>
        </w:rPr>
      </w:pPr>
      <w:r>
        <w:rPr>
          <w:rFonts w:hint="eastAsia"/>
          <w:color w:val="auto"/>
        </w:rPr>
        <w:t>围绕生态健康养殖和畜禽粪便综合利用，从环境评价、场舍设计、饲养模式、饲料生产、粪污处理和资源利用等方面加强技术组装，发挥生态环境、农业农村部门技术优势，加强畜禽养殖污染防治专家和技术人员队伍建设，定期组织专家咨询、技术人员培训等活动。鼓励养殖企业与高校、科研院所合作，通过技术研发和生产实践，创新畜禽养殖污染防治的新方法、新途径。</w:t>
      </w:r>
    </w:p>
    <w:p>
      <w:pPr>
        <w:pStyle w:val="5"/>
        <w:bidi w:val="0"/>
        <w:rPr>
          <w:rFonts w:hint="eastAsia"/>
          <w:color w:val="auto"/>
        </w:rPr>
      </w:pPr>
      <w:bookmarkStart w:id="102" w:name="_Toc5161"/>
      <w:bookmarkStart w:id="103" w:name="_Toc19297"/>
      <w:r>
        <w:rPr>
          <w:rFonts w:hint="eastAsia"/>
          <w:color w:val="auto"/>
          <w:lang w:val="en-US" w:eastAsia="zh-CN"/>
        </w:rPr>
        <w:t>8.</w:t>
      </w:r>
      <w:r>
        <w:rPr>
          <w:rFonts w:hint="eastAsia"/>
          <w:color w:val="auto"/>
        </w:rPr>
        <w:t>4健全</w:t>
      </w:r>
      <w:r>
        <w:rPr>
          <w:rFonts w:hint="eastAsia"/>
          <w:color w:val="auto"/>
          <w:lang w:val="en-US" w:eastAsia="zh-CN"/>
        </w:rPr>
        <w:t>监督</w:t>
      </w:r>
      <w:r>
        <w:rPr>
          <w:rFonts w:hint="eastAsia"/>
          <w:color w:val="auto"/>
        </w:rPr>
        <w:t>考核</w:t>
      </w:r>
      <w:bookmarkEnd w:id="102"/>
      <w:bookmarkEnd w:id="103"/>
    </w:p>
    <w:p>
      <w:pPr>
        <w:rPr>
          <w:rFonts w:hint="eastAsia"/>
          <w:color w:val="auto"/>
          <w:sz w:val="28"/>
          <w:szCs w:val="36"/>
        </w:rPr>
      </w:pPr>
      <w:r>
        <w:rPr>
          <w:rFonts w:hint="eastAsia"/>
          <w:color w:val="auto"/>
        </w:rPr>
        <w:t>制定科学、规范、严格的考核体系、督查方案和目标考核办法，加大畜禽养殖污染执法力度，完善多部门联合监管、专项监督和舆论监督等多种监管方式。生态环境部门要切实履行生态环境监管职能，建立完善长效监管机制，坚决防止退养反弹：农业农村局要切实做好技术指导与服务，鼓励有条件的退养企业异地搬迁养殖；国土资源和规划部门要配合制定扶持政策，优先保障异地搬迁的养殖企业用地，切实为退养搬迁企业排忧解难</w:t>
      </w:r>
      <w:r>
        <w:rPr>
          <w:rFonts w:hint="eastAsia"/>
          <w:color w:val="auto"/>
          <w:lang w:eastAsia="zh-CN"/>
        </w:rPr>
        <w:t>。</w:t>
      </w:r>
      <w:r>
        <w:rPr>
          <w:rFonts w:hint="eastAsia"/>
          <w:color w:val="auto"/>
        </w:rPr>
        <w:t>采取联合执法、专项整治与日常监督等多种形式，依法查处畜禽规模养殖场的各种违法行为。</w:t>
      </w:r>
    </w:p>
    <w:p>
      <w:pPr>
        <w:pStyle w:val="5"/>
        <w:bidi w:val="0"/>
        <w:rPr>
          <w:rFonts w:hint="eastAsia"/>
          <w:color w:val="auto"/>
        </w:rPr>
      </w:pPr>
      <w:bookmarkStart w:id="104" w:name="_Toc16097"/>
      <w:bookmarkStart w:id="105" w:name="_Toc27531"/>
      <w:r>
        <w:rPr>
          <w:rFonts w:hint="eastAsia"/>
          <w:color w:val="auto"/>
        </w:rPr>
        <w:t>8.</w:t>
      </w:r>
      <w:r>
        <w:rPr>
          <w:rFonts w:hint="eastAsia"/>
          <w:color w:val="auto"/>
          <w:lang w:val="en-US" w:eastAsia="zh-CN"/>
        </w:rPr>
        <w:t>5强化</w:t>
      </w:r>
      <w:r>
        <w:rPr>
          <w:rFonts w:hint="eastAsia"/>
          <w:color w:val="auto"/>
        </w:rPr>
        <w:t>宣传</w:t>
      </w:r>
      <w:r>
        <w:rPr>
          <w:rFonts w:hint="eastAsia"/>
          <w:color w:val="auto"/>
          <w:lang w:val="en-US" w:eastAsia="zh-CN"/>
        </w:rPr>
        <w:t>培训</w:t>
      </w:r>
      <w:bookmarkEnd w:id="104"/>
      <w:bookmarkEnd w:id="105"/>
    </w:p>
    <w:p>
      <w:pPr>
        <w:bidi w:val="0"/>
        <w:rPr>
          <w:rFonts w:hint="eastAsia"/>
          <w:color w:val="auto"/>
        </w:rPr>
      </w:pPr>
      <w:r>
        <w:rPr>
          <w:rFonts w:hint="eastAsia"/>
          <w:color w:val="auto"/>
        </w:rPr>
        <w:t>积极开展畜禽养殖污染防治工作的宣传教育，营造良好的舆论氛围。通过广播、电视、报刊、网络、微博、微信等不同媒介，开展畜禽养殖污染防治的舆论宣传，切实提高养殖场（户）和广大群众的环保意识。农畜部门或受委托的第三方培训机构应定期组织开展技术交流与人员培训，把畜禽排泄物治理和资源化利用技术作为新型农民科技培训、农村劳动力转移培训和农民素质教育工程的重要内容，纳入相关农业技术或养殖技能培训当中，逐步提高从业人员的污染治理技术水平。充分发挥行业协会、社会舆论的监督作用，及时通报各地禽养殖污染治理工作进展、亮点与问题，对治理不力、严重污染水环境的生产主体进行曝光，赢得舆论宣传工作的主动权。积极鼓励村民自治组织和畜禽养殖协会制定相关规程，规范畜禽养殖行为，进一步提高广大养殖户和人民群众的责任意识和主人翁意识，形成群防群治畜禽养殖污染的良好氛围。</w:t>
      </w:r>
    </w:p>
    <w:sectPr>
      <w:headerReference r:id="rId7" w:type="default"/>
      <w:footerReference r:id="rId8"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ind w:left="0" w:leftChars="0" w:firstLine="0" w:firstLineChars="0"/>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w:t>
                          </w:r>
                          <w:r>
                            <w:rPr>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0"/>
                      <w:ind w:left="0" w:leftChars="0" w:firstLine="0" w:firstLineChars="0"/>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w:t>
                    </w:r>
                    <w:r>
                      <w:rPr>
                        <w:sz w:val="21"/>
                        <w:szCs w:val="21"/>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left="0" w:leftChars="0" w:firstLine="0" w:firstLineChars="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ind w:left="0" w:leftChars="0" w:firstLine="0" w:firstLineChars="0"/>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w:t>
                          </w:r>
                          <w:r>
                            <w:rPr>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pPr>
                      <w:pStyle w:val="10"/>
                      <w:ind w:left="0" w:leftChars="0" w:firstLine="0" w:firstLineChars="0"/>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w:t>
                    </w:r>
                    <w:r>
                      <w:rPr>
                        <w:sz w:val="21"/>
                        <w:szCs w:val="21"/>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D08945"/>
    <w:multiLevelType w:val="singleLevel"/>
    <w:tmpl w:val="A0D08945"/>
    <w:lvl w:ilvl="0" w:tentative="0">
      <w:start w:val="1"/>
      <w:numFmt w:val="decimal"/>
      <w:suff w:val="nothing"/>
      <w:lvlText w:val="（%1）"/>
      <w:lvlJc w:val="left"/>
    </w:lvl>
  </w:abstractNum>
  <w:abstractNum w:abstractNumId="1">
    <w:nsid w:val="C8EE192D"/>
    <w:multiLevelType w:val="singleLevel"/>
    <w:tmpl w:val="C8EE192D"/>
    <w:lvl w:ilvl="0" w:tentative="0">
      <w:start w:val="3"/>
      <w:numFmt w:val="decimal"/>
      <w:suff w:val="nothing"/>
      <w:lvlText w:val="（%1）"/>
      <w:lvlJc w:val="left"/>
    </w:lvl>
  </w:abstractNum>
  <w:abstractNum w:abstractNumId="2">
    <w:nsid w:val="4BE0E4E2"/>
    <w:multiLevelType w:val="singleLevel"/>
    <w:tmpl w:val="4BE0E4E2"/>
    <w:lvl w:ilvl="0" w:tentative="0">
      <w:start w:val="1"/>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QwNTg2Nzk1OGY5MjAwY2NhZjEyYzI0NGJiYTI5M2YifQ=="/>
    <w:docVar w:name="KSO_WPS_MARK_KEY" w:val="e7f0d055-5291-47c0-b2f6-e33ee89f0cba"/>
  </w:docVars>
  <w:rsids>
    <w:rsidRoot w:val="5AAF791F"/>
    <w:rsid w:val="000118A6"/>
    <w:rsid w:val="0002117A"/>
    <w:rsid w:val="00245764"/>
    <w:rsid w:val="00276E33"/>
    <w:rsid w:val="00303F39"/>
    <w:rsid w:val="00360E24"/>
    <w:rsid w:val="004B0D73"/>
    <w:rsid w:val="004E3107"/>
    <w:rsid w:val="00522C87"/>
    <w:rsid w:val="005A7208"/>
    <w:rsid w:val="00724552"/>
    <w:rsid w:val="00761D56"/>
    <w:rsid w:val="007C5EB9"/>
    <w:rsid w:val="00965B4F"/>
    <w:rsid w:val="00A67223"/>
    <w:rsid w:val="00A81D22"/>
    <w:rsid w:val="00A97848"/>
    <w:rsid w:val="00AC78DC"/>
    <w:rsid w:val="00B901D7"/>
    <w:rsid w:val="00D771A3"/>
    <w:rsid w:val="00F44F67"/>
    <w:rsid w:val="01001B5E"/>
    <w:rsid w:val="010271F8"/>
    <w:rsid w:val="010333FC"/>
    <w:rsid w:val="01066A48"/>
    <w:rsid w:val="010675E2"/>
    <w:rsid w:val="01191188"/>
    <w:rsid w:val="011A5DAF"/>
    <w:rsid w:val="01311D17"/>
    <w:rsid w:val="013C246A"/>
    <w:rsid w:val="01422176"/>
    <w:rsid w:val="01583748"/>
    <w:rsid w:val="016F283F"/>
    <w:rsid w:val="01722330"/>
    <w:rsid w:val="01772A9E"/>
    <w:rsid w:val="017810D7"/>
    <w:rsid w:val="0179546C"/>
    <w:rsid w:val="017B3CD7"/>
    <w:rsid w:val="01877B89"/>
    <w:rsid w:val="019404F8"/>
    <w:rsid w:val="01944054"/>
    <w:rsid w:val="01A57A74"/>
    <w:rsid w:val="01AE71E6"/>
    <w:rsid w:val="01B701A0"/>
    <w:rsid w:val="01BC3847"/>
    <w:rsid w:val="01DF5C17"/>
    <w:rsid w:val="01DF79C5"/>
    <w:rsid w:val="01E4322D"/>
    <w:rsid w:val="01FD609D"/>
    <w:rsid w:val="01FD7E4B"/>
    <w:rsid w:val="020411DA"/>
    <w:rsid w:val="020740B8"/>
    <w:rsid w:val="02117D9A"/>
    <w:rsid w:val="022B0E5C"/>
    <w:rsid w:val="022E5763"/>
    <w:rsid w:val="02335B83"/>
    <w:rsid w:val="02387EFD"/>
    <w:rsid w:val="023B2668"/>
    <w:rsid w:val="0241387F"/>
    <w:rsid w:val="024606A1"/>
    <w:rsid w:val="0254342C"/>
    <w:rsid w:val="02572112"/>
    <w:rsid w:val="025F5094"/>
    <w:rsid w:val="027553C9"/>
    <w:rsid w:val="029F53A6"/>
    <w:rsid w:val="02A41FEE"/>
    <w:rsid w:val="02AB3D4B"/>
    <w:rsid w:val="02AF70EC"/>
    <w:rsid w:val="02B80216"/>
    <w:rsid w:val="02BB452B"/>
    <w:rsid w:val="02C1531D"/>
    <w:rsid w:val="02CF679C"/>
    <w:rsid w:val="02D41F53"/>
    <w:rsid w:val="02D60CBC"/>
    <w:rsid w:val="02D844B5"/>
    <w:rsid w:val="02E01C47"/>
    <w:rsid w:val="02E37511"/>
    <w:rsid w:val="02E448BD"/>
    <w:rsid w:val="02E501FA"/>
    <w:rsid w:val="02ED7C69"/>
    <w:rsid w:val="02F254D6"/>
    <w:rsid w:val="02F456F2"/>
    <w:rsid w:val="02F92D08"/>
    <w:rsid w:val="03065425"/>
    <w:rsid w:val="033C2BF5"/>
    <w:rsid w:val="033F6234"/>
    <w:rsid w:val="03415494"/>
    <w:rsid w:val="03486E61"/>
    <w:rsid w:val="035F7DA7"/>
    <w:rsid w:val="037C7496"/>
    <w:rsid w:val="038A7E04"/>
    <w:rsid w:val="03902974"/>
    <w:rsid w:val="03914CEF"/>
    <w:rsid w:val="03950013"/>
    <w:rsid w:val="03AB62CA"/>
    <w:rsid w:val="03B60BF9"/>
    <w:rsid w:val="03B620FA"/>
    <w:rsid w:val="03BB4BA1"/>
    <w:rsid w:val="03C30C20"/>
    <w:rsid w:val="03C9092D"/>
    <w:rsid w:val="03E272F9"/>
    <w:rsid w:val="03E5328D"/>
    <w:rsid w:val="03EC461B"/>
    <w:rsid w:val="03F60FF6"/>
    <w:rsid w:val="040556DD"/>
    <w:rsid w:val="04275653"/>
    <w:rsid w:val="043529C1"/>
    <w:rsid w:val="04387860"/>
    <w:rsid w:val="043A2CB6"/>
    <w:rsid w:val="043B4C5B"/>
    <w:rsid w:val="043D6C25"/>
    <w:rsid w:val="043F0D79"/>
    <w:rsid w:val="04885906"/>
    <w:rsid w:val="04893C18"/>
    <w:rsid w:val="048E56D2"/>
    <w:rsid w:val="04A40A52"/>
    <w:rsid w:val="04AB2F2F"/>
    <w:rsid w:val="04AC0DBF"/>
    <w:rsid w:val="04B52C5F"/>
    <w:rsid w:val="04C133B2"/>
    <w:rsid w:val="04C2712A"/>
    <w:rsid w:val="04CE6514"/>
    <w:rsid w:val="04D07E2C"/>
    <w:rsid w:val="04D23811"/>
    <w:rsid w:val="04D534BD"/>
    <w:rsid w:val="04D8192A"/>
    <w:rsid w:val="04D92DCF"/>
    <w:rsid w:val="04E43544"/>
    <w:rsid w:val="04E946B7"/>
    <w:rsid w:val="05184F9C"/>
    <w:rsid w:val="051931EE"/>
    <w:rsid w:val="0523406D"/>
    <w:rsid w:val="05254959"/>
    <w:rsid w:val="05283431"/>
    <w:rsid w:val="052851DF"/>
    <w:rsid w:val="05322502"/>
    <w:rsid w:val="0534627A"/>
    <w:rsid w:val="053718C6"/>
    <w:rsid w:val="053B2FAF"/>
    <w:rsid w:val="053F54D7"/>
    <w:rsid w:val="05653D0D"/>
    <w:rsid w:val="056C54CF"/>
    <w:rsid w:val="05813128"/>
    <w:rsid w:val="058D14E6"/>
    <w:rsid w:val="05922FA0"/>
    <w:rsid w:val="059565ED"/>
    <w:rsid w:val="059C797B"/>
    <w:rsid w:val="05AD152E"/>
    <w:rsid w:val="05AD6446"/>
    <w:rsid w:val="05BF3371"/>
    <w:rsid w:val="05C02D78"/>
    <w:rsid w:val="05C0366A"/>
    <w:rsid w:val="05E1060A"/>
    <w:rsid w:val="05E67239"/>
    <w:rsid w:val="05F872A7"/>
    <w:rsid w:val="06104EB9"/>
    <w:rsid w:val="0628480D"/>
    <w:rsid w:val="066160DF"/>
    <w:rsid w:val="066B642F"/>
    <w:rsid w:val="066E27D8"/>
    <w:rsid w:val="06732DD2"/>
    <w:rsid w:val="067A22AA"/>
    <w:rsid w:val="06803302"/>
    <w:rsid w:val="0693077C"/>
    <w:rsid w:val="06990F64"/>
    <w:rsid w:val="069C62F3"/>
    <w:rsid w:val="06A116ED"/>
    <w:rsid w:val="06A36C32"/>
    <w:rsid w:val="06A50AB1"/>
    <w:rsid w:val="06B45941"/>
    <w:rsid w:val="06BB32FF"/>
    <w:rsid w:val="06C76C7A"/>
    <w:rsid w:val="06DB44D3"/>
    <w:rsid w:val="06DC71AE"/>
    <w:rsid w:val="06F16D7B"/>
    <w:rsid w:val="06F55595"/>
    <w:rsid w:val="06F63900"/>
    <w:rsid w:val="06FC2DC7"/>
    <w:rsid w:val="07140111"/>
    <w:rsid w:val="07225AA1"/>
    <w:rsid w:val="07302A71"/>
    <w:rsid w:val="07320597"/>
    <w:rsid w:val="07334F11"/>
    <w:rsid w:val="07391925"/>
    <w:rsid w:val="074E4896"/>
    <w:rsid w:val="0753793C"/>
    <w:rsid w:val="07603557"/>
    <w:rsid w:val="076444C8"/>
    <w:rsid w:val="077B0190"/>
    <w:rsid w:val="07822398"/>
    <w:rsid w:val="078369DF"/>
    <w:rsid w:val="079B25E0"/>
    <w:rsid w:val="079E3F53"/>
    <w:rsid w:val="07A84B23"/>
    <w:rsid w:val="07AB20F7"/>
    <w:rsid w:val="07AC3908"/>
    <w:rsid w:val="07C1191B"/>
    <w:rsid w:val="07E0278F"/>
    <w:rsid w:val="07FF1D13"/>
    <w:rsid w:val="08033CE1"/>
    <w:rsid w:val="081A2344"/>
    <w:rsid w:val="081B102B"/>
    <w:rsid w:val="081B54CF"/>
    <w:rsid w:val="0833372A"/>
    <w:rsid w:val="08367CC1"/>
    <w:rsid w:val="08425F6F"/>
    <w:rsid w:val="084837E2"/>
    <w:rsid w:val="084C38DA"/>
    <w:rsid w:val="0854453D"/>
    <w:rsid w:val="0861268D"/>
    <w:rsid w:val="08613354"/>
    <w:rsid w:val="08640C24"/>
    <w:rsid w:val="087726FE"/>
    <w:rsid w:val="087A4A9E"/>
    <w:rsid w:val="087F44A6"/>
    <w:rsid w:val="089A4646"/>
    <w:rsid w:val="08A400E0"/>
    <w:rsid w:val="08A9097C"/>
    <w:rsid w:val="08BE1C22"/>
    <w:rsid w:val="08CE42EF"/>
    <w:rsid w:val="08DD29D1"/>
    <w:rsid w:val="08E104C7"/>
    <w:rsid w:val="08E27D9B"/>
    <w:rsid w:val="08E47BC0"/>
    <w:rsid w:val="08F506ED"/>
    <w:rsid w:val="08FA50E4"/>
    <w:rsid w:val="09016473"/>
    <w:rsid w:val="0902043D"/>
    <w:rsid w:val="092414F1"/>
    <w:rsid w:val="09310CD9"/>
    <w:rsid w:val="093F6F9B"/>
    <w:rsid w:val="094620D8"/>
    <w:rsid w:val="094B32C7"/>
    <w:rsid w:val="095F28AF"/>
    <w:rsid w:val="096A04BC"/>
    <w:rsid w:val="096F2FE3"/>
    <w:rsid w:val="09784B65"/>
    <w:rsid w:val="098837B8"/>
    <w:rsid w:val="098E3A7F"/>
    <w:rsid w:val="09A3713E"/>
    <w:rsid w:val="09A908B8"/>
    <w:rsid w:val="09A95D90"/>
    <w:rsid w:val="09AC7E91"/>
    <w:rsid w:val="09B94F9F"/>
    <w:rsid w:val="09C26272"/>
    <w:rsid w:val="09C33728"/>
    <w:rsid w:val="09C86F91"/>
    <w:rsid w:val="09CD45A7"/>
    <w:rsid w:val="09D40575"/>
    <w:rsid w:val="09DB1E21"/>
    <w:rsid w:val="09E55D95"/>
    <w:rsid w:val="09E85ADD"/>
    <w:rsid w:val="09E87633"/>
    <w:rsid w:val="09EF09C1"/>
    <w:rsid w:val="09F23B4A"/>
    <w:rsid w:val="09F2400E"/>
    <w:rsid w:val="09F506BC"/>
    <w:rsid w:val="09F75AC8"/>
    <w:rsid w:val="0A157CFC"/>
    <w:rsid w:val="0A173A74"/>
    <w:rsid w:val="0A2F0DBE"/>
    <w:rsid w:val="0A4505E1"/>
    <w:rsid w:val="0A517EF1"/>
    <w:rsid w:val="0A526772"/>
    <w:rsid w:val="0A5B3040"/>
    <w:rsid w:val="0A5B6057"/>
    <w:rsid w:val="0A652A31"/>
    <w:rsid w:val="0A707A0F"/>
    <w:rsid w:val="0A7B5821"/>
    <w:rsid w:val="0A835BAD"/>
    <w:rsid w:val="0A913826"/>
    <w:rsid w:val="0A9357F1"/>
    <w:rsid w:val="0A9B46A5"/>
    <w:rsid w:val="0A9F23E7"/>
    <w:rsid w:val="0AA442E9"/>
    <w:rsid w:val="0AA736ED"/>
    <w:rsid w:val="0AAA7FE9"/>
    <w:rsid w:val="0AAC68B2"/>
    <w:rsid w:val="0AB37C41"/>
    <w:rsid w:val="0AB45767"/>
    <w:rsid w:val="0AC61847"/>
    <w:rsid w:val="0ACC2AB1"/>
    <w:rsid w:val="0ACF434F"/>
    <w:rsid w:val="0AD876A7"/>
    <w:rsid w:val="0ADB25DD"/>
    <w:rsid w:val="0ADF6AFF"/>
    <w:rsid w:val="0AE61DC4"/>
    <w:rsid w:val="0AE709F0"/>
    <w:rsid w:val="0AE96DD9"/>
    <w:rsid w:val="0AEA2F37"/>
    <w:rsid w:val="0AF07676"/>
    <w:rsid w:val="0AF10769"/>
    <w:rsid w:val="0AF12517"/>
    <w:rsid w:val="0AF24B15"/>
    <w:rsid w:val="0AF81F83"/>
    <w:rsid w:val="0AF838A6"/>
    <w:rsid w:val="0B04224A"/>
    <w:rsid w:val="0B116715"/>
    <w:rsid w:val="0B147891"/>
    <w:rsid w:val="0B2F3C0A"/>
    <w:rsid w:val="0B403B9C"/>
    <w:rsid w:val="0B422D73"/>
    <w:rsid w:val="0B4B1C27"/>
    <w:rsid w:val="0B4E7969"/>
    <w:rsid w:val="0B54247E"/>
    <w:rsid w:val="0B5C2086"/>
    <w:rsid w:val="0B664CB3"/>
    <w:rsid w:val="0B762CFB"/>
    <w:rsid w:val="0B786794"/>
    <w:rsid w:val="0B792C38"/>
    <w:rsid w:val="0B927856"/>
    <w:rsid w:val="0B9510F4"/>
    <w:rsid w:val="0B973201"/>
    <w:rsid w:val="0BB575AF"/>
    <w:rsid w:val="0BB579E9"/>
    <w:rsid w:val="0BB91287"/>
    <w:rsid w:val="0BCE4DAB"/>
    <w:rsid w:val="0BD065D0"/>
    <w:rsid w:val="0BE61950"/>
    <w:rsid w:val="0BEB51B8"/>
    <w:rsid w:val="0BEB5D6C"/>
    <w:rsid w:val="0BFC1173"/>
    <w:rsid w:val="0BFF2A12"/>
    <w:rsid w:val="0C0A3890"/>
    <w:rsid w:val="0C0D0F9B"/>
    <w:rsid w:val="0C125CFE"/>
    <w:rsid w:val="0C324B95"/>
    <w:rsid w:val="0C39525B"/>
    <w:rsid w:val="0C3B7A2E"/>
    <w:rsid w:val="0C417CEC"/>
    <w:rsid w:val="0C4274CE"/>
    <w:rsid w:val="0C436DA2"/>
    <w:rsid w:val="0C50423D"/>
    <w:rsid w:val="0C564D28"/>
    <w:rsid w:val="0C6636D4"/>
    <w:rsid w:val="0C6A2581"/>
    <w:rsid w:val="0C8C699B"/>
    <w:rsid w:val="0C925FED"/>
    <w:rsid w:val="0C941B0E"/>
    <w:rsid w:val="0CA35A93"/>
    <w:rsid w:val="0CA80A94"/>
    <w:rsid w:val="0CC41AFE"/>
    <w:rsid w:val="0CCD0C4F"/>
    <w:rsid w:val="0CCD5139"/>
    <w:rsid w:val="0CCF6888"/>
    <w:rsid w:val="0CF31B3A"/>
    <w:rsid w:val="0CFB7EC2"/>
    <w:rsid w:val="0D026C5D"/>
    <w:rsid w:val="0D110C4F"/>
    <w:rsid w:val="0D1D3A97"/>
    <w:rsid w:val="0D29243C"/>
    <w:rsid w:val="0D38267F"/>
    <w:rsid w:val="0D4B23B2"/>
    <w:rsid w:val="0D512533"/>
    <w:rsid w:val="0D512D78"/>
    <w:rsid w:val="0D52144C"/>
    <w:rsid w:val="0D5A25F6"/>
    <w:rsid w:val="0D5D20E6"/>
    <w:rsid w:val="0D737713"/>
    <w:rsid w:val="0D75742F"/>
    <w:rsid w:val="0D8476AE"/>
    <w:rsid w:val="0D86163D"/>
    <w:rsid w:val="0D8D49B2"/>
    <w:rsid w:val="0D8E7D31"/>
    <w:rsid w:val="0D975F08"/>
    <w:rsid w:val="0D9B31DA"/>
    <w:rsid w:val="0DAC6F5C"/>
    <w:rsid w:val="0DB77A48"/>
    <w:rsid w:val="0DD47AD4"/>
    <w:rsid w:val="0DDE3227"/>
    <w:rsid w:val="0DE673CA"/>
    <w:rsid w:val="0DE87C01"/>
    <w:rsid w:val="0DEB5944"/>
    <w:rsid w:val="0DF742E8"/>
    <w:rsid w:val="0E016F15"/>
    <w:rsid w:val="0E0D1416"/>
    <w:rsid w:val="0E364E11"/>
    <w:rsid w:val="0E395C63"/>
    <w:rsid w:val="0E491C65"/>
    <w:rsid w:val="0E546048"/>
    <w:rsid w:val="0E576B35"/>
    <w:rsid w:val="0E5D1A30"/>
    <w:rsid w:val="0E6354DA"/>
    <w:rsid w:val="0E680D42"/>
    <w:rsid w:val="0E727FFF"/>
    <w:rsid w:val="0E772D33"/>
    <w:rsid w:val="0E8029E9"/>
    <w:rsid w:val="0E8042DE"/>
    <w:rsid w:val="0E8F62CF"/>
    <w:rsid w:val="0E981627"/>
    <w:rsid w:val="0EB21FBD"/>
    <w:rsid w:val="0EB75826"/>
    <w:rsid w:val="0ED168E7"/>
    <w:rsid w:val="0ED65CAC"/>
    <w:rsid w:val="0EDE1004"/>
    <w:rsid w:val="0EE53289"/>
    <w:rsid w:val="0EEA4B17"/>
    <w:rsid w:val="0EEC3721"/>
    <w:rsid w:val="0EF820C6"/>
    <w:rsid w:val="0F056591"/>
    <w:rsid w:val="0F0F11BE"/>
    <w:rsid w:val="0F24110D"/>
    <w:rsid w:val="0F264E85"/>
    <w:rsid w:val="0F2A5FF8"/>
    <w:rsid w:val="0F2C4152"/>
    <w:rsid w:val="0F3020DD"/>
    <w:rsid w:val="0F3033F5"/>
    <w:rsid w:val="0F3155D8"/>
    <w:rsid w:val="0F350E0F"/>
    <w:rsid w:val="0F421593"/>
    <w:rsid w:val="0F587009"/>
    <w:rsid w:val="0F6167D9"/>
    <w:rsid w:val="0F6459AD"/>
    <w:rsid w:val="0F744724"/>
    <w:rsid w:val="0F753717"/>
    <w:rsid w:val="0F895414"/>
    <w:rsid w:val="0F8D706B"/>
    <w:rsid w:val="0F955FBB"/>
    <w:rsid w:val="0FAE4E7B"/>
    <w:rsid w:val="0FCC7AD9"/>
    <w:rsid w:val="0FD54405"/>
    <w:rsid w:val="0FDF3DCC"/>
    <w:rsid w:val="0FEF1D09"/>
    <w:rsid w:val="0FFF56D6"/>
    <w:rsid w:val="101C4859"/>
    <w:rsid w:val="101E3DAE"/>
    <w:rsid w:val="101F1B29"/>
    <w:rsid w:val="102050D2"/>
    <w:rsid w:val="10262C63"/>
    <w:rsid w:val="10345380"/>
    <w:rsid w:val="103A27D9"/>
    <w:rsid w:val="104A4BA3"/>
    <w:rsid w:val="104F7D77"/>
    <w:rsid w:val="105E2999"/>
    <w:rsid w:val="106F460A"/>
    <w:rsid w:val="107A4C82"/>
    <w:rsid w:val="107C6D27"/>
    <w:rsid w:val="10831E63"/>
    <w:rsid w:val="108B0D18"/>
    <w:rsid w:val="10973B61"/>
    <w:rsid w:val="109776BD"/>
    <w:rsid w:val="109E0A4B"/>
    <w:rsid w:val="10B206E1"/>
    <w:rsid w:val="10B262A5"/>
    <w:rsid w:val="10BC5375"/>
    <w:rsid w:val="10CE6FF0"/>
    <w:rsid w:val="10D03A05"/>
    <w:rsid w:val="10D61A47"/>
    <w:rsid w:val="10D75D0B"/>
    <w:rsid w:val="10DD1863"/>
    <w:rsid w:val="10E56EA0"/>
    <w:rsid w:val="10E81EF1"/>
    <w:rsid w:val="10F039A5"/>
    <w:rsid w:val="10F468BD"/>
    <w:rsid w:val="11027FDA"/>
    <w:rsid w:val="110A7E8F"/>
    <w:rsid w:val="110E5BD1"/>
    <w:rsid w:val="11167C0B"/>
    <w:rsid w:val="11186A50"/>
    <w:rsid w:val="112738A6"/>
    <w:rsid w:val="11292A0B"/>
    <w:rsid w:val="112A16BD"/>
    <w:rsid w:val="11317B11"/>
    <w:rsid w:val="11380EA0"/>
    <w:rsid w:val="11407B4B"/>
    <w:rsid w:val="1142587A"/>
    <w:rsid w:val="11497875"/>
    <w:rsid w:val="114C04A7"/>
    <w:rsid w:val="114F1D45"/>
    <w:rsid w:val="115050FF"/>
    <w:rsid w:val="11543135"/>
    <w:rsid w:val="116C0F25"/>
    <w:rsid w:val="11752801"/>
    <w:rsid w:val="117702AA"/>
    <w:rsid w:val="117F2FF6"/>
    <w:rsid w:val="118A786B"/>
    <w:rsid w:val="119B4F8B"/>
    <w:rsid w:val="11A16A45"/>
    <w:rsid w:val="11A227BD"/>
    <w:rsid w:val="11A42091"/>
    <w:rsid w:val="11AD36AA"/>
    <w:rsid w:val="11C00A93"/>
    <w:rsid w:val="11C62FCF"/>
    <w:rsid w:val="11F0177A"/>
    <w:rsid w:val="11F1104F"/>
    <w:rsid w:val="11F46645"/>
    <w:rsid w:val="120B0362"/>
    <w:rsid w:val="1211524D"/>
    <w:rsid w:val="121511E1"/>
    <w:rsid w:val="12176D07"/>
    <w:rsid w:val="12260CF8"/>
    <w:rsid w:val="12282CC2"/>
    <w:rsid w:val="12453AF7"/>
    <w:rsid w:val="12491158"/>
    <w:rsid w:val="124D4D59"/>
    <w:rsid w:val="125A3098"/>
    <w:rsid w:val="1279351E"/>
    <w:rsid w:val="127A0C11"/>
    <w:rsid w:val="127C300E"/>
    <w:rsid w:val="129738E1"/>
    <w:rsid w:val="129739A4"/>
    <w:rsid w:val="129C720C"/>
    <w:rsid w:val="129F0E57"/>
    <w:rsid w:val="12A367ED"/>
    <w:rsid w:val="12A835BC"/>
    <w:rsid w:val="12BB58E4"/>
    <w:rsid w:val="12BD2B27"/>
    <w:rsid w:val="12C352EB"/>
    <w:rsid w:val="12C50511"/>
    <w:rsid w:val="12C7072D"/>
    <w:rsid w:val="12D91AA1"/>
    <w:rsid w:val="12DB5F87"/>
    <w:rsid w:val="12ED7A68"/>
    <w:rsid w:val="12EE0885"/>
    <w:rsid w:val="12EF7697"/>
    <w:rsid w:val="12F939B5"/>
    <w:rsid w:val="1301603E"/>
    <w:rsid w:val="130A6291"/>
    <w:rsid w:val="13124A23"/>
    <w:rsid w:val="131A16E2"/>
    <w:rsid w:val="131C20FB"/>
    <w:rsid w:val="133B4C77"/>
    <w:rsid w:val="133E6515"/>
    <w:rsid w:val="134A344F"/>
    <w:rsid w:val="134F427F"/>
    <w:rsid w:val="13500E2F"/>
    <w:rsid w:val="1367781A"/>
    <w:rsid w:val="137E2B2B"/>
    <w:rsid w:val="13936861"/>
    <w:rsid w:val="139D45E1"/>
    <w:rsid w:val="13B33EF4"/>
    <w:rsid w:val="13BD0345"/>
    <w:rsid w:val="13CE7899"/>
    <w:rsid w:val="13DB5B12"/>
    <w:rsid w:val="13E72709"/>
    <w:rsid w:val="13EB4EDD"/>
    <w:rsid w:val="13F015BE"/>
    <w:rsid w:val="13F463CE"/>
    <w:rsid w:val="13F471C4"/>
    <w:rsid w:val="14043122"/>
    <w:rsid w:val="14102C81"/>
    <w:rsid w:val="141334FE"/>
    <w:rsid w:val="14180B15"/>
    <w:rsid w:val="141F00F5"/>
    <w:rsid w:val="1421732F"/>
    <w:rsid w:val="1424570B"/>
    <w:rsid w:val="14342A15"/>
    <w:rsid w:val="144B0CDE"/>
    <w:rsid w:val="144C7FF4"/>
    <w:rsid w:val="144F5238"/>
    <w:rsid w:val="146975C2"/>
    <w:rsid w:val="146B333A"/>
    <w:rsid w:val="14761E85"/>
    <w:rsid w:val="147F6DE6"/>
    <w:rsid w:val="14822C3B"/>
    <w:rsid w:val="14847F58"/>
    <w:rsid w:val="14860174"/>
    <w:rsid w:val="14890B61"/>
    <w:rsid w:val="14900FF3"/>
    <w:rsid w:val="14983A03"/>
    <w:rsid w:val="14A34B67"/>
    <w:rsid w:val="14B270BA"/>
    <w:rsid w:val="14BE346A"/>
    <w:rsid w:val="14BF5434"/>
    <w:rsid w:val="14C52A4A"/>
    <w:rsid w:val="14D94748"/>
    <w:rsid w:val="14DD7F3E"/>
    <w:rsid w:val="14F055ED"/>
    <w:rsid w:val="14FB646C"/>
    <w:rsid w:val="14FC30F6"/>
    <w:rsid w:val="15007F26"/>
    <w:rsid w:val="15175270"/>
    <w:rsid w:val="151C49C0"/>
    <w:rsid w:val="151C7714"/>
    <w:rsid w:val="152534E9"/>
    <w:rsid w:val="152C0D1B"/>
    <w:rsid w:val="152C5730"/>
    <w:rsid w:val="152F6116"/>
    <w:rsid w:val="153320AA"/>
    <w:rsid w:val="153B2D0D"/>
    <w:rsid w:val="154C1146"/>
    <w:rsid w:val="154C6CC8"/>
    <w:rsid w:val="154F308C"/>
    <w:rsid w:val="1557566D"/>
    <w:rsid w:val="15595889"/>
    <w:rsid w:val="155E35CA"/>
    <w:rsid w:val="15735DD9"/>
    <w:rsid w:val="15763D45"/>
    <w:rsid w:val="15780696"/>
    <w:rsid w:val="158346B4"/>
    <w:rsid w:val="15883E10"/>
    <w:rsid w:val="158A5A42"/>
    <w:rsid w:val="1598015F"/>
    <w:rsid w:val="15981F0D"/>
    <w:rsid w:val="159F01D9"/>
    <w:rsid w:val="15A5233F"/>
    <w:rsid w:val="15AA42CF"/>
    <w:rsid w:val="15AE7982"/>
    <w:rsid w:val="15B12FCF"/>
    <w:rsid w:val="15B70EF8"/>
    <w:rsid w:val="15EB4733"/>
    <w:rsid w:val="15EE7D7F"/>
    <w:rsid w:val="1606331B"/>
    <w:rsid w:val="160A26DF"/>
    <w:rsid w:val="16113A6D"/>
    <w:rsid w:val="161517B0"/>
    <w:rsid w:val="1618304E"/>
    <w:rsid w:val="161D68B6"/>
    <w:rsid w:val="16287735"/>
    <w:rsid w:val="162C5FD5"/>
    <w:rsid w:val="163210FA"/>
    <w:rsid w:val="16331C36"/>
    <w:rsid w:val="163634D4"/>
    <w:rsid w:val="163836F0"/>
    <w:rsid w:val="163D0D06"/>
    <w:rsid w:val="1642632E"/>
    <w:rsid w:val="1647372A"/>
    <w:rsid w:val="164F5EEA"/>
    <w:rsid w:val="16573B76"/>
    <w:rsid w:val="165C65FA"/>
    <w:rsid w:val="165E1E54"/>
    <w:rsid w:val="167C538B"/>
    <w:rsid w:val="168801D3"/>
    <w:rsid w:val="169528F0"/>
    <w:rsid w:val="16985CFD"/>
    <w:rsid w:val="16A652D4"/>
    <w:rsid w:val="16C57BD1"/>
    <w:rsid w:val="16D056D6"/>
    <w:rsid w:val="16D2144F"/>
    <w:rsid w:val="16D8187D"/>
    <w:rsid w:val="16E42190"/>
    <w:rsid w:val="16EE394D"/>
    <w:rsid w:val="16EF0253"/>
    <w:rsid w:val="17084E70"/>
    <w:rsid w:val="170B2BB3"/>
    <w:rsid w:val="171A7F8F"/>
    <w:rsid w:val="172D2B29"/>
    <w:rsid w:val="172F1943"/>
    <w:rsid w:val="1734773E"/>
    <w:rsid w:val="173E7FFA"/>
    <w:rsid w:val="1743234C"/>
    <w:rsid w:val="174E431E"/>
    <w:rsid w:val="174F2A9F"/>
    <w:rsid w:val="17571954"/>
    <w:rsid w:val="17574554"/>
    <w:rsid w:val="1757686F"/>
    <w:rsid w:val="17602EFE"/>
    <w:rsid w:val="17614581"/>
    <w:rsid w:val="1776002C"/>
    <w:rsid w:val="1779272E"/>
    <w:rsid w:val="178F7340"/>
    <w:rsid w:val="17991C3C"/>
    <w:rsid w:val="179D7CAF"/>
    <w:rsid w:val="17A10E21"/>
    <w:rsid w:val="17A26249"/>
    <w:rsid w:val="17B647D2"/>
    <w:rsid w:val="17CD1C16"/>
    <w:rsid w:val="17D664FB"/>
    <w:rsid w:val="17EC4792"/>
    <w:rsid w:val="17F43647"/>
    <w:rsid w:val="17F91257"/>
    <w:rsid w:val="17FF4F12"/>
    <w:rsid w:val="18001FEB"/>
    <w:rsid w:val="18071D6B"/>
    <w:rsid w:val="18095F74"/>
    <w:rsid w:val="180E64B6"/>
    <w:rsid w:val="18111CA0"/>
    <w:rsid w:val="182F038D"/>
    <w:rsid w:val="18316649"/>
    <w:rsid w:val="18372CA8"/>
    <w:rsid w:val="18377F3B"/>
    <w:rsid w:val="18506ACF"/>
    <w:rsid w:val="18510A99"/>
    <w:rsid w:val="185C36C6"/>
    <w:rsid w:val="18722EE9"/>
    <w:rsid w:val="1876405C"/>
    <w:rsid w:val="187C5B16"/>
    <w:rsid w:val="18814952"/>
    <w:rsid w:val="189448FE"/>
    <w:rsid w:val="189F6908"/>
    <w:rsid w:val="189F7A56"/>
    <w:rsid w:val="18B352B0"/>
    <w:rsid w:val="18BF1EA7"/>
    <w:rsid w:val="18C54528"/>
    <w:rsid w:val="18CD6371"/>
    <w:rsid w:val="18F579D3"/>
    <w:rsid w:val="1901793D"/>
    <w:rsid w:val="190855FC"/>
    <w:rsid w:val="190B6E9A"/>
    <w:rsid w:val="19151AC7"/>
    <w:rsid w:val="19210EF5"/>
    <w:rsid w:val="192A37C4"/>
    <w:rsid w:val="193773DB"/>
    <w:rsid w:val="195A74E8"/>
    <w:rsid w:val="195C14A3"/>
    <w:rsid w:val="19625E7D"/>
    <w:rsid w:val="196A0064"/>
    <w:rsid w:val="19836A30"/>
    <w:rsid w:val="1989493C"/>
    <w:rsid w:val="198D2276"/>
    <w:rsid w:val="199E386A"/>
    <w:rsid w:val="19A075E2"/>
    <w:rsid w:val="19A67FBB"/>
    <w:rsid w:val="19A753EF"/>
    <w:rsid w:val="19AE6FE1"/>
    <w:rsid w:val="19AF1A4C"/>
    <w:rsid w:val="19C75DFE"/>
    <w:rsid w:val="19D054A2"/>
    <w:rsid w:val="19D43730"/>
    <w:rsid w:val="19DA098D"/>
    <w:rsid w:val="1A0B50EF"/>
    <w:rsid w:val="1A1028E6"/>
    <w:rsid w:val="1A175FEF"/>
    <w:rsid w:val="1A1B5908"/>
    <w:rsid w:val="1A204BC7"/>
    <w:rsid w:val="1A264E43"/>
    <w:rsid w:val="1A2B78B5"/>
    <w:rsid w:val="1A322407"/>
    <w:rsid w:val="1A33624D"/>
    <w:rsid w:val="1A3A7A37"/>
    <w:rsid w:val="1A3F6DFB"/>
    <w:rsid w:val="1A4563DB"/>
    <w:rsid w:val="1A5A1E87"/>
    <w:rsid w:val="1A670100"/>
    <w:rsid w:val="1A6B6F95"/>
    <w:rsid w:val="1A6C0815"/>
    <w:rsid w:val="1A710F7F"/>
    <w:rsid w:val="1A712C63"/>
    <w:rsid w:val="1A7A7E33"/>
    <w:rsid w:val="1A836D28"/>
    <w:rsid w:val="1A847C80"/>
    <w:rsid w:val="1A8B0292"/>
    <w:rsid w:val="1A935399"/>
    <w:rsid w:val="1A9A487C"/>
    <w:rsid w:val="1AA50C28"/>
    <w:rsid w:val="1AAB4490"/>
    <w:rsid w:val="1AB175CD"/>
    <w:rsid w:val="1ABA7B1A"/>
    <w:rsid w:val="1ABB2963"/>
    <w:rsid w:val="1AC5112F"/>
    <w:rsid w:val="1ADC289C"/>
    <w:rsid w:val="1AF1038D"/>
    <w:rsid w:val="1AFC0863"/>
    <w:rsid w:val="1B07751D"/>
    <w:rsid w:val="1B09565B"/>
    <w:rsid w:val="1B155DAE"/>
    <w:rsid w:val="1B177416"/>
    <w:rsid w:val="1B321E1D"/>
    <w:rsid w:val="1B397CEE"/>
    <w:rsid w:val="1B3A0203"/>
    <w:rsid w:val="1B3B3CF9"/>
    <w:rsid w:val="1B3C77DE"/>
    <w:rsid w:val="1B4949CD"/>
    <w:rsid w:val="1B4A4913"/>
    <w:rsid w:val="1B4E306E"/>
    <w:rsid w:val="1B553FC9"/>
    <w:rsid w:val="1B574618"/>
    <w:rsid w:val="1B6603B7"/>
    <w:rsid w:val="1B77708C"/>
    <w:rsid w:val="1B7A3E63"/>
    <w:rsid w:val="1B7C5E2D"/>
    <w:rsid w:val="1B950C9D"/>
    <w:rsid w:val="1B9D1AF2"/>
    <w:rsid w:val="1BA477C3"/>
    <w:rsid w:val="1BB30C6B"/>
    <w:rsid w:val="1BB455C7"/>
    <w:rsid w:val="1BBA4823"/>
    <w:rsid w:val="1BC3543A"/>
    <w:rsid w:val="1BC9173B"/>
    <w:rsid w:val="1BCE12EF"/>
    <w:rsid w:val="1BD54A46"/>
    <w:rsid w:val="1BDB6FF7"/>
    <w:rsid w:val="1BE96AFB"/>
    <w:rsid w:val="1BEA2D97"/>
    <w:rsid w:val="1BF43C15"/>
    <w:rsid w:val="1C0C0C93"/>
    <w:rsid w:val="1C112229"/>
    <w:rsid w:val="1C1639D1"/>
    <w:rsid w:val="1C1918CE"/>
    <w:rsid w:val="1C3E1334"/>
    <w:rsid w:val="1C3F50B7"/>
    <w:rsid w:val="1C417161"/>
    <w:rsid w:val="1C420F7D"/>
    <w:rsid w:val="1C485D0F"/>
    <w:rsid w:val="1C5C3DFD"/>
    <w:rsid w:val="1C746B04"/>
    <w:rsid w:val="1C76287C"/>
    <w:rsid w:val="1C814C75"/>
    <w:rsid w:val="1C93342E"/>
    <w:rsid w:val="1C971118"/>
    <w:rsid w:val="1C9B0535"/>
    <w:rsid w:val="1C9D42AD"/>
    <w:rsid w:val="1CA06023"/>
    <w:rsid w:val="1CA14B7F"/>
    <w:rsid w:val="1CB65FB4"/>
    <w:rsid w:val="1CBA4E5F"/>
    <w:rsid w:val="1CF46E03"/>
    <w:rsid w:val="1CF739BD"/>
    <w:rsid w:val="1D000D2D"/>
    <w:rsid w:val="1D097545"/>
    <w:rsid w:val="1D0B4FA0"/>
    <w:rsid w:val="1D0D4EA6"/>
    <w:rsid w:val="1D156539"/>
    <w:rsid w:val="1D295B40"/>
    <w:rsid w:val="1D2A0352"/>
    <w:rsid w:val="1D2F2EB2"/>
    <w:rsid w:val="1D3764AF"/>
    <w:rsid w:val="1D48246B"/>
    <w:rsid w:val="1D4B1F5B"/>
    <w:rsid w:val="1D552DD9"/>
    <w:rsid w:val="1D6F121A"/>
    <w:rsid w:val="1D7019C1"/>
    <w:rsid w:val="1D7D49BB"/>
    <w:rsid w:val="1D7E5E8C"/>
    <w:rsid w:val="1D8937C4"/>
    <w:rsid w:val="1D8B2357"/>
    <w:rsid w:val="1D9456B0"/>
    <w:rsid w:val="1D9531D6"/>
    <w:rsid w:val="1D9C0314"/>
    <w:rsid w:val="1DA221EA"/>
    <w:rsid w:val="1DB45D52"/>
    <w:rsid w:val="1DC25E9B"/>
    <w:rsid w:val="1DD50123"/>
    <w:rsid w:val="1DD84838"/>
    <w:rsid w:val="1DD97567"/>
    <w:rsid w:val="1DDB3AFB"/>
    <w:rsid w:val="1DE81558"/>
    <w:rsid w:val="1DF63C75"/>
    <w:rsid w:val="1E05035C"/>
    <w:rsid w:val="1E0839A8"/>
    <w:rsid w:val="1E107A4D"/>
    <w:rsid w:val="1E2F3738"/>
    <w:rsid w:val="1E312B23"/>
    <w:rsid w:val="1E3D5D47"/>
    <w:rsid w:val="1E4075E6"/>
    <w:rsid w:val="1E4278F2"/>
    <w:rsid w:val="1E44188E"/>
    <w:rsid w:val="1E4D682F"/>
    <w:rsid w:val="1E4E1D03"/>
    <w:rsid w:val="1E534BCE"/>
    <w:rsid w:val="1E570D39"/>
    <w:rsid w:val="1E573D6D"/>
    <w:rsid w:val="1E62130A"/>
    <w:rsid w:val="1E6C2189"/>
    <w:rsid w:val="1E6E4153"/>
    <w:rsid w:val="1E751B3E"/>
    <w:rsid w:val="1E780D78"/>
    <w:rsid w:val="1E8219AC"/>
    <w:rsid w:val="1E935967"/>
    <w:rsid w:val="1E982F7E"/>
    <w:rsid w:val="1E9F1316"/>
    <w:rsid w:val="1EAA03E9"/>
    <w:rsid w:val="1EAB5BC4"/>
    <w:rsid w:val="1EAC07D7"/>
    <w:rsid w:val="1EC27FFB"/>
    <w:rsid w:val="1ECE2E43"/>
    <w:rsid w:val="1EDD1DE8"/>
    <w:rsid w:val="1EDD3808"/>
    <w:rsid w:val="1EDE2D24"/>
    <w:rsid w:val="1EDF30C5"/>
    <w:rsid w:val="1EE23B6F"/>
    <w:rsid w:val="1EE91A2B"/>
    <w:rsid w:val="1EF44211"/>
    <w:rsid w:val="1EF65EF6"/>
    <w:rsid w:val="1EFF124F"/>
    <w:rsid w:val="1F0D396C"/>
    <w:rsid w:val="1F10520A"/>
    <w:rsid w:val="1F111479"/>
    <w:rsid w:val="1F12334B"/>
    <w:rsid w:val="1F1545CE"/>
    <w:rsid w:val="1F1D16D5"/>
    <w:rsid w:val="1F1F268C"/>
    <w:rsid w:val="1F240CF0"/>
    <w:rsid w:val="1F2667DB"/>
    <w:rsid w:val="1F3507CD"/>
    <w:rsid w:val="1F3A5DE3"/>
    <w:rsid w:val="1F3B7069"/>
    <w:rsid w:val="1F3D344D"/>
    <w:rsid w:val="1F536EA5"/>
    <w:rsid w:val="1F552C1D"/>
    <w:rsid w:val="1F5A0233"/>
    <w:rsid w:val="1F5A3F2D"/>
    <w:rsid w:val="1F621BE6"/>
    <w:rsid w:val="1F637EA5"/>
    <w:rsid w:val="1F6D7F66"/>
    <w:rsid w:val="1F740FB1"/>
    <w:rsid w:val="1F7C63FB"/>
    <w:rsid w:val="1F7F7C9A"/>
    <w:rsid w:val="1F850242"/>
    <w:rsid w:val="1F941779"/>
    <w:rsid w:val="1F9F20EA"/>
    <w:rsid w:val="1FA119DF"/>
    <w:rsid w:val="1FA140B4"/>
    <w:rsid w:val="1FA910E5"/>
    <w:rsid w:val="1FAA11BB"/>
    <w:rsid w:val="1FAC1102"/>
    <w:rsid w:val="1FAF7185"/>
    <w:rsid w:val="1FB221EA"/>
    <w:rsid w:val="1FBF0FF0"/>
    <w:rsid w:val="1FC00A5C"/>
    <w:rsid w:val="1FC87893"/>
    <w:rsid w:val="1FCD30FB"/>
    <w:rsid w:val="1FE022CD"/>
    <w:rsid w:val="1FEA15B7"/>
    <w:rsid w:val="1FF22B62"/>
    <w:rsid w:val="1FFB17AD"/>
    <w:rsid w:val="1FFC578E"/>
    <w:rsid w:val="200875F6"/>
    <w:rsid w:val="200D1749"/>
    <w:rsid w:val="20126D60"/>
    <w:rsid w:val="202D3B9A"/>
    <w:rsid w:val="20476A09"/>
    <w:rsid w:val="20476F6B"/>
    <w:rsid w:val="204A64FA"/>
    <w:rsid w:val="20511636"/>
    <w:rsid w:val="20566C4C"/>
    <w:rsid w:val="20584C83"/>
    <w:rsid w:val="205B3F14"/>
    <w:rsid w:val="20641C56"/>
    <w:rsid w:val="20684BD2"/>
    <w:rsid w:val="206C021E"/>
    <w:rsid w:val="206E043A"/>
    <w:rsid w:val="20825C93"/>
    <w:rsid w:val="208D0A85"/>
    <w:rsid w:val="209854B7"/>
    <w:rsid w:val="209A74BF"/>
    <w:rsid w:val="209D1AD9"/>
    <w:rsid w:val="20A57D83"/>
    <w:rsid w:val="20AE4CDA"/>
    <w:rsid w:val="20C34D3B"/>
    <w:rsid w:val="20D12777"/>
    <w:rsid w:val="20D9164A"/>
    <w:rsid w:val="20E00C0C"/>
    <w:rsid w:val="20F63F8C"/>
    <w:rsid w:val="21004E0A"/>
    <w:rsid w:val="21012C3F"/>
    <w:rsid w:val="21052421"/>
    <w:rsid w:val="21087194"/>
    <w:rsid w:val="21154D5A"/>
    <w:rsid w:val="211C3E64"/>
    <w:rsid w:val="212925B3"/>
    <w:rsid w:val="212B00D9"/>
    <w:rsid w:val="213827F6"/>
    <w:rsid w:val="21420A80"/>
    <w:rsid w:val="214351AE"/>
    <w:rsid w:val="21442F49"/>
    <w:rsid w:val="21467B88"/>
    <w:rsid w:val="214818FB"/>
    <w:rsid w:val="214A2329"/>
    <w:rsid w:val="214B42D7"/>
    <w:rsid w:val="214E5B76"/>
    <w:rsid w:val="21505D92"/>
    <w:rsid w:val="21667363"/>
    <w:rsid w:val="216B1DCE"/>
    <w:rsid w:val="216B497A"/>
    <w:rsid w:val="21731A80"/>
    <w:rsid w:val="217D5A15"/>
    <w:rsid w:val="21863561"/>
    <w:rsid w:val="21B55BF5"/>
    <w:rsid w:val="21B77BBF"/>
    <w:rsid w:val="21BC3427"/>
    <w:rsid w:val="21C422DC"/>
    <w:rsid w:val="21DF2C72"/>
    <w:rsid w:val="21EA1D42"/>
    <w:rsid w:val="21EB1FBA"/>
    <w:rsid w:val="21EB4607"/>
    <w:rsid w:val="21ED3089"/>
    <w:rsid w:val="21F42F2A"/>
    <w:rsid w:val="22053071"/>
    <w:rsid w:val="220858D5"/>
    <w:rsid w:val="220C05F5"/>
    <w:rsid w:val="22122D1E"/>
    <w:rsid w:val="22192627"/>
    <w:rsid w:val="22196184"/>
    <w:rsid w:val="22266AF2"/>
    <w:rsid w:val="222863D2"/>
    <w:rsid w:val="223631D9"/>
    <w:rsid w:val="22474DEB"/>
    <w:rsid w:val="224C6559"/>
    <w:rsid w:val="224D5449"/>
    <w:rsid w:val="22582CF2"/>
    <w:rsid w:val="225E3903"/>
    <w:rsid w:val="2262091D"/>
    <w:rsid w:val="226E1C50"/>
    <w:rsid w:val="22761828"/>
    <w:rsid w:val="227C6712"/>
    <w:rsid w:val="228D6B72"/>
    <w:rsid w:val="22A11BBD"/>
    <w:rsid w:val="22A2261D"/>
    <w:rsid w:val="22B20386"/>
    <w:rsid w:val="22B8126D"/>
    <w:rsid w:val="22C8111F"/>
    <w:rsid w:val="22CA1B74"/>
    <w:rsid w:val="22CF429E"/>
    <w:rsid w:val="22E42C35"/>
    <w:rsid w:val="22EE7610"/>
    <w:rsid w:val="22F97D63"/>
    <w:rsid w:val="2319300F"/>
    <w:rsid w:val="231B23CF"/>
    <w:rsid w:val="23285845"/>
    <w:rsid w:val="233314C7"/>
    <w:rsid w:val="23337719"/>
    <w:rsid w:val="23474F72"/>
    <w:rsid w:val="23515DF1"/>
    <w:rsid w:val="235B1E59"/>
    <w:rsid w:val="23711FEF"/>
    <w:rsid w:val="23963804"/>
    <w:rsid w:val="239A5150"/>
    <w:rsid w:val="23A75A11"/>
    <w:rsid w:val="23BE626D"/>
    <w:rsid w:val="23C35A13"/>
    <w:rsid w:val="23C810E5"/>
    <w:rsid w:val="23CB5BA3"/>
    <w:rsid w:val="23F76570"/>
    <w:rsid w:val="23F90CF2"/>
    <w:rsid w:val="24045BCB"/>
    <w:rsid w:val="24082954"/>
    <w:rsid w:val="240F0226"/>
    <w:rsid w:val="241A56F3"/>
    <w:rsid w:val="241E5CD3"/>
    <w:rsid w:val="242017B5"/>
    <w:rsid w:val="24333BE3"/>
    <w:rsid w:val="2435301D"/>
    <w:rsid w:val="24412260"/>
    <w:rsid w:val="2469779A"/>
    <w:rsid w:val="247243FD"/>
    <w:rsid w:val="2472601F"/>
    <w:rsid w:val="24785F23"/>
    <w:rsid w:val="247B372C"/>
    <w:rsid w:val="24814B09"/>
    <w:rsid w:val="2494404A"/>
    <w:rsid w:val="249B591C"/>
    <w:rsid w:val="24A65CC9"/>
    <w:rsid w:val="24AC2D06"/>
    <w:rsid w:val="24AD52A9"/>
    <w:rsid w:val="24B76505"/>
    <w:rsid w:val="24BB1774"/>
    <w:rsid w:val="24CC56D1"/>
    <w:rsid w:val="24CD1C7C"/>
    <w:rsid w:val="24E07AA9"/>
    <w:rsid w:val="24E567F1"/>
    <w:rsid w:val="24E72569"/>
    <w:rsid w:val="24EA7A1C"/>
    <w:rsid w:val="24EE1B49"/>
    <w:rsid w:val="24EF141E"/>
    <w:rsid w:val="24F44C86"/>
    <w:rsid w:val="24F829C8"/>
    <w:rsid w:val="24FE2B47"/>
    <w:rsid w:val="24FF0039"/>
    <w:rsid w:val="2511326E"/>
    <w:rsid w:val="252235A1"/>
    <w:rsid w:val="25292B82"/>
    <w:rsid w:val="253900BA"/>
    <w:rsid w:val="253A476D"/>
    <w:rsid w:val="253B0B07"/>
    <w:rsid w:val="25431036"/>
    <w:rsid w:val="25457290"/>
    <w:rsid w:val="25551034"/>
    <w:rsid w:val="25585215"/>
    <w:rsid w:val="25610E1F"/>
    <w:rsid w:val="25626093"/>
    <w:rsid w:val="256736AA"/>
    <w:rsid w:val="256D7D53"/>
    <w:rsid w:val="257B7155"/>
    <w:rsid w:val="257D0E5A"/>
    <w:rsid w:val="257E6141"/>
    <w:rsid w:val="25AE752B"/>
    <w:rsid w:val="25B53A5B"/>
    <w:rsid w:val="25BF279D"/>
    <w:rsid w:val="25D845A8"/>
    <w:rsid w:val="25D979FC"/>
    <w:rsid w:val="25E1345C"/>
    <w:rsid w:val="25E77721"/>
    <w:rsid w:val="25F147D8"/>
    <w:rsid w:val="25F25669"/>
    <w:rsid w:val="26123616"/>
    <w:rsid w:val="261C36B8"/>
    <w:rsid w:val="26233A75"/>
    <w:rsid w:val="262B0B7B"/>
    <w:rsid w:val="263A491A"/>
    <w:rsid w:val="2652435A"/>
    <w:rsid w:val="265956E8"/>
    <w:rsid w:val="265A6D6B"/>
    <w:rsid w:val="26647BE9"/>
    <w:rsid w:val="26705EF4"/>
    <w:rsid w:val="268F456F"/>
    <w:rsid w:val="269C6F95"/>
    <w:rsid w:val="26A0179B"/>
    <w:rsid w:val="26A56238"/>
    <w:rsid w:val="26AB5818"/>
    <w:rsid w:val="26B93247"/>
    <w:rsid w:val="26BA5939"/>
    <w:rsid w:val="26BE19EF"/>
    <w:rsid w:val="26C30AC6"/>
    <w:rsid w:val="26C568DA"/>
    <w:rsid w:val="26CC7C68"/>
    <w:rsid w:val="26DD00C8"/>
    <w:rsid w:val="26DE174A"/>
    <w:rsid w:val="26FE1DEC"/>
    <w:rsid w:val="26FE299E"/>
    <w:rsid w:val="270F224B"/>
    <w:rsid w:val="27297642"/>
    <w:rsid w:val="27311CDC"/>
    <w:rsid w:val="273701A7"/>
    <w:rsid w:val="273837FA"/>
    <w:rsid w:val="274243CE"/>
    <w:rsid w:val="274912B9"/>
    <w:rsid w:val="274A6DDF"/>
    <w:rsid w:val="27653C19"/>
    <w:rsid w:val="27677991"/>
    <w:rsid w:val="277F680B"/>
    <w:rsid w:val="278247CB"/>
    <w:rsid w:val="279D482F"/>
    <w:rsid w:val="27AF30E6"/>
    <w:rsid w:val="27B96CC6"/>
    <w:rsid w:val="27BC5F2F"/>
    <w:rsid w:val="27BF15BC"/>
    <w:rsid w:val="27C564D2"/>
    <w:rsid w:val="27CB7F20"/>
    <w:rsid w:val="27CC1EEA"/>
    <w:rsid w:val="27CC77D3"/>
    <w:rsid w:val="27D019DA"/>
    <w:rsid w:val="27D7718B"/>
    <w:rsid w:val="27D843EB"/>
    <w:rsid w:val="27E234BC"/>
    <w:rsid w:val="27E62FAC"/>
    <w:rsid w:val="27F0406A"/>
    <w:rsid w:val="27F8683B"/>
    <w:rsid w:val="28085E36"/>
    <w:rsid w:val="280B37BA"/>
    <w:rsid w:val="28212236"/>
    <w:rsid w:val="282B57DA"/>
    <w:rsid w:val="283132DC"/>
    <w:rsid w:val="28385963"/>
    <w:rsid w:val="283C7070"/>
    <w:rsid w:val="284E44DD"/>
    <w:rsid w:val="28511C88"/>
    <w:rsid w:val="2861490A"/>
    <w:rsid w:val="286538D1"/>
    <w:rsid w:val="287572D8"/>
    <w:rsid w:val="289447B6"/>
    <w:rsid w:val="28A16ED3"/>
    <w:rsid w:val="28A55630"/>
    <w:rsid w:val="28B27332"/>
    <w:rsid w:val="28B9246E"/>
    <w:rsid w:val="28BA7F95"/>
    <w:rsid w:val="28C3509B"/>
    <w:rsid w:val="28C80903"/>
    <w:rsid w:val="28C873A2"/>
    <w:rsid w:val="28D7532F"/>
    <w:rsid w:val="28DC0EB9"/>
    <w:rsid w:val="28E514B5"/>
    <w:rsid w:val="29073299"/>
    <w:rsid w:val="290E6761"/>
    <w:rsid w:val="293711C1"/>
    <w:rsid w:val="293D0AFB"/>
    <w:rsid w:val="293D4E4D"/>
    <w:rsid w:val="294363FE"/>
    <w:rsid w:val="29471A7B"/>
    <w:rsid w:val="294D0E2D"/>
    <w:rsid w:val="295F5274"/>
    <w:rsid w:val="2961657C"/>
    <w:rsid w:val="2967011C"/>
    <w:rsid w:val="29687F8B"/>
    <w:rsid w:val="29691C77"/>
    <w:rsid w:val="296A5517"/>
    <w:rsid w:val="2983251C"/>
    <w:rsid w:val="29870D4C"/>
    <w:rsid w:val="298C7B83"/>
    <w:rsid w:val="298F528D"/>
    <w:rsid w:val="299F78B6"/>
    <w:rsid w:val="29A21154"/>
    <w:rsid w:val="29BD1AEA"/>
    <w:rsid w:val="29C06E51"/>
    <w:rsid w:val="29C42123"/>
    <w:rsid w:val="29C54E43"/>
    <w:rsid w:val="29CD4985"/>
    <w:rsid w:val="29CD7696"/>
    <w:rsid w:val="29CF4F3F"/>
    <w:rsid w:val="29D96DF0"/>
    <w:rsid w:val="29E654E5"/>
    <w:rsid w:val="29E90B31"/>
    <w:rsid w:val="29F55728"/>
    <w:rsid w:val="2A051332"/>
    <w:rsid w:val="2A0F0615"/>
    <w:rsid w:val="2A3224D8"/>
    <w:rsid w:val="2A3468BD"/>
    <w:rsid w:val="2A355825"/>
    <w:rsid w:val="2A3C3357"/>
    <w:rsid w:val="2A510FCE"/>
    <w:rsid w:val="2A5A558B"/>
    <w:rsid w:val="2A663F30"/>
    <w:rsid w:val="2A6F57B4"/>
    <w:rsid w:val="2A781EB5"/>
    <w:rsid w:val="2A810D6A"/>
    <w:rsid w:val="2A8A5CE3"/>
    <w:rsid w:val="2A8C0BEE"/>
    <w:rsid w:val="2A924D25"/>
    <w:rsid w:val="2A9863F2"/>
    <w:rsid w:val="2A9C5BA4"/>
    <w:rsid w:val="2AA84549"/>
    <w:rsid w:val="2ABB4FF3"/>
    <w:rsid w:val="2ABF59F9"/>
    <w:rsid w:val="2AC75CEF"/>
    <w:rsid w:val="2ACC5FDE"/>
    <w:rsid w:val="2ACD0453"/>
    <w:rsid w:val="2ACD1B61"/>
    <w:rsid w:val="2ACF4E96"/>
    <w:rsid w:val="2ADC6DA0"/>
    <w:rsid w:val="2AE10E0A"/>
    <w:rsid w:val="2AE934B9"/>
    <w:rsid w:val="2AED28A3"/>
    <w:rsid w:val="2B0860BB"/>
    <w:rsid w:val="2B142300"/>
    <w:rsid w:val="2B213D29"/>
    <w:rsid w:val="2B21756B"/>
    <w:rsid w:val="2B2A2AED"/>
    <w:rsid w:val="2B2E625F"/>
    <w:rsid w:val="2B397896"/>
    <w:rsid w:val="2B3B716B"/>
    <w:rsid w:val="2B413497"/>
    <w:rsid w:val="2B715282"/>
    <w:rsid w:val="2B761A4C"/>
    <w:rsid w:val="2B7B166A"/>
    <w:rsid w:val="2B7B1C5D"/>
    <w:rsid w:val="2B8054C5"/>
    <w:rsid w:val="2B8F30C6"/>
    <w:rsid w:val="2B975807"/>
    <w:rsid w:val="2B99199F"/>
    <w:rsid w:val="2B996B39"/>
    <w:rsid w:val="2B9C5FF5"/>
    <w:rsid w:val="2B9E594C"/>
    <w:rsid w:val="2BA00995"/>
    <w:rsid w:val="2BA56A96"/>
    <w:rsid w:val="2BA72A52"/>
    <w:rsid w:val="2BAC3BB5"/>
    <w:rsid w:val="2BAF20E2"/>
    <w:rsid w:val="2BB37649"/>
    <w:rsid w:val="2BB84C5F"/>
    <w:rsid w:val="2BBB580F"/>
    <w:rsid w:val="2BCE1760"/>
    <w:rsid w:val="2BD664CD"/>
    <w:rsid w:val="2BD84FDD"/>
    <w:rsid w:val="2BD9277E"/>
    <w:rsid w:val="2BE45A54"/>
    <w:rsid w:val="2BE617CC"/>
    <w:rsid w:val="2BEB6DE3"/>
    <w:rsid w:val="2BF437BD"/>
    <w:rsid w:val="2BF57C61"/>
    <w:rsid w:val="2C091017"/>
    <w:rsid w:val="2C2347FD"/>
    <w:rsid w:val="2C29790B"/>
    <w:rsid w:val="2C2B3683"/>
    <w:rsid w:val="2C2C2F57"/>
    <w:rsid w:val="2C35005E"/>
    <w:rsid w:val="2C362542"/>
    <w:rsid w:val="2C397BB6"/>
    <w:rsid w:val="2C46226B"/>
    <w:rsid w:val="2C640943"/>
    <w:rsid w:val="2C6700AC"/>
    <w:rsid w:val="2C7F4FF3"/>
    <w:rsid w:val="2C8608B9"/>
    <w:rsid w:val="2C8965FC"/>
    <w:rsid w:val="2C923702"/>
    <w:rsid w:val="2C982DB7"/>
    <w:rsid w:val="2CA84CD4"/>
    <w:rsid w:val="2CC413E2"/>
    <w:rsid w:val="2D0363AE"/>
    <w:rsid w:val="2D104F33"/>
    <w:rsid w:val="2D2B1182"/>
    <w:rsid w:val="2D2D51D9"/>
    <w:rsid w:val="2D464694"/>
    <w:rsid w:val="2D4973F6"/>
    <w:rsid w:val="2D4D13D7"/>
    <w:rsid w:val="2D595FCE"/>
    <w:rsid w:val="2D5C5F2E"/>
    <w:rsid w:val="2D6329A9"/>
    <w:rsid w:val="2D7746A6"/>
    <w:rsid w:val="2D812D6F"/>
    <w:rsid w:val="2D8313F6"/>
    <w:rsid w:val="2D864A37"/>
    <w:rsid w:val="2D8748E9"/>
    <w:rsid w:val="2D8868B3"/>
    <w:rsid w:val="2D931C55"/>
    <w:rsid w:val="2D940DB4"/>
    <w:rsid w:val="2D9E7E85"/>
    <w:rsid w:val="2DA60AE7"/>
    <w:rsid w:val="2DAF2092"/>
    <w:rsid w:val="2DB047C9"/>
    <w:rsid w:val="2DDD09AD"/>
    <w:rsid w:val="2DE33AEA"/>
    <w:rsid w:val="2DF06932"/>
    <w:rsid w:val="2DF87595"/>
    <w:rsid w:val="2E0221C2"/>
    <w:rsid w:val="2E262354"/>
    <w:rsid w:val="2E2E23D1"/>
    <w:rsid w:val="2E38781C"/>
    <w:rsid w:val="2E3D31FA"/>
    <w:rsid w:val="2E3F51C4"/>
    <w:rsid w:val="2E450300"/>
    <w:rsid w:val="2E4D1E40"/>
    <w:rsid w:val="2E690493"/>
    <w:rsid w:val="2E6918A8"/>
    <w:rsid w:val="2E823302"/>
    <w:rsid w:val="2E8E1CA7"/>
    <w:rsid w:val="2E9962FA"/>
    <w:rsid w:val="2E9D1EEA"/>
    <w:rsid w:val="2EA44AD7"/>
    <w:rsid w:val="2EC5230A"/>
    <w:rsid w:val="2ECA3160"/>
    <w:rsid w:val="2ED0055E"/>
    <w:rsid w:val="2ED95618"/>
    <w:rsid w:val="2EDA71AF"/>
    <w:rsid w:val="2EE1627B"/>
    <w:rsid w:val="2EEB5EFB"/>
    <w:rsid w:val="2F0B0E6B"/>
    <w:rsid w:val="2F154177"/>
    <w:rsid w:val="2F1E127D"/>
    <w:rsid w:val="2F2B5748"/>
    <w:rsid w:val="2F394E6F"/>
    <w:rsid w:val="2F3C597F"/>
    <w:rsid w:val="2F400E3E"/>
    <w:rsid w:val="2F4A02C4"/>
    <w:rsid w:val="2F542EF1"/>
    <w:rsid w:val="2F595982"/>
    <w:rsid w:val="2F601CB1"/>
    <w:rsid w:val="2F6E5429"/>
    <w:rsid w:val="2F713AA3"/>
    <w:rsid w:val="2F7B66D0"/>
    <w:rsid w:val="2F8530AA"/>
    <w:rsid w:val="2F8F217B"/>
    <w:rsid w:val="2F921130"/>
    <w:rsid w:val="2F921838"/>
    <w:rsid w:val="2F987ACC"/>
    <w:rsid w:val="2F9A2432"/>
    <w:rsid w:val="2F9C21A2"/>
    <w:rsid w:val="2F9F58CE"/>
    <w:rsid w:val="2FA06136"/>
    <w:rsid w:val="2FA31782"/>
    <w:rsid w:val="2FA71273"/>
    <w:rsid w:val="2FB219C5"/>
    <w:rsid w:val="2FB67F57"/>
    <w:rsid w:val="2FC40684"/>
    <w:rsid w:val="2FE778C1"/>
    <w:rsid w:val="2FE972DD"/>
    <w:rsid w:val="30117FDF"/>
    <w:rsid w:val="302B7F1B"/>
    <w:rsid w:val="302F36E7"/>
    <w:rsid w:val="30444929"/>
    <w:rsid w:val="3050460D"/>
    <w:rsid w:val="3062163D"/>
    <w:rsid w:val="30706375"/>
    <w:rsid w:val="30731D3E"/>
    <w:rsid w:val="307D0225"/>
    <w:rsid w:val="308E2E6E"/>
    <w:rsid w:val="30913CD1"/>
    <w:rsid w:val="309317F7"/>
    <w:rsid w:val="30A13F14"/>
    <w:rsid w:val="30A40124"/>
    <w:rsid w:val="30A65B5C"/>
    <w:rsid w:val="30A65BBD"/>
    <w:rsid w:val="30AC28B9"/>
    <w:rsid w:val="30AE7F88"/>
    <w:rsid w:val="30B275B0"/>
    <w:rsid w:val="30B67293"/>
    <w:rsid w:val="30C916BD"/>
    <w:rsid w:val="30D047F9"/>
    <w:rsid w:val="30E31725"/>
    <w:rsid w:val="30ED53AB"/>
    <w:rsid w:val="30F535B0"/>
    <w:rsid w:val="30FD54A7"/>
    <w:rsid w:val="31104BF6"/>
    <w:rsid w:val="311154FC"/>
    <w:rsid w:val="312E32CE"/>
    <w:rsid w:val="3130226F"/>
    <w:rsid w:val="31413B7F"/>
    <w:rsid w:val="314359CD"/>
    <w:rsid w:val="314F3970"/>
    <w:rsid w:val="31572824"/>
    <w:rsid w:val="315E3B10"/>
    <w:rsid w:val="316B62D0"/>
    <w:rsid w:val="3172765E"/>
    <w:rsid w:val="317A4765"/>
    <w:rsid w:val="318C6106"/>
    <w:rsid w:val="318D6246"/>
    <w:rsid w:val="31927ECA"/>
    <w:rsid w:val="31956F8D"/>
    <w:rsid w:val="31D73965"/>
    <w:rsid w:val="320A5AE9"/>
    <w:rsid w:val="321B1AA4"/>
    <w:rsid w:val="32250B75"/>
    <w:rsid w:val="32672F3B"/>
    <w:rsid w:val="326B1AE0"/>
    <w:rsid w:val="327613D0"/>
    <w:rsid w:val="32767BA5"/>
    <w:rsid w:val="32891103"/>
    <w:rsid w:val="3290541C"/>
    <w:rsid w:val="32A47CEB"/>
    <w:rsid w:val="32A61CB5"/>
    <w:rsid w:val="32B617CD"/>
    <w:rsid w:val="32BF0681"/>
    <w:rsid w:val="32C51B16"/>
    <w:rsid w:val="32C738E5"/>
    <w:rsid w:val="32D0288E"/>
    <w:rsid w:val="32D54349"/>
    <w:rsid w:val="32DD02DF"/>
    <w:rsid w:val="32E4458C"/>
    <w:rsid w:val="32F8033F"/>
    <w:rsid w:val="33015626"/>
    <w:rsid w:val="330D2415"/>
    <w:rsid w:val="33240E2C"/>
    <w:rsid w:val="332B21BB"/>
    <w:rsid w:val="332F1577"/>
    <w:rsid w:val="334A4C92"/>
    <w:rsid w:val="3350487A"/>
    <w:rsid w:val="335214F5"/>
    <w:rsid w:val="33527747"/>
    <w:rsid w:val="335334BF"/>
    <w:rsid w:val="335A2AA0"/>
    <w:rsid w:val="336572C0"/>
    <w:rsid w:val="336E3E55"/>
    <w:rsid w:val="33704071"/>
    <w:rsid w:val="3376356B"/>
    <w:rsid w:val="3383188D"/>
    <w:rsid w:val="33833CFC"/>
    <w:rsid w:val="33866601"/>
    <w:rsid w:val="33A06705"/>
    <w:rsid w:val="33A361F5"/>
    <w:rsid w:val="33A67A93"/>
    <w:rsid w:val="33AA1331"/>
    <w:rsid w:val="33AB32FB"/>
    <w:rsid w:val="33B55EA6"/>
    <w:rsid w:val="33BC72B7"/>
    <w:rsid w:val="33BF67AD"/>
    <w:rsid w:val="33C54FC4"/>
    <w:rsid w:val="33D7058A"/>
    <w:rsid w:val="33D91C17"/>
    <w:rsid w:val="33E02717"/>
    <w:rsid w:val="33E15D35"/>
    <w:rsid w:val="33EA7980"/>
    <w:rsid w:val="33EC7B9C"/>
    <w:rsid w:val="33F702EF"/>
    <w:rsid w:val="33F94067"/>
    <w:rsid w:val="33FB4393"/>
    <w:rsid w:val="33FB7DDF"/>
    <w:rsid w:val="34036C94"/>
    <w:rsid w:val="34046622"/>
    <w:rsid w:val="340D366E"/>
    <w:rsid w:val="3417273F"/>
    <w:rsid w:val="342B0810"/>
    <w:rsid w:val="342B67BB"/>
    <w:rsid w:val="34346E4D"/>
    <w:rsid w:val="344572AC"/>
    <w:rsid w:val="344D3628"/>
    <w:rsid w:val="34525280"/>
    <w:rsid w:val="345B6D89"/>
    <w:rsid w:val="346314E0"/>
    <w:rsid w:val="34670FD0"/>
    <w:rsid w:val="34735BC7"/>
    <w:rsid w:val="347D6220"/>
    <w:rsid w:val="348002E4"/>
    <w:rsid w:val="348A4CBF"/>
    <w:rsid w:val="348B0CDA"/>
    <w:rsid w:val="34951FE2"/>
    <w:rsid w:val="349560C4"/>
    <w:rsid w:val="34AC10D9"/>
    <w:rsid w:val="34B47F8E"/>
    <w:rsid w:val="34CB5A03"/>
    <w:rsid w:val="34D66156"/>
    <w:rsid w:val="34D813BA"/>
    <w:rsid w:val="34E24AFB"/>
    <w:rsid w:val="34E73EBF"/>
    <w:rsid w:val="34EF234C"/>
    <w:rsid w:val="351D1FD7"/>
    <w:rsid w:val="351F7AFD"/>
    <w:rsid w:val="35232887"/>
    <w:rsid w:val="353024AA"/>
    <w:rsid w:val="3531125E"/>
    <w:rsid w:val="353F1F4D"/>
    <w:rsid w:val="3540620C"/>
    <w:rsid w:val="354A4BAC"/>
    <w:rsid w:val="354E1E3A"/>
    <w:rsid w:val="355C2AFF"/>
    <w:rsid w:val="35632B01"/>
    <w:rsid w:val="3578101F"/>
    <w:rsid w:val="358856A2"/>
    <w:rsid w:val="358E07DF"/>
    <w:rsid w:val="358E12FD"/>
    <w:rsid w:val="35944047"/>
    <w:rsid w:val="35973B37"/>
    <w:rsid w:val="359C2EFC"/>
    <w:rsid w:val="359E6C74"/>
    <w:rsid w:val="35AE2C2F"/>
    <w:rsid w:val="35B20971"/>
    <w:rsid w:val="35C06F27"/>
    <w:rsid w:val="35CD7559"/>
    <w:rsid w:val="35D17175"/>
    <w:rsid w:val="35D20C04"/>
    <w:rsid w:val="35D54138"/>
    <w:rsid w:val="35DC144D"/>
    <w:rsid w:val="35EA7959"/>
    <w:rsid w:val="35ED5529"/>
    <w:rsid w:val="35F9642A"/>
    <w:rsid w:val="35FE3505"/>
    <w:rsid w:val="360B0081"/>
    <w:rsid w:val="36222D63"/>
    <w:rsid w:val="36257DF1"/>
    <w:rsid w:val="362829E1"/>
    <w:rsid w:val="363E2205"/>
    <w:rsid w:val="364049F9"/>
    <w:rsid w:val="3641040F"/>
    <w:rsid w:val="364C2B74"/>
    <w:rsid w:val="36511F38"/>
    <w:rsid w:val="36534FEA"/>
    <w:rsid w:val="36567A1B"/>
    <w:rsid w:val="368220F2"/>
    <w:rsid w:val="36857E34"/>
    <w:rsid w:val="368636C2"/>
    <w:rsid w:val="3687595A"/>
    <w:rsid w:val="36910587"/>
    <w:rsid w:val="36914A2B"/>
    <w:rsid w:val="369D33CF"/>
    <w:rsid w:val="36A858D0"/>
    <w:rsid w:val="36AE738B"/>
    <w:rsid w:val="36BD312A"/>
    <w:rsid w:val="36C46C8D"/>
    <w:rsid w:val="36D6068F"/>
    <w:rsid w:val="36D641EB"/>
    <w:rsid w:val="36DA1003"/>
    <w:rsid w:val="36DD1A1E"/>
    <w:rsid w:val="36E56B24"/>
    <w:rsid w:val="36E83BC2"/>
    <w:rsid w:val="36EC0F50"/>
    <w:rsid w:val="36F6663C"/>
    <w:rsid w:val="370623B0"/>
    <w:rsid w:val="370B205A"/>
    <w:rsid w:val="370C5E5F"/>
    <w:rsid w:val="3710594F"/>
    <w:rsid w:val="371A52B5"/>
    <w:rsid w:val="371C6E95"/>
    <w:rsid w:val="37205C9C"/>
    <w:rsid w:val="37350B41"/>
    <w:rsid w:val="37377380"/>
    <w:rsid w:val="373B6744"/>
    <w:rsid w:val="373E35FE"/>
    <w:rsid w:val="374452DE"/>
    <w:rsid w:val="37557806"/>
    <w:rsid w:val="375E1949"/>
    <w:rsid w:val="37645C9B"/>
    <w:rsid w:val="37647A49"/>
    <w:rsid w:val="37757EA8"/>
    <w:rsid w:val="37783736"/>
    <w:rsid w:val="379136D3"/>
    <w:rsid w:val="379E228A"/>
    <w:rsid w:val="379E73FF"/>
    <w:rsid w:val="37A54F36"/>
    <w:rsid w:val="37AE5168"/>
    <w:rsid w:val="37BF3E04"/>
    <w:rsid w:val="37D3697D"/>
    <w:rsid w:val="37DA41AF"/>
    <w:rsid w:val="37EA0AA2"/>
    <w:rsid w:val="380A2A27"/>
    <w:rsid w:val="38154EEF"/>
    <w:rsid w:val="381B0A50"/>
    <w:rsid w:val="38286CC9"/>
    <w:rsid w:val="382B5F8F"/>
    <w:rsid w:val="38341B11"/>
    <w:rsid w:val="3834566E"/>
    <w:rsid w:val="385939AA"/>
    <w:rsid w:val="38765C86"/>
    <w:rsid w:val="388021F6"/>
    <w:rsid w:val="3881462B"/>
    <w:rsid w:val="388365F5"/>
    <w:rsid w:val="388859B9"/>
    <w:rsid w:val="388B6679"/>
    <w:rsid w:val="3895153C"/>
    <w:rsid w:val="38983E4E"/>
    <w:rsid w:val="38AA3B82"/>
    <w:rsid w:val="38AA5930"/>
    <w:rsid w:val="38AC6D32"/>
    <w:rsid w:val="38CC1F30"/>
    <w:rsid w:val="38CD51EB"/>
    <w:rsid w:val="38CF5396"/>
    <w:rsid w:val="38E075A3"/>
    <w:rsid w:val="38E47094"/>
    <w:rsid w:val="38ED3A6E"/>
    <w:rsid w:val="38ED5034"/>
    <w:rsid w:val="38F02A5B"/>
    <w:rsid w:val="38F060A1"/>
    <w:rsid w:val="38FF3ECD"/>
    <w:rsid w:val="39034F34"/>
    <w:rsid w:val="3906275B"/>
    <w:rsid w:val="390F1C37"/>
    <w:rsid w:val="39185CF2"/>
    <w:rsid w:val="392007DF"/>
    <w:rsid w:val="39227BBC"/>
    <w:rsid w:val="39243118"/>
    <w:rsid w:val="392A6A70"/>
    <w:rsid w:val="392F3522"/>
    <w:rsid w:val="39331DC9"/>
    <w:rsid w:val="39355B41"/>
    <w:rsid w:val="39365415"/>
    <w:rsid w:val="393B7297"/>
    <w:rsid w:val="394E1913"/>
    <w:rsid w:val="39645EEF"/>
    <w:rsid w:val="39745863"/>
    <w:rsid w:val="397C544B"/>
    <w:rsid w:val="39893797"/>
    <w:rsid w:val="398E6FFF"/>
    <w:rsid w:val="39902D77"/>
    <w:rsid w:val="399F2FBB"/>
    <w:rsid w:val="39B42EA8"/>
    <w:rsid w:val="39BF18AF"/>
    <w:rsid w:val="39C90037"/>
    <w:rsid w:val="39CF6DF4"/>
    <w:rsid w:val="39D07618"/>
    <w:rsid w:val="39D308F2"/>
    <w:rsid w:val="39D8471E"/>
    <w:rsid w:val="39E11825"/>
    <w:rsid w:val="39E41315"/>
    <w:rsid w:val="39EB2068"/>
    <w:rsid w:val="39F55B72"/>
    <w:rsid w:val="39F72DF7"/>
    <w:rsid w:val="39FF7EFD"/>
    <w:rsid w:val="3A231E3E"/>
    <w:rsid w:val="3A40479E"/>
    <w:rsid w:val="3A500759"/>
    <w:rsid w:val="3A562F6C"/>
    <w:rsid w:val="3A624D97"/>
    <w:rsid w:val="3A6C5593"/>
    <w:rsid w:val="3A6F23AE"/>
    <w:rsid w:val="3A856654"/>
    <w:rsid w:val="3A914FF9"/>
    <w:rsid w:val="3A9B7C26"/>
    <w:rsid w:val="3A9C74FD"/>
    <w:rsid w:val="3AB24F6F"/>
    <w:rsid w:val="3AB26D1E"/>
    <w:rsid w:val="3ABD6520"/>
    <w:rsid w:val="3AE710BD"/>
    <w:rsid w:val="3AF86E26"/>
    <w:rsid w:val="3B0454B7"/>
    <w:rsid w:val="3B057795"/>
    <w:rsid w:val="3B082DE1"/>
    <w:rsid w:val="3B0F4170"/>
    <w:rsid w:val="3B11613A"/>
    <w:rsid w:val="3B183024"/>
    <w:rsid w:val="3B345984"/>
    <w:rsid w:val="3B4534A2"/>
    <w:rsid w:val="3B5322AF"/>
    <w:rsid w:val="3B584022"/>
    <w:rsid w:val="3B651551"/>
    <w:rsid w:val="3B6B3A9C"/>
    <w:rsid w:val="3B7010B2"/>
    <w:rsid w:val="3B8D3978"/>
    <w:rsid w:val="3B943E09"/>
    <w:rsid w:val="3BAA7614"/>
    <w:rsid w:val="3BAC4DAC"/>
    <w:rsid w:val="3BB91D66"/>
    <w:rsid w:val="3BC24ED1"/>
    <w:rsid w:val="3BC265D9"/>
    <w:rsid w:val="3BC57EFE"/>
    <w:rsid w:val="3BCC2061"/>
    <w:rsid w:val="3BD34118"/>
    <w:rsid w:val="3BD63476"/>
    <w:rsid w:val="3BDB4052"/>
    <w:rsid w:val="3BF13876"/>
    <w:rsid w:val="3BF42FCA"/>
    <w:rsid w:val="3BF943C2"/>
    <w:rsid w:val="3C095063"/>
    <w:rsid w:val="3C096E11"/>
    <w:rsid w:val="3C105FE9"/>
    <w:rsid w:val="3C1063F2"/>
    <w:rsid w:val="3C237ED3"/>
    <w:rsid w:val="3C2974B3"/>
    <w:rsid w:val="3C3025F0"/>
    <w:rsid w:val="3C335C3C"/>
    <w:rsid w:val="3C3824C5"/>
    <w:rsid w:val="3C44609B"/>
    <w:rsid w:val="3C4542ED"/>
    <w:rsid w:val="3C5502A8"/>
    <w:rsid w:val="3C756367"/>
    <w:rsid w:val="3C8446EA"/>
    <w:rsid w:val="3CBA406E"/>
    <w:rsid w:val="3CBC20D5"/>
    <w:rsid w:val="3CC86CCC"/>
    <w:rsid w:val="3CCA7FC1"/>
    <w:rsid w:val="3CCB2974"/>
    <w:rsid w:val="3CCF3BB7"/>
    <w:rsid w:val="3CD857FF"/>
    <w:rsid w:val="3CDC345F"/>
    <w:rsid w:val="3CDC62D4"/>
    <w:rsid w:val="3CE04016"/>
    <w:rsid w:val="3CE374AD"/>
    <w:rsid w:val="3CEE2001"/>
    <w:rsid w:val="3CF33D49"/>
    <w:rsid w:val="3CFA0F4F"/>
    <w:rsid w:val="3CFB0E50"/>
    <w:rsid w:val="3D033860"/>
    <w:rsid w:val="3D17730C"/>
    <w:rsid w:val="3D2C2DB7"/>
    <w:rsid w:val="3D385C00"/>
    <w:rsid w:val="3D3954D4"/>
    <w:rsid w:val="3D415FC0"/>
    <w:rsid w:val="3D4A76E1"/>
    <w:rsid w:val="3D566086"/>
    <w:rsid w:val="3D585F4D"/>
    <w:rsid w:val="3D5F318D"/>
    <w:rsid w:val="3D6B31C1"/>
    <w:rsid w:val="3D931088"/>
    <w:rsid w:val="3D94095C"/>
    <w:rsid w:val="3DA24B32"/>
    <w:rsid w:val="3DA51EF6"/>
    <w:rsid w:val="3DA57AA1"/>
    <w:rsid w:val="3DA74B34"/>
    <w:rsid w:val="3DB279BC"/>
    <w:rsid w:val="3DB37034"/>
    <w:rsid w:val="3DB72FC9"/>
    <w:rsid w:val="3DC82AE7"/>
    <w:rsid w:val="3DD11BB1"/>
    <w:rsid w:val="3DD1395F"/>
    <w:rsid w:val="3DDD26FC"/>
    <w:rsid w:val="3DE07551"/>
    <w:rsid w:val="3DE14002"/>
    <w:rsid w:val="3DE22D98"/>
    <w:rsid w:val="3DF02037"/>
    <w:rsid w:val="3DF71617"/>
    <w:rsid w:val="3DFB09DB"/>
    <w:rsid w:val="3E071210"/>
    <w:rsid w:val="3E246343"/>
    <w:rsid w:val="3E2A6AC2"/>
    <w:rsid w:val="3E4D465E"/>
    <w:rsid w:val="3E4E3201"/>
    <w:rsid w:val="3E734A16"/>
    <w:rsid w:val="3E782326"/>
    <w:rsid w:val="3E810EE1"/>
    <w:rsid w:val="3E8133F1"/>
    <w:rsid w:val="3E8B7FB1"/>
    <w:rsid w:val="3E8E35FE"/>
    <w:rsid w:val="3E8E6CEF"/>
    <w:rsid w:val="3EAF1EF2"/>
    <w:rsid w:val="3EB47508"/>
    <w:rsid w:val="3EB56DDC"/>
    <w:rsid w:val="3EC11C25"/>
    <w:rsid w:val="3EC64DE3"/>
    <w:rsid w:val="3ECA0DF0"/>
    <w:rsid w:val="3ED25BE0"/>
    <w:rsid w:val="3EDA6843"/>
    <w:rsid w:val="3EE002FD"/>
    <w:rsid w:val="3EF773F5"/>
    <w:rsid w:val="3EFB5137"/>
    <w:rsid w:val="3F0062A9"/>
    <w:rsid w:val="3F023582"/>
    <w:rsid w:val="3F042A7D"/>
    <w:rsid w:val="3F1451BA"/>
    <w:rsid w:val="3F1B1E7A"/>
    <w:rsid w:val="3F1D32FF"/>
    <w:rsid w:val="3F207230"/>
    <w:rsid w:val="3F2A5A1C"/>
    <w:rsid w:val="3F381EE7"/>
    <w:rsid w:val="3F3B5533"/>
    <w:rsid w:val="3F3C4B15"/>
    <w:rsid w:val="3F3E4CF7"/>
    <w:rsid w:val="3F444CC0"/>
    <w:rsid w:val="3F49778D"/>
    <w:rsid w:val="3F5C4245"/>
    <w:rsid w:val="3F5E1222"/>
    <w:rsid w:val="3F6031EC"/>
    <w:rsid w:val="3F613468"/>
    <w:rsid w:val="3F8256A6"/>
    <w:rsid w:val="3F8769CB"/>
    <w:rsid w:val="3F8A4EE5"/>
    <w:rsid w:val="3F8E5FAB"/>
    <w:rsid w:val="3F963603"/>
    <w:rsid w:val="3FAA4467"/>
    <w:rsid w:val="3FB5178A"/>
    <w:rsid w:val="3FB6149D"/>
    <w:rsid w:val="3FB80F70"/>
    <w:rsid w:val="3FB94153"/>
    <w:rsid w:val="3FC26FB4"/>
    <w:rsid w:val="3FC714BD"/>
    <w:rsid w:val="3FCC6AD3"/>
    <w:rsid w:val="3FDC5962"/>
    <w:rsid w:val="3FE66A7A"/>
    <w:rsid w:val="3FF12096"/>
    <w:rsid w:val="3FF81676"/>
    <w:rsid w:val="40010DD8"/>
    <w:rsid w:val="4001251D"/>
    <w:rsid w:val="4007502C"/>
    <w:rsid w:val="40266A6C"/>
    <w:rsid w:val="403B265A"/>
    <w:rsid w:val="405A40DF"/>
    <w:rsid w:val="40697AC8"/>
    <w:rsid w:val="407E22C6"/>
    <w:rsid w:val="4093314D"/>
    <w:rsid w:val="40A72E30"/>
    <w:rsid w:val="40CC5C49"/>
    <w:rsid w:val="40CE4809"/>
    <w:rsid w:val="40E27B5C"/>
    <w:rsid w:val="40E50235"/>
    <w:rsid w:val="40F24318"/>
    <w:rsid w:val="40F45455"/>
    <w:rsid w:val="41175B2C"/>
    <w:rsid w:val="412A0D98"/>
    <w:rsid w:val="412A2C43"/>
    <w:rsid w:val="412C782A"/>
    <w:rsid w:val="41490391"/>
    <w:rsid w:val="41560B72"/>
    <w:rsid w:val="41596145"/>
    <w:rsid w:val="415A7E88"/>
    <w:rsid w:val="41605725"/>
    <w:rsid w:val="41676AB4"/>
    <w:rsid w:val="4168282C"/>
    <w:rsid w:val="416C5E78"/>
    <w:rsid w:val="41727207"/>
    <w:rsid w:val="417279D9"/>
    <w:rsid w:val="41A82C28"/>
    <w:rsid w:val="41AC30D3"/>
    <w:rsid w:val="41B07D66"/>
    <w:rsid w:val="41B17D2F"/>
    <w:rsid w:val="41B31CF9"/>
    <w:rsid w:val="41B836FB"/>
    <w:rsid w:val="41C67173"/>
    <w:rsid w:val="41C94A33"/>
    <w:rsid w:val="41CC4968"/>
    <w:rsid w:val="41CF4659"/>
    <w:rsid w:val="41D103D1"/>
    <w:rsid w:val="41D13F2D"/>
    <w:rsid w:val="41D60080"/>
    <w:rsid w:val="41DF581D"/>
    <w:rsid w:val="41E73751"/>
    <w:rsid w:val="41E974C9"/>
    <w:rsid w:val="41EF0857"/>
    <w:rsid w:val="41FF0A9A"/>
    <w:rsid w:val="420378EC"/>
    <w:rsid w:val="4205006C"/>
    <w:rsid w:val="420A5DAD"/>
    <w:rsid w:val="420D045F"/>
    <w:rsid w:val="421D53C4"/>
    <w:rsid w:val="422229DB"/>
    <w:rsid w:val="42227E76"/>
    <w:rsid w:val="42265DBD"/>
    <w:rsid w:val="422773A8"/>
    <w:rsid w:val="422B5D33"/>
    <w:rsid w:val="4235270E"/>
    <w:rsid w:val="42425F4A"/>
    <w:rsid w:val="42442951"/>
    <w:rsid w:val="42470693"/>
    <w:rsid w:val="425828A0"/>
    <w:rsid w:val="4258464E"/>
    <w:rsid w:val="42621029"/>
    <w:rsid w:val="42641245"/>
    <w:rsid w:val="426A5391"/>
    <w:rsid w:val="426C3C56"/>
    <w:rsid w:val="42723962"/>
    <w:rsid w:val="427D40B5"/>
    <w:rsid w:val="42821A1E"/>
    <w:rsid w:val="42840964"/>
    <w:rsid w:val="42A06211"/>
    <w:rsid w:val="42B2161E"/>
    <w:rsid w:val="42B775C7"/>
    <w:rsid w:val="42C972FA"/>
    <w:rsid w:val="42CC3ACA"/>
    <w:rsid w:val="42D33CD5"/>
    <w:rsid w:val="42D55C9F"/>
    <w:rsid w:val="42F500EF"/>
    <w:rsid w:val="42F75C15"/>
    <w:rsid w:val="430345BA"/>
    <w:rsid w:val="43034765"/>
    <w:rsid w:val="43036368"/>
    <w:rsid w:val="43085C34"/>
    <w:rsid w:val="430976F7"/>
    <w:rsid w:val="430A5773"/>
    <w:rsid w:val="430D5439"/>
    <w:rsid w:val="43120CA1"/>
    <w:rsid w:val="431542ED"/>
    <w:rsid w:val="431738D1"/>
    <w:rsid w:val="43345082"/>
    <w:rsid w:val="433B01F8"/>
    <w:rsid w:val="434C059B"/>
    <w:rsid w:val="43566DE0"/>
    <w:rsid w:val="435C3CCA"/>
    <w:rsid w:val="4360210D"/>
    <w:rsid w:val="436A63E7"/>
    <w:rsid w:val="436D4129"/>
    <w:rsid w:val="43805C0B"/>
    <w:rsid w:val="438D0328"/>
    <w:rsid w:val="438D20D6"/>
    <w:rsid w:val="4390267C"/>
    <w:rsid w:val="439958B0"/>
    <w:rsid w:val="439C7F94"/>
    <w:rsid w:val="43A01E09"/>
    <w:rsid w:val="43A3769A"/>
    <w:rsid w:val="43A632E3"/>
    <w:rsid w:val="43A7763B"/>
    <w:rsid w:val="43A86F10"/>
    <w:rsid w:val="43AA2C88"/>
    <w:rsid w:val="43B35FE0"/>
    <w:rsid w:val="43B80CE5"/>
    <w:rsid w:val="43BF66A2"/>
    <w:rsid w:val="43CC70A2"/>
    <w:rsid w:val="43D50BDC"/>
    <w:rsid w:val="43D917BF"/>
    <w:rsid w:val="43EE7018"/>
    <w:rsid w:val="43FE26A3"/>
    <w:rsid w:val="44094448"/>
    <w:rsid w:val="442109EF"/>
    <w:rsid w:val="4422183C"/>
    <w:rsid w:val="44223166"/>
    <w:rsid w:val="442C74B5"/>
    <w:rsid w:val="446823E2"/>
    <w:rsid w:val="446E0159"/>
    <w:rsid w:val="44731B62"/>
    <w:rsid w:val="447514E8"/>
    <w:rsid w:val="44764150"/>
    <w:rsid w:val="447A4D50"/>
    <w:rsid w:val="44B02520"/>
    <w:rsid w:val="44B44431"/>
    <w:rsid w:val="44BB5283"/>
    <w:rsid w:val="44BD4C3D"/>
    <w:rsid w:val="44BF3D26"/>
    <w:rsid w:val="44C164DB"/>
    <w:rsid w:val="44C43BE6"/>
    <w:rsid w:val="44C47D79"/>
    <w:rsid w:val="44C61F7F"/>
    <w:rsid w:val="44CC582A"/>
    <w:rsid w:val="44CE0BF8"/>
    <w:rsid w:val="44CE29A6"/>
    <w:rsid w:val="44D63F79"/>
    <w:rsid w:val="44E65F41"/>
    <w:rsid w:val="44EF30D8"/>
    <w:rsid w:val="44FB4C1E"/>
    <w:rsid w:val="44FF5255"/>
    <w:rsid w:val="45012D7B"/>
    <w:rsid w:val="4510256F"/>
    <w:rsid w:val="451A5933"/>
    <w:rsid w:val="452009D9"/>
    <w:rsid w:val="45440EBA"/>
    <w:rsid w:val="45494BDC"/>
    <w:rsid w:val="45554E75"/>
    <w:rsid w:val="4557299B"/>
    <w:rsid w:val="45765517"/>
    <w:rsid w:val="4577128F"/>
    <w:rsid w:val="45802E5E"/>
    <w:rsid w:val="458142E0"/>
    <w:rsid w:val="45872FD3"/>
    <w:rsid w:val="45941D53"/>
    <w:rsid w:val="459738F7"/>
    <w:rsid w:val="45A32084"/>
    <w:rsid w:val="45A656D1"/>
    <w:rsid w:val="45AA6E46"/>
    <w:rsid w:val="45B939C0"/>
    <w:rsid w:val="45E00BE3"/>
    <w:rsid w:val="45F53824"/>
    <w:rsid w:val="45F7547E"/>
    <w:rsid w:val="460C19D8"/>
    <w:rsid w:val="4614088C"/>
    <w:rsid w:val="46195EA3"/>
    <w:rsid w:val="461C23BF"/>
    <w:rsid w:val="462036D5"/>
    <w:rsid w:val="46284338"/>
    <w:rsid w:val="462907DC"/>
    <w:rsid w:val="46340F2E"/>
    <w:rsid w:val="464A59BB"/>
    <w:rsid w:val="464C03B4"/>
    <w:rsid w:val="464E6961"/>
    <w:rsid w:val="46535859"/>
    <w:rsid w:val="466859CC"/>
    <w:rsid w:val="466E61EE"/>
    <w:rsid w:val="46717A8D"/>
    <w:rsid w:val="467F03FC"/>
    <w:rsid w:val="46890824"/>
    <w:rsid w:val="468B655D"/>
    <w:rsid w:val="468E063F"/>
    <w:rsid w:val="46914611"/>
    <w:rsid w:val="469814BD"/>
    <w:rsid w:val="469B0FAE"/>
    <w:rsid w:val="46B13331"/>
    <w:rsid w:val="46B67B95"/>
    <w:rsid w:val="46C329DE"/>
    <w:rsid w:val="46C6427C"/>
    <w:rsid w:val="46C978C9"/>
    <w:rsid w:val="46CE2315"/>
    <w:rsid w:val="46D02A05"/>
    <w:rsid w:val="46D47988"/>
    <w:rsid w:val="46D52711"/>
    <w:rsid w:val="46D5626E"/>
    <w:rsid w:val="46D7600B"/>
    <w:rsid w:val="46D83FB0"/>
    <w:rsid w:val="46D96F07"/>
    <w:rsid w:val="46E26BDC"/>
    <w:rsid w:val="46EB3CE3"/>
    <w:rsid w:val="46FA2178"/>
    <w:rsid w:val="471975D2"/>
    <w:rsid w:val="471A73A9"/>
    <w:rsid w:val="47242D51"/>
    <w:rsid w:val="47264D1B"/>
    <w:rsid w:val="47290499"/>
    <w:rsid w:val="472B0583"/>
    <w:rsid w:val="472D42FC"/>
    <w:rsid w:val="47330D35"/>
    <w:rsid w:val="47552708"/>
    <w:rsid w:val="476C1E1F"/>
    <w:rsid w:val="476D637C"/>
    <w:rsid w:val="478A6810"/>
    <w:rsid w:val="478A7058"/>
    <w:rsid w:val="47953C4F"/>
    <w:rsid w:val="479B35B2"/>
    <w:rsid w:val="47A10894"/>
    <w:rsid w:val="47A926BB"/>
    <w:rsid w:val="47B9793D"/>
    <w:rsid w:val="47BE31A6"/>
    <w:rsid w:val="47D131B0"/>
    <w:rsid w:val="47D4159C"/>
    <w:rsid w:val="47D4552D"/>
    <w:rsid w:val="47DE55F6"/>
    <w:rsid w:val="47E10C42"/>
    <w:rsid w:val="47E26E94"/>
    <w:rsid w:val="47E70599"/>
    <w:rsid w:val="47E979D7"/>
    <w:rsid w:val="47EC52A3"/>
    <w:rsid w:val="47EC7D13"/>
    <w:rsid w:val="47ED75E7"/>
    <w:rsid w:val="47F73984"/>
    <w:rsid w:val="480F755D"/>
    <w:rsid w:val="481951DF"/>
    <w:rsid w:val="4828576B"/>
    <w:rsid w:val="48286871"/>
    <w:rsid w:val="482A083B"/>
    <w:rsid w:val="48360F8E"/>
    <w:rsid w:val="48382F58"/>
    <w:rsid w:val="48390A7E"/>
    <w:rsid w:val="48561630"/>
    <w:rsid w:val="486E697A"/>
    <w:rsid w:val="486F624E"/>
    <w:rsid w:val="48801D95"/>
    <w:rsid w:val="48914416"/>
    <w:rsid w:val="48965ED0"/>
    <w:rsid w:val="489A2EC0"/>
    <w:rsid w:val="489D100D"/>
    <w:rsid w:val="48A0584F"/>
    <w:rsid w:val="48AA6DEB"/>
    <w:rsid w:val="48AE6D76"/>
    <w:rsid w:val="48B60321"/>
    <w:rsid w:val="48B85E47"/>
    <w:rsid w:val="48BB1493"/>
    <w:rsid w:val="48BF5427"/>
    <w:rsid w:val="48C5661E"/>
    <w:rsid w:val="48D013E2"/>
    <w:rsid w:val="48DB70E8"/>
    <w:rsid w:val="490A0832"/>
    <w:rsid w:val="491237A9"/>
    <w:rsid w:val="494D2A33"/>
    <w:rsid w:val="495E69EE"/>
    <w:rsid w:val="495F4514"/>
    <w:rsid w:val="4968793D"/>
    <w:rsid w:val="497C50C6"/>
    <w:rsid w:val="4984183F"/>
    <w:rsid w:val="498D513B"/>
    <w:rsid w:val="499E503D"/>
    <w:rsid w:val="49A62AA1"/>
    <w:rsid w:val="49A83730"/>
    <w:rsid w:val="49B14499"/>
    <w:rsid w:val="49B1772D"/>
    <w:rsid w:val="49C16F7D"/>
    <w:rsid w:val="49C23456"/>
    <w:rsid w:val="49D22310"/>
    <w:rsid w:val="49D247B5"/>
    <w:rsid w:val="49E4596F"/>
    <w:rsid w:val="49EA0BB5"/>
    <w:rsid w:val="49F11934"/>
    <w:rsid w:val="49F32D8A"/>
    <w:rsid w:val="49F42EAF"/>
    <w:rsid w:val="49F54294"/>
    <w:rsid w:val="49F5678B"/>
    <w:rsid w:val="49F856F4"/>
    <w:rsid w:val="49FC64D8"/>
    <w:rsid w:val="4A0D3F70"/>
    <w:rsid w:val="4A176B9D"/>
    <w:rsid w:val="4A1B668D"/>
    <w:rsid w:val="4A3915B9"/>
    <w:rsid w:val="4A396B13"/>
    <w:rsid w:val="4A404346"/>
    <w:rsid w:val="4A541B9F"/>
    <w:rsid w:val="4A604B4B"/>
    <w:rsid w:val="4A673681"/>
    <w:rsid w:val="4A6E2CCE"/>
    <w:rsid w:val="4A954692"/>
    <w:rsid w:val="4A962D00"/>
    <w:rsid w:val="4A9C6EA7"/>
    <w:rsid w:val="4AAC5537"/>
    <w:rsid w:val="4AB44DF5"/>
    <w:rsid w:val="4ABA40F8"/>
    <w:rsid w:val="4ABD5996"/>
    <w:rsid w:val="4ACA5FAE"/>
    <w:rsid w:val="4ACC5BD9"/>
    <w:rsid w:val="4ADA6548"/>
    <w:rsid w:val="4AE922E8"/>
    <w:rsid w:val="4AF84395"/>
    <w:rsid w:val="4B022328"/>
    <w:rsid w:val="4B047121"/>
    <w:rsid w:val="4B113B53"/>
    <w:rsid w:val="4B1D6435"/>
    <w:rsid w:val="4B231661"/>
    <w:rsid w:val="4B2837E2"/>
    <w:rsid w:val="4B2C7EBF"/>
    <w:rsid w:val="4B361048"/>
    <w:rsid w:val="4B3F45FD"/>
    <w:rsid w:val="4B410375"/>
    <w:rsid w:val="4B46142B"/>
    <w:rsid w:val="4B510005"/>
    <w:rsid w:val="4B5A4F93"/>
    <w:rsid w:val="4B63653E"/>
    <w:rsid w:val="4B644FB6"/>
    <w:rsid w:val="4B6A3E1C"/>
    <w:rsid w:val="4B893FBD"/>
    <w:rsid w:val="4B9009B5"/>
    <w:rsid w:val="4B9E1376"/>
    <w:rsid w:val="4BA24E96"/>
    <w:rsid w:val="4BA46F79"/>
    <w:rsid w:val="4BA62F67"/>
    <w:rsid w:val="4BA754D9"/>
    <w:rsid w:val="4BAF77C2"/>
    <w:rsid w:val="4BCD1C09"/>
    <w:rsid w:val="4BCD4DA7"/>
    <w:rsid w:val="4BD308A6"/>
    <w:rsid w:val="4BD50ABE"/>
    <w:rsid w:val="4BE64037"/>
    <w:rsid w:val="4BF06457"/>
    <w:rsid w:val="4BF41C95"/>
    <w:rsid w:val="4BF52F0E"/>
    <w:rsid w:val="4C037123"/>
    <w:rsid w:val="4C041522"/>
    <w:rsid w:val="4C094875"/>
    <w:rsid w:val="4C0C20D5"/>
    <w:rsid w:val="4C101AF6"/>
    <w:rsid w:val="4C2004D9"/>
    <w:rsid w:val="4C263C8D"/>
    <w:rsid w:val="4C2757BD"/>
    <w:rsid w:val="4C2A705C"/>
    <w:rsid w:val="4C3457E4"/>
    <w:rsid w:val="4C416153"/>
    <w:rsid w:val="4C516396"/>
    <w:rsid w:val="4C537A33"/>
    <w:rsid w:val="4C5639AD"/>
    <w:rsid w:val="4C651E42"/>
    <w:rsid w:val="4C6A7458"/>
    <w:rsid w:val="4C800A2A"/>
    <w:rsid w:val="4C83338C"/>
    <w:rsid w:val="4C8E75EA"/>
    <w:rsid w:val="4C921410"/>
    <w:rsid w:val="4C990696"/>
    <w:rsid w:val="4C9A69DF"/>
    <w:rsid w:val="4CAA1F4A"/>
    <w:rsid w:val="4CAA6A9E"/>
    <w:rsid w:val="4CB47BA0"/>
    <w:rsid w:val="4CBE1552"/>
    <w:rsid w:val="4CD86AB8"/>
    <w:rsid w:val="4CEA2347"/>
    <w:rsid w:val="4CF81780"/>
    <w:rsid w:val="4D13189E"/>
    <w:rsid w:val="4D162733"/>
    <w:rsid w:val="4D176D13"/>
    <w:rsid w:val="4D1F6494"/>
    <w:rsid w:val="4D2515D1"/>
    <w:rsid w:val="4D2C273C"/>
    <w:rsid w:val="4D2E492A"/>
    <w:rsid w:val="4D302450"/>
    <w:rsid w:val="4D471547"/>
    <w:rsid w:val="4D616AAD"/>
    <w:rsid w:val="4D633976"/>
    <w:rsid w:val="4D663ABA"/>
    <w:rsid w:val="4D746E8E"/>
    <w:rsid w:val="4D7F6F33"/>
    <w:rsid w:val="4D902EEE"/>
    <w:rsid w:val="4D9B47A5"/>
    <w:rsid w:val="4D9C3DA9"/>
    <w:rsid w:val="4D9D79DA"/>
    <w:rsid w:val="4D9E2555"/>
    <w:rsid w:val="4DA42E3E"/>
    <w:rsid w:val="4DA50AAE"/>
    <w:rsid w:val="4DA967A9"/>
    <w:rsid w:val="4DA96C35"/>
    <w:rsid w:val="4DAB6983"/>
    <w:rsid w:val="4DAD3AA0"/>
    <w:rsid w:val="4DD94895"/>
    <w:rsid w:val="4DDA685F"/>
    <w:rsid w:val="4DE04FD5"/>
    <w:rsid w:val="4DE82D2A"/>
    <w:rsid w:val="4DEB2042"/>
    <w:rsid w:val="4DEB6377"/>
    <w:rsid w:val="4DF553A2"/>
    <w:rsid w:val="4DF80A94"/>
    <w:rsid w:val="4E035DB6"/>
    <w:rsid w:val="4E0B6A19"/>
    <w:rsid w:val="4E262178"/>
    <w:rsid w:val="4E263853"/>
    <w:rsid w:val="4E320449"/>
    <w:rsid w:val="4E5403C0"/>
    <w:rsid w:val="4E612ADD"/>
    <w:rsid w:val="4E6525CD"/>
    <w:rsid w:val="4E6F6FA8"/>
    <w:rsid w:val="4E745DED"/>
    <w:rsid w:val="4E7740AE"/>
    <w:rsid w:val="4E807407"/>
    <w:rsid w:val="4E89266D"/>
    <w:rsid w:val="4E946A0E"/>
    <w:rsid w:val="4E9C46B3"/>
    <w:rsid w:val="4EA11D53"/>
    <w:rsid w:val="4EA4662C"/>
    <w:rsid w:val="4EAA6232"/>
    <w:rsid w:val="4EAD7EA5"/>
    <w:rsid w:val="4EBE3A8B"/>
    <w:rsid w:val="4EC07803"/>
    <w:rsid w:val="4ECF3EEA"/>
    <w:rsid w:val="4ED80FF1"/>
    <w:rsid w:val="4EFD074B"/>
    <w:rsid w:val="4F053054"/>
    <w:rsid w:val="4F063322"/>
    <w:rsid w:val="4F3F4BCC"/>
    <w:rsid w:val="4F4B6A30"/>
    <w:rsid w:val="4F547306"/>
    <w:rsid w:val="4F587A3C"/>
    <w:rsid w:val="4F6A776F"/>
    <w:rsid w:val="4F740D2D"/>
    <w:rsid w:val="4F756840"/>
    <w:rsid w:val="4F8C0C60"/>
    <w:rsid w:val="4F8E345D"/>
    <w:rsid w:val="4F916B8C"/>
    <w:rsid w:val="4F982A3B"/>
    <w:rsid w:val="4F9F2460"/>
    <w:rsid w:val="4FA62E9D"/>
    <w:rsid w:val="4FB7080A"/>
    <w:rsid w:val="4FC9594E"/>
    <w:rsid w:val="4FD824CD"/>
    <w:rsid w:val="4FEB6B02"/>
    <w:rsid w:val="4FF3009A"/>
    <w:rsid w:val="4FFD05E3"/>
    <w:rsid w:val="5006393C"/>
    <w:rsid w:val="501C3072"/>
    <w:rsid w:val="502A587C"/>
    <w:rsid w:val="5043693E"/>
    <w:rsid w:val="504D3319"/>
    <w:rsid w:val="50516319"/>
    <w:rsid w:val="5058303E"/>
    <w:rsid w:val="505E72D4"/>
    <w:rsid w:val="5067643A"/>
    <w:rsid w:val="507206D3"/>
    <w:rsid w:val="50724B2D"/>
    <w:rsid w:val="507E7976"/>
    <w:rsid w:val="508F69AD"/>
    <w:rsid w:val="50942CE6"/>
    <w:rsid w:val="509623B7"/>
    <w:rsid w:val="50C17863"/>
    <w:rsid w:val="50C84FE7"/>
    <w:rsid w:val="50CD4459"/>
    <w:rsid w:val="50CF01D2"/>
    <w:rsid w:val="50D17AA6"/>
    <w:rsid w:val="50D47596"/>
    <w:rsid w:val="50DB26D2"/>
    <w:rsid w:val="50DD469C"/>
    <w:rsid w:val="50E66D19"/>
    <w:rsid w:val="50E707FE"/>
    <w:rsid w:val="50FB11BA"/>
    <w:rsid w:val="50FE1712"/>
    <w:rsid w:val="510445B8"/>
    <w:rsid w:val="510F05CE"/>
    <w:rsid w:val="511300BE"/>
    <w:rsid w:val="511A6D4F"/>
    <w:rsid w:val="51261E08"/>
    <w:rsid w:val="512D4168"/>
    <w:rsid w:val="512E6014"/>
    <w:rsid w:val="5139331D"/>
    <w:rsid w:val="513B4C0B"/>
    <w:rsid w:val="513F5357"/>
    <w:rsid w:val="514209A3"/>
    <w:rsid w:val="514839CF"/>
    <w:rsid w:val="51501312"/>
    <w:rsid w:val="51545631"/>
    <w:rsid w:val="51624BA2"/>
    <w:rsid w:val="516528E4"/>
    <w:rsid w:val="5177521D"/>
    <w:rsid w:val="518C60C3"/>
    <w:rsid w:val="518E46F1"/>
    <w:rsid w:val="519E41DC"/>
    <w:rsid w:val="51A21442"/>
    <w:rsid w:val="51B66C9C"/>
    <w:rsid w:val="51C63E5A"/>
    <w:rsid w:val="51D02DBD"/>
    <w:rsid w:val="51DB4692"/>
    <w:rsid w:val="51E27A91"/>
    <w:rsid w:val="51EB55AA"/>
    <w:rsid w:val="51EE28D9"/>
    <w:rsid w:val="51F779E0"/>
    <w:rsid w:val="51FA127E"/>
    <w:rsid w:val="520048DD"/>
    <w:rsid w:val="520377C0"/>
    <w:rsid w:val="52046E9E"/>
    <w:rsid w:val="52067C23"/>
    <w:rsid w:val="52120376"/>
    <w:rsid w:val="52196DE7"/>
    <w:rsid w:val="521C4BC8"/>
    <w:rsid w:val="522B58DB"/>
    <w:rsid w:val="523C1897"/>
    <w:rsid w:val="524727B3"/>
    <w:rsid w:val="524B3DA8"/>
    <w:rsid w:val="525210BA"/>
    <w:rsid w:val="52594EA1"/>
    <w:rsid w:val="52595C35"/>
    <w:rsid w:val="52614E59"/>
    <w:rsid w:val="5273460B"/>
    <w:rsid w:val="52770B21"/>
    <w:rsid w:val="52831274"/>
    <w:rsid w:val="52860D64"/>
    <w:rsid w:val="52972F71"/>
    <w:rsid w:val="52AB30AC"/>
    <w:rsid w:val="52AE3D91"/>
    <w:rsid w:val="52B458D1"/>
    <w:rsid w:val="52B633F7"/>
    <w:rsid w:val="52DE294E"/>
    <w:rsid w:val="52E1369D"/>
    <w:rsid w:val="52E340AB"/>
    <w:rsid w:val="52F0205F"/>
    <w:rsid w:val="53063469"/>
    <w:rsid w:val="531158A4"/>
    <w:rsid w:val="5321378B"/>
    <w:rsid w:val="532540D9"/>
    <w:rsid w:val="53385364"/>
    <w:rsid w:val="533F6118"/>
    <w:rsid w:val="5349426B"/>
    <w:rsid w:val="535E2C1C"/>
    <w:rsid w:val="53607807"/>
    <w:rsid w:val="53642E53"/>
    <w:rsid w:val="536C1D08"/>
    <w:rsid w:val="53734A39"/>
    <w:rsid w:val="537B63EF"/>
    <w:rsid w:val="537F5EDF"/>
    <w:rsid w:val="53896872"/>
    <w:rsid w:val="538F6FD7"/>
    <w:rsid w:val="53933738"/>
    <w:rsid w:val="53964FD7"/>
    <w:rsid w:val="53B37558"/>
    <w:rsid w:val="53BF452D"/>
    <w:rsid w:val="53C21AD4"/>
    <w:rsid w:val="53DD0E57"/>
    <w:rsid w:val="540006A2"/>
    <w:rsid w:val="540661B8"/>
    <w:rsid w:val="54166F06"/>
    <w:rsid w:val="54212AF2"/>
    <w:rsid w:val="542E520F"/>
    <w:rsid w:val="54300F87"/>
    <w:rsid w:val="54422A68"/>
    <w:rsid w:val="54461B17"/>
    <w:rsid w:val="54482775"/>
    <w:rsid w:val="544D43F1"/>
    <w:rsid w:val="545C1D7C"/>
    <w:rsid w:val="545E5EFC"/>
    <w:rsid w:val="546E5F69"/>
    <w:rsid w:val="54717BEB"/>
    <w:rsid w:val="54734ECE"/>
    <w:rsid w:val="54751090"/>
    <w:rsid w:val="548E2D5C"/>
    <w:rsid w:val="549E4143"/>
    <w:rsid w:val="549F610D"/>
    <w:rsid w:val="54A6634B"/>
    <w:rsid w:val="54AA6F8B"/>
    <w:rsid w:val="54AF0D86"/>
    <w:rsid w:val="54B60346"/>
    <w:rsid w:val="54B84BBE"/>
    <w:rsid w:val="54BB5FC1"/>
    <w:rsid w:val="54C6119E"/>
    <w:rsid w:val="54D11FB4"/>
    <w:rsid w:val="54D4497F"/>
    <w:rsid w:val="54D74876"/>
    <w:rsid w:val="54D975B7"/>
    <w:rsid w:val="54E94597"/>
    <w:rsid w:val="54EB3100"/>
    <w:rsid w:val="54EB4EAE"/>
    <w:rsid w:val="54F02F3B"/>
    <w:rsid w:val="54FC70BB"/>
    <w:rsid w:val="550D4AB0"/>
    <w:rsid w:val="5513629C"/>
    <w:rsid w:val="551C150B"/>
    <w:rsid w:val="552C7D04"/>
    <w:rsid w:val="552E2FE9"/>
    <w:rsid w:val="55342CF9"/>
    <w:rsid w:val="5549119A"/>
    <w:rsid w:val="555869E7"/>
    <w:rsid w:val="555E38D2"/>
    <w:rsid w:val="556709D9"/>
    <w:rsid w:val="556D1D67"/>
    <w:rsid w:val="55774994"/>
    <w:rsid w:val="558727F1"/>
    <w:rsid w:val="558A55C1"/>
    <w:rsid w:val="559E0172"/>
    <w:rsid w:val="55A83666"/>
    <w:rsid w:val="55B87486"/>
    <w:rsid w:val="55C76FE7"/>
    <w:rsid w:val="55D3606E"/>
    <w:rsid w:val="55DA1393"/>
    <w:rsid w:val="55E93AE3"/>
    <w:rsid w:val="55F54236"/>
    <w:rsid w:val="55FD758F"/>
    <w:rsid w:val="55FF3F8F"/>
    <w:rsid w:val="560E653E"/>
    <w:rsid w:val="56293EE0"/>
    <w:rsid w:val="562A6730"/>
    <w:rsid w:val="562C39D0"/>
    <w:rsid w:val="562C577E"/>
    <w:rsid w:val="56436C26"/>
    <w:rsid w:val="56544185"/>
    <w:rsid w:val="56551179"/>
    <w:rsid w:val="56552C9D"/>
    <w:rsid w:val="56552F27"/>
    <w:rsid w:val="56646BDD"/>
    <w:rsid w:val="566A2E0C"/>
    <w:rsid w:val="56933A4F"/>
    <w:rsid w:val="5695715D"/>
    <w:rsid w:val="56A4202B"/>
    <w:rsid w:val="56A65531"/>
    <w:rsid w:val="56B31E0C"/>
    <w:rsid w:val="56BD5F31"/>
    <w:rsid w:val="56C1236A"/>
    <w:rsid w:val="56C306F5"/>
    <w:rsid w:val="56CD0D0F"/>
    <w:rsid w:val="56D55E16"/>
    <w:rsid w:val="56D77DE0"/>
    <w:rsid w:val="56E8285C"/>
    <w:rsid w:val="56E858D8"/>
    <w:rsid w:val="56F664B8"/>
    <w:rsid w:val="56FB2259"/>
    <w:rsid w:val="56FE40CA"/>
    <w:rsid w:val="570044FC"/>
    <w:rsid w:val="5701534C"/>
    <w:rsid w:val="57032983"/>
    <w:rsid w:val="57235A7D"/>
    <w:rsid w:val="57272B15"/>
    <w:rsid w:val="572926C4"/>
    <w:rsid w:val="57376AD1"/>
    <w:rsid w:val="574B6FEF"/>
    <w:rsid w:val="575A4468"/>
    <w:rsid w:val="577C33BF"/>
    <w:rsid w:val="578B46AE"/>
    <w:rsid w:val="578D11A5"/>
    <w:rsid w:val="578D66F1"/>
    <w:rsid w:val="578F06BB"/>
    <w:rsid w:val="57947A7F"/>
    <w:rsid w:val="579647A9"/>
    <w:rsid w:val="57A23D4A"/>
    <w:rsid w:val="57A23F4A"/>
    <w:rsid w:val="57AF24E5"/>
    <w:rsid w:val="57AF2B0B"/>
    <w:rsid w:val="57B2149E"/>
    <w:rsid w:val="57B34E87"/>
    <w:rsid w:val="57BC2B32"/>
    <w:rsid w:val="57C55E8A"/>
    <w:rsid w:val="57E02CC4"/>
    <w:rsid w:val="57E207EA"/>
    <w:rsid w:val="57F352A3"/>
    <w:rsid w:val="57F96060"/>
    <w:rsid w:val="58020E8D"/>
    <w:rsid w:val="580C1D0B"/>
    <w:rsid w:val="581035A9"/>
    <w:rsid w:val="581C460D"/>
    <w:rsid w:val="581E18E0"/>
    <w:rsid w:val="581F1A3E"/>
    <w:rsid w:val="581F37ED"/>
    <w:rsid w:val="58256929"/>
    <w:rsid w:val="582726A1"/>
    <w:rsid w:val="58315236"/>
    <w:rsid w:val="583F3448"/>
    <w:rsid w:val="584119B5"/>
    <w:rsid w:val="58416076"/>
    <w:rsid w:val="58443253"/>
    <w:rsid w:val="5846521D"/>
    <w:rsid w:val="584D3CBE"/>
    <w:rsid w:val="58537935"/>
    <w:rsid w:val="585A2A77"/>
    <w:rsid w:val="585F008D"/>
    <w:rsid w:val="58790502"/>
    <w:rsid w:val="587A6C75"/>
    <w:rsid w:val="58833EA4"/>
    <w:rsid w:val="58896EB8"/>
    <w:rsid w:val="589A7317"/>
    <w:rsid w:val="58AC2BA6"/>
    <w:rsid w:val="58B31C4F"/>
    <w:rsid w:val="58B47348"/>
    <w:rsid w:val="58C476BB"/>
    <w:rsid w:val="58CD4FF7"/>
    <w:rsid w:val="58E42340"/>
    <w:rsid w:val="58E862D4"/>
    <w:rsid w:val="58F037C1"/>
    <w:rsid w:val="58FA6008"/>
    <w:rsid w:val="5904389E"/>
    <w:rsid w:val="59086F9C"/>
    <w:rsid w:val="590E560F"/>
    <w:rsid w:val="591744C4"/>
    <w:rsid w:val="59472D9D"/>
    <w:rsid w:val="595B6AA6"/>
    <w:rsid w:val="595E3648"/>
    <w:rsid w:val="59611BE3"/>
    <w:rsid w:val="59633BAD"/>
    <w:rsid w:val="59641B83"/>
    <w:rsid w:val="596811C3"/>
    <w:rsid w:val="597E6ADF"/>
    <w:rsid w:val="597F4BE8"/>
    <w:rsid w:val="5986200E"/>
    <w:rsid w:val="599B50F5"/>
    <w:rsid w:val="599C0E6D"/>
    <w:rsid w:val="59A26483"/>
    <w:rsid w:val="59A65AA5"/>
    <w:rsid w:val="59AD307A"/>
    <w:rsid w:val="59B8036E"/>
    <w:rsid w:val="59BB4918"/>
    <w:rsid w:val="59C12681"/>
    <w:rsid w:val="59CA7788"/>
    <w:rsid w:val="59D10B16"/>
    <w:rsid w:val="59D2663D"/>
    <w:rsid w:val="59D57AB1"/>
    <w:rsid w:val="59D7792D"/>
    <w:rsid w:val="59E9055B"/>
    <w:rsid w:val="59EC3952"/>
    <w:rsid w:val="59ED232E"/>
    <w:rsid w:val="59F4424D"/>
    <w:rsid w:val="5A0031AA"/>
    <w:rsid w:val="5A0C6AF0"/>
    <w:rsid w:val="5A0D6FB1"/>
    <w:rsid w:val="5A2C5B56"/>
    <w:rsid w:val="5A2F3A8F"/>
    <w:rsid w:val="5A427C66"/>
    <w:rsid w:val="5A472B02"/>
    <w:rsid w:val="5A4C4641"/>
    <w:rsid w:val="5A5405E0"/>
    <w:rsid w:val="5A736072"/>
    <w:rsid w:val="5A755853"/>
    <w:rsid w:val="5A7A11AE"/>
    <w:rsid w:val="5A7F0572"/>
    <w:rsid w:val="5A856538"/>
    <w:rsid w:val="5A91720B"/>
    <w:rsid w:val="5A962550"/>
    <w:rsid w:val="5A9A3049"/>
    <w:rsid w:val="5AA42C7D"/>
    <w:rsid w:val="5AAF791F"/>
    <w:rsid w:val="5ABD553F"/>
    <w:rsid w:val="5AC41FC0"/>
    <w:rsid w:val="5AE36447"/>
    <w:rsid w:val="5AF460AC"/>
    <w:rsid w:val="5AF727FF"/>
    <w:rsid w:val="5AFF3461"/>
    <w:rsid w:val="5B0047F3"/>
    <w:rsid w:val="5B043B95"/>
    <w:rsid w:val="5B12588A"/>
    <w:rsid w:val="5B163AB7"/>
    <w:rsid w:val="5B394BC5"/>
    <w:rsid w:val="5B3B50F4"/>
    <w:rsid w:val="5B484147"/>
    <w:rsid w:val="5B514BC9"/>
    <w:rsid w:val="5B581295"/>
    <w:rsid w:val="5B661732"/>
    <w:rsid w:val="5B6B4F9B"/>
    <w:rsid w:val="5B7756EE"/>
    <w:rsid w:val="5B834092"/>
    <w:rsid w:val="5B920779"/>
    <w:rsid w:val="5B991686"/>
    <w:rsid w:val="5B9E711E"/>
    <w:rsid w:val="5BA2213E"/>
    <w:rsid w:val="5BB95D06"/>
    <w:rsid w:val="5BBD6484"/>
    <w:rsid w:val="5BD7504E"/>
    <w:rsid w:val="5BDF0C0E"/>
    <w:rsid w:val="5BE014E5"/>
    <w:rsid w:val="5BE74621"/>
    <w:rsid w:val="5BF154A0"/>
    <w:rsid w:val="5BF53223"/>
    <w:rsid w:val="5BFD3E45"/>
    <w:rsid w:val="5C040243"/>
    <w:rsid w:val="5C05401D"/>
    <w:rsid w:val="5C1F025F"/>
    <w:rsid w:val="5C602626"/>
    <w:rsid w:val="5C6B6F73"/>
    <w:rsid w:val="5C7672C4"/>
    <w:rsid w:val="5C855BE8"/>
    <w:rsid w:val="5C93062A"/>
    <w:rsid w:val="5CB309A7"/>
    <w:rsid w:val="5CB564CD"/>
    <w:rsid w:val="5CBD1590"/>
    <w:rsid w:val="5CC824B9"/>
    <w:rsid w:val="5CD163D5"/>
    <w:rsid w:val="5CD815FD"/>
    <w:rsid w:val="5CDF354A"/>
    <w:rsid w:val="5CDF3C3E"/>
    <w:rsid w:val="5CEB6393"/>
    <w:rsid w:val="5CED210B"/>
    <w:rsid w:val="5CEE19DF"/>
    <w:rsid w:val="5CF8285E"/>
    <w:rsid w:val="5CFA287B"/>
    <w:rsid w:val="5CFF12AD"/>
    <w:rsid w:val="5D096819"/>
    <w:rsid w:val="5D0E2082"/>
    <w:rsid w:val="5D123920"/>
    <w:rsid w:val="5D1458EA"/>
    <w:rsid w:val="5D1A6C78"/>
    <w:rsid w:val="5D26201B"/>
    <w:rsid w:val="5D267EA7"/>
    <w:rsid w:val="5D30024A"/>
    <w:rsid w:val="5D430140"/>
    <w:rsid w:val="5D437D34"/>
    <w:rsid w:val="5D457C36"/>
    <w:rsid w:val="5D46181B"/>
    <w:rsid w:val="5D5168D0"/>
    <w:rsid w:val="5D5B03CE"/>
    <w:rsid w:val="5D6323CD"/>
    <w:rsid w:val="5D6B4F29"/>
    <w:rsid w:val="5D777C27"/>
    <w:rsid w:val="5DB37135"/>
    <w:rsid w:val="5DB40641"/>
    <w:rsid w:val="5DB76275"/>
    <w:rsid w:val="5DC7295C"/>
    <w:rsid w:val="5DE80934"/>
    <w:rsid w:val="5DF66D9E"/>
    <w:rsid w:val="5E007C1C"/>
    <w:rsid w:val="5E135BA1"/>
    <w:rsid w:val="5E1C23F8"/>
    <w:rsid w:val="5E287173"/>
    <w:rsid w:val="5E331DA0"/>
    <w:rsid w:val="5E371164"/>
    <w:rsid w:val="5E3873B6"/>
    <w:rsid w:val="5E39661B"/>
    <w:rsid w:val="5E430078"/>
    <w:rsid w:val="5E4A0E97"/>
    <w:rsid w:val="5E59732C"/>
    <w:rsid w:val="5E5D4F0E"/>
    <w:rsid w:val="5E651A81"/>
    <w:rsid w:val="5E652ECA"/>
    <w:rsid w:val="5E7423B8"/>
    <w:rsid w:val="5E8F0FA0"/>
    <w:rsid w:val="5EB17168"/>
    <w:rsid w:val="5EB6477F"/>
    <w:rsid w:val="5ED14F41"/>
    <w:rsid w:val="5EF14F1B"/>
    <w:rsid w:val="5EFC633D"/>
    <w:rsid w:val="5F036312"/>
    <w:rsid w:val="5F0B2725"/>
    <w:rsid w:val="5F1C46E3"/>
    <w:rsid w:val="5F1D47FE"/>
    <w:rsid w:val="5F217E4A"/>
    <w:rsid w:val="5F22044C"/>
    <w:rsid w:val="5F36141C"/>
    <w:rsid w:val="5F52333F"/>
    <w:rsid w:val="5F574DB8"/>
    <w:rsid w:val="5F6441DB"/>
    <w:rsid w:val="5F73441E"/>
    <w:rsid w:val="5F8403D9"/>
    <w:rsid w:val="5F9024FF"/>
    <w:rsid w:val="5FA016B7"/>
    <w:rsid w:val="5FA95370"/>
    <w:rsid w:val="5FB07420"/>
    <w:rsid w:val="5FB962D5"/>
    <w:rsid w:val="5FBC010A"/>
    <w:rsid w:val="5FCD3B2E"/>
    <w:rsid w:val="5FCF5AF8"/>
    <w:rsid w:val="5FD650D9"/>
    <w:rsid w:val="60116111"/>
    <w:rsid w:val="60126860"/>
    <w:rsid w:val="6013740F"/>
    <w:rsid w:val="6017749F"/>
    <w:rsid w:val="60245681"/>
    <w:rsid w:val="602D6CC3"/>
    <w:rsid w:val="603C0CB4"/>
    <w:rsid w:val="603E2039"/>
    <w:rsid w:val="60415813"/>
    <w:rsid w:val="604C0EF7"/>
    <w:rsid w:val="6055383F"/>
    <w:rsid w:val="60636240"/>
    <w:rsid w:val="607466A0"/>
    <w:rsid w:val="607670AA"/>
    <w:rsid w:val="60805044"/>
    <w:rsid w:val="6089214B"/>
    <w:rsid w:val="609B00D0"/>
    <w:rsid w:val="609C00D4"/>
    <w:rsid w:val="60A96E90"/>
    <w:rsid w:val="60C2565D"/>
    <w:rsid w:val="60D37AE4"/>
    <w:rsid w:val="60EC4488"/>
    <w:rsid w:val="60F021CA"/>
    <w:rsid w:val="60F4333C"/>
    <w:rsid w:val="60FB291D"/>
    <w:rsid w:val="60FF41BB"/>
    <w:rsid w:val="610C0686"/>
    <w:rsid w:val="610C68D8"/>
    <w:rsid w:val="611C2FBF"/>
    <w:rsid w:val="612260FC"/>
    <w:rsid w:val="61296C26"/>
    <w:rsid w:val="61306A6A"/>
    <w:rsid w:val="613D29CD"/>
    <w:rsid w:val="61502C69"/>
    <w:rsid w:val="615564D1"/>
    <w:rsid w:val="61587D6F"/>
    <w:rsid w:val="617038A0"/>
    <w:rsid w:val="61730297"/>
    <w:rsid w:val="6175447D"/>
    <w:rsid w:val="61813F63"/>
    <w:rsid w:val="619C131E"/>
    <w:rsid w:val="61B06D5C"/>
    <w:rsid w:val="61B2122D"/>
    <w:rsid w:val="61B821F1"/>
    <w:rsid w:val="61BA27D8"/>
    <w:rsid w:val="61C40F61"/>
    <w:rsid w:val="61D45648"/>
    <w:rsid w:val="61EB2991"/>
    <w:rsid w:val="61EB5299"/>
    <w:rsid w:val="6200643D"/>
    <w:rsid w:val="620B0957"/>
    <w:rsid w:val="620C5D6F"/>
    <w:rsid w:val="620D3A12"/>
    <w:rsid w:val="620F042E"/>
    <w:rsid w:val="621168AD"/>
    <w:rsid w:val="62157A0E"/>
    <w:rsid w:val="62210FB7"/>
    <w:rsid w:val="622163B3"/>
    <w:rsid w:val="62261C1B"/>
    <w:rsid w:val="622979B5"/>
    <w:rsid w:val="6230510D"/>
    <w:rsid w:val="62363CB5"/>
    <w:rsid w:val="62397BA1"/>
    <w:rsid w:val="623A1223"/>
    <w:rsid w:val="625247BE"/>
    <w:rsid w:val="6263077A"/>
    <w:rsid w:val="62686051"/>
    <w:rsid w:val="626A74D0"/>
    <w:rsid w:val="626B507C"/>
    <w:rsid w:val="626B762E"/>
    <w:rsid w:val="626C55E8"/>
    <w:rsid w:val="6283706E"/>
    <w:rsid w:val="62842E61"/>
    <w:rsid w:val="628A21AA"/>
    <w:rsid w:val="62A01AD4"/>
    <w:rsid w:val="62AC3386"/>
    <w:rsid w:val="62AF1C11"/>
    <w:rsid w:val="62B45479"/>
    <w:rsid w:val="62C765F0"/>
    <w:rsid w:val="62CF7BBD"/>
    <w:rsid w:val="62FB30A8"/>
    <w:rsid w:val="63040F5C"/>
    <w:rsid w:val="63100901"/>
    <w:rsid w:val="631506D7"/>
    <w:rsid w:val="63162132"/>
    <w:rsid w:val="631A352E"/>
    <w:rsid w:val="631A52DC"/>
    <w:rsid w:val="631D1BDF"/>
    <w:rsid w:val="632E2B36"/>
    <w:rsid w:val="633A597E"/>
    <w:rsid w:val="63414F5F"/>
    <w:rsid w:val="63471E49"/>
    <w:rsid w:val="634F559C"/>
    <w:rsid w:val="63521E02"/>
    <w:rsid w:val="63534C92"/>
    <w:rsid w:val="635F3637"/>
    <w:rsid w:val="637025E6"/>
    <w:rsid w:val="637D55DB"/>
    <w:rsid w:val="63811298"/>
    <w:rsid w:val="63846BFA"/>
    <w:rsid w:val="638B61DA"/>
    <w:rsid w:val="63A92B04"/>
    <w:rsid w:val="63A943A4"/>
    <w:rsid w:val="63AE3C76"/>
    <w:rsid w:val="63B82D47"/>
    <w:rsid w:val="63C33BC6"/>
    <w:rsid w:val="63C45248"/>
    <w:rsid w:val="63C464CF"/>
    <w:rsid w:val="63CB6385"/>
    <w:rsid w:val="63CB65D6"/>
    <w:rsid w:val="63CC234F"/>
    <w:rsid w:val="63D4210A"/>
    <w:rsid w:val="63DA032C"/>
    <w:rsid w:val="63DA2CBD"/>
    <w:rsid w:val="63DD10CA"/>
    <w:rsid w:val="63DE187D"/>
    <w:rsid w:val="63F55D49"/>
    <w:rsid w:val="63FC7E68"/>
    <w:rsid w:val="64025D70"/>
    <w:rsid w:val="640970FF"/>
    <w:rsid w:val="642301C1"/>
    <w:rsid w:val="642748C5"/>
    <w:rsid w:val="64590086"/>
    <w:rsid w:val="646B6898"/>
    <w:rsid w:val="64805613"/>
    <w:rsid w:val="64835103"/>
    <w:rsid w:val="64850E7B"/>
    <w:rsid w:val="648A4343"/>
    <w:rsid w:val="64915A72"/>
    <w:rsid w:val="64922A01"/>
    <w:rsid w:val="64947310"/>
    <w:rsid w:val="649B3E72"/>
    <w:rsid w:val="64A2034D"/>
    <w:rsid w:val="64A82DBC"/>
    <w:rsid w:val="64A86918"/>
    <w:rsid w:val="64AC28AC"/>
    <w:rsid w:val="64B517F3"/>
    <w:rsid w:val="64BC23C3"/>
    <w:rsid w:val="64BD0615"/>
    <w:rsid w:val="64BF7984"/>
    <w:rsid w:val="64C37BF6"/>
    <w:rsid w:val="64D1663A"/>
    <w:rsid w:val="64DE058B"/>
    <w:rsid w:val="64E42BDE"/>
    <w:rsid w:val="64E5191A"/>
    <w:rsid w:val="64F81CAE"/>
    <w:rsid w:val="65046244"/>
    <w:rsid w:val="65063F1E"/>
    <w:rsid w:val="65071890"/>
    <w:rsid w:val="651B533C"/>
    <w:rsid w:val="651E6376"/>
    <w:rsid w:val="653D665E"/>
    <w:rsid w:val="65447D2D"/>
    <w:rsid w:val="654B41CB"/>
    <w:rsid w:val="65556AA0"/>
    <w:rsid w:val="65573688"/>
    <w:rsid w:val="65595073"/>
    <w:rsid w:val="656A7B6C"/>
    <w:rsid w:val="656E2A74"/>
    <w:rsid w:val="6574167D"/>
    <w:rsid w:val="65804AB1"/>
    <w:rsid w:val="65836208"/>
    <w:rsid w:val="6587477F"/>
    <w:rsid w:val="658E5B0E"/>
    <w:rsid w:val="659155FE"/>
    <w:rsid w:val="659E443B"/>
    <w:rsid w:val="65A25A5D"/>
    <w:rsid w:val="65A6554D"/>
    <w:rsid w:val="65AB2B63"/>
    <w:rsid w:val="65B0550E"/>
    <w:rsid w:val="65B3768F"/>
    <w:rsid w:val="65BC6B1F"/>
    <w:rsid w:val="65BF1977"/>
    <w:rsid w:val="65C746B1"/>
    <w:rsid w:val="65D33518"/>
    <w:rsid w:val="65DC0F6F"/>
    <w:rsid w:val="65DD0843"/>
    <w:rsid w:val="65F53DDF"/>
    <w:rsid w:val="66050395"/>
    <w:rsid w:val="66083B12"/>
    <w:rsid w:val="66240220"/>
    <w:rsid w:val="66252916"/>
    <w:rsid w:val="662C00CB"/>
    <w:rsid w:val="66372649"/>
    <w:rsid w:val="663C37BC"/>
    <w:rsid w:val="66482160"/>
    <w:rsid w:val="66613222"/>
    <w:rsid w:val="666351EC"/>
    <w:rsid w:val="666A2E7E"/>
    <w:rsid w:val="66765A78"/>
    <w:rsid w:val="66862C89"/>
    <w:rsid w:val="668B60C8"/>
    <w:rsid w:val="668D04BB"/>
    <w:rsid w:val="669B6734"/>
    <w:rsid w:val="66A3383B"/>
    <w:rsid w:val="66AF21DF"/>
    <w:rsid w:val="66C643BF"/>
    <w:rsid w:val="66D734E4"/>
    <w:rsid w:val="66D87988"/>
    <w:rsid w:val="66E7432C"/>
    <w:rsid w:val="66E749E0"/>
    <w:rsid w:val="66E8749F"/>
    <w:rsid w:val="67087B42"/>
    <w:rsid w:val="670B339A"/>
    <w:rsid w:val="671B5AC7"/>
    <w:rsid w:val="672042A6"/>
    <w:rsid w:val="67215C8A"/>
    <w:rsid w:val="67235DAB"/>
    <w:rsid w:val="67283D40"/>
    <w:rsid w:val="672F3320"/>
    <w:rsid w:val="67395F4D"/>
    <w:rsid w:val="67423054"/>
    <w:rsid w:val="6748673D"/>
    <w:rsid w:val="67513297"/>
    <w:rsid w:val="67753429"/>
    <w:rsid w:val="6779459B"/>
    <w:rsid w:val="6783279F"/>
    <w:rsid w:val="679338AF"/>
    <w:rsid w:val="67991E9A"/>
    <w:rsid w:val="679F04A6"/>
    <w:rsid w:val="67AB6E4B"/>
    <w:rsid w:val="67AD0413"/>
    <w:rsid w:val="67B03539"/>
    <w:rsid w:val="67B63D42"/>
    <w:rsid w:val="67B87403"/>
    <w:rsid w:val="67BC1058"/>
    <w:rsid w:val="67D10EE6"/>
    <w:rsid w:val="67D87514"/>
    <w:rsid w:val="67E71D18"/>
    <w:rsid w:val="67F021FD"/>
    <w:rsid w:val="67F10FEB"/>
    <w:rsid w:val="680247F2"/>
    <w:rsid w:val="68150768"/>
    <w:rsid w:val="681A5D7E"/>
    <w:rsid w:val="681F205F"/>
    <w:rsid w:val="68203D07"/>
    <w:rsid w:val="68221535"/>
    <w:rsid w:val="6823056F"/>
    <w:rsid w:val="6859181F"/>
    <w:rsid w:val="685A7CBF"/>
    <w:rsid w:val="68675862"/>
    <w:rsid w:val="68752887"/>
    <w:rsid w:val="68780C13"/>
    <w:rsid w:val="687A4A6F"/>
    <w:rsid w:val="688C0519"/>
    <w:rsid w:val="688D47A2"/>
    <w:rsid w:val="689B332B"/>
    <w:rsid w:val="68B47E34"/>
    <w:rsid w:val="68BB3833"/>
    <w:rsid w:val="68D15B28"/>
    <w:rsid w:val="68D832D0"/>
    <w:rsid w:val="68E310EF"/>
    <w:rsid w:val="68F13666"/>
    <w:rsid w:val="69196036"/>
    <w:rsid w:val="691A6383"/>
    <w:rsid w:val="69216C99"/>
    <w:rsid w:val="69347745"/>
    <w:rsid w:val="693D4307"/>
    <w:rsid w:val="69403B35"/>
    <w:rsid w:val="69405A1D"/>
    <w:rsid w:val="695B3224"/>
    <w:rsid w:val="695F683E"/>
    <w:rsid w:val="696020B1"/>
    <w:rsid w:val="69603C65"/>
    <w:rsid w:val="696574CD"/>
    <w:rsid w:val="696D0A14"/>
    <w:rsid w:val="697650E9"/>
    <w:rsid w:val="69777577"/>
    <w:rsid w:val="69821E2D"/>
    <w:rsid w:val="699B2235"/>
    <w:rsid w:val="699F478D"/>
    <w:rsid w:val="69A7605A"/>
    <w:rsid w:val="69B31FE7"/>
    <w:rsid w:val="69B71EBC"/>
    <w:rsid w:val="69D4109F"/>
    <w:rsid w:val="69D41F5D"/>
    <w:rsid w:val="69DB32EB"/>
    <w:rsid w:val="69E76134"/>
    <w:rsid w:val="6A040A94"/>
    <w:rsid w:val="6A0463B1"/>
    <w:rsid w:val="6A054AB6"/>
    <w:rsid w:val="6A0B1E23"/>
    <w:rsid w:val="6A102F95"/>
    <w:rsid w:val="6A2B4D5A"/>
    <w:rsid w:val="6A334ED5"/>
    <w:rsid w:val="6A38073E"/>
    <w:rsid w:val="6A4B23E2"/>
    <w:rsid w:val="6A507803"/>
    <w:rsid w:val="6A5437CA"/>
    <w:rsid w:val="6A5A6906"/>
    <w:rsid w:val="6A5E2748"/>
    <w:rsid w:val="6A6B3750"/>
    <w:rsid w:val="6A6B5ED6"/>
    <w:rsid w:val="6A8676FB"/>
    <w:rsid w:val="6A9F256B"/>
    <w:rsid w:val="6AB91C24"/>
    <w:rsid w:val="6AC427CE"/>
    <w:rsid w:val="6AC948A2"/>
    <w:rsid w:val="6ACC64C4"/>
    <w:rsid w:val="6AD86254"/>
    <w:rsid w:val="6AE54422"/>
    <w:rsid w:val="6AED7977"/>
    <w:rsid w:val="6AF17457"/>
    <w:rsid w:val="6B086362"/>
    <w:rsid w:val="6B104ACA"/>
    <w:rsid w:val="6B105217"/>
    <w:rsid w:val="6B1940CB"/>
    <w:rsid w:val="6B2018FE"/>
    <w:rsid w:val="6B264A3A"/>
    <w:rsid w:val="6B28603A"/>
    <w:rsid w:val="6B2935BB"/>
    <w:rsid w:val="6B2A0087"/>
    <w:rsid w:val="6B3B2294"/>
    <w:rsid w:val="6B4101AE"/>
    <w:rsid w:val="6B476E8A"/>
    <w:rsid w:val="6B4849B1"/>
    <w:rsid w:val="6B4B3B36"/>
    <w:rsid w:val="6B4F4A2C"/>
    <w:rsid w:val="6B607F4C"/>
    <w:rsid w:val="6B765258"/>
    <w:rsid w:val="6B797260"/>
    <w:rsid w:val="6B841F1F"/>
    <w:rsid w:val="6B8F2BF0"/>
    <w:rsid w:val="6B901B90"/>
    <w:rsid w:val="6B91267B"/>
    <w:rsid w:val="6BA0733A"/>
    <w:rsid w:val="6BA73DCD"/>
    <w:rsid w:val="6BB81B36"/>
    <w:rsid w:val="6BBA58AE"/>
    <w:rsid w:val="6BBB0A9C"/>
    <w:rsid w:val="6BBD463B"/>
    <w:rsid w:val="6BD02C6F"/>
    <w:rsid w:val="6BE20961"/>
    <w:rsid w:val="6BE41CAE"/>
    <w:rsid w:val="6BF54284"/>
    <w:rsid w:val="6BF568E6"/>
    <w:rsid w:val="6BF80185"/>
    <w:rsid w:val="6BFD3031"/>
    <w:rsid w:val="6BFD39ED"/>
    <w:rsid w:val="6BFF7765"/>
    <w:rsid w:val="6C123839"/>
    <w:rsid w:val="6C1D2B12"/>
    <w:rsid w:val="6C1F1BB5"/>
    <w:rsid w:val="6C2063E9"/>
    <w:rsid w:val="6C225202"/>
    <w:rsid w:val="6C2947E2"/>
    <w:rsid w:val="6C2C23C0"/>
    <w:rsid w:val="6C2D41BB"/>
    <w:rsid w:val="6C3867D9"/>
    <w:rsid w:val="6C4433CA"/>
    <w:rsid w:val="6C474C68"/>
    <w:rsid w:val="6C4C04D0"/>
    <w:rsid w:val="6C591704"/>
    <w:rsid w:val="6C5A3332"/>
    <w:rsid w:val="6C615D2A"/>
    <w:rsid w:val="6C6E6DCF"/>
    <w:rsid w:val="6C757CDC"/>
    <w:rsid w:val="6C874768"/>
    <w:rsid w:val="6C8D1CE8"/>
    <w:rsid w:val="6C9500C9"/>
    <w:rsid w:val="6C9D0D2C"/>
    <w:rsid w:val="6C9E1CD6"/>
    <w:rsid w:val="6CA16A6E"/>
    <w:rsid w:val="6CA377FE"/>
    <w:rsid w:val="6CA65E33"/>
    <w:rsid w:val="6CA67E59"/>
    <w:rsid w:val="6CAD71C1"/>
    <w:rsid w:val="6CBF6EF4"/>
    <w:rsid w:val="6CC10EBE"/>
    <w:rsid w:val="6CC8224D"/>
    <w:rsid w:val="6CD209D6"/>
    <w:rsid w:val="6CE16E6B"/>
    <w:rsid w:val="6CE252F8"/>
    <w:rsid w:val="6CE301ED"/>
    <w:rsid w:val="6CE81FA7"/>
    <w:rsid w:val="6CF03552"/>
    <w:rsid w:val="6D062D75"/>
    <w:rsid w:val="6D066B51"/>
    <w:rsid w:val="6D0A63C2"/>
    <w:rsid w:val="6D0D1306"/>
    <w:rsid w:val="6D267C77"/>
    <w:rsid w:val="6D3B47CD"/>
    <w:rsid w:val="6D400035"/>
    <w:rsid w:val="6D400712"/>
    <w:rsid w:val="6D447721"/>
    <w:rsid w:val="6D4D1ABC"/>
    <w:rsid w:val="6D5367A2"/>
    <w:rsid w:val="6D667370"/>
    <w:rsid w:val="6D7777CF"/>
    <w:rsid w:val="6D7E0B5E"/>
    <w:rsid w:val="6D7E46BA"/>
    <w:rsid w:val="6D87532F"/>
    <w:rsid w:val="6D877911"/>
    <w:rsid w:val="6D8943E2"/>
    <w:rsid w:val="6D9739CD"/>
    <w:rsid w:val="6DA00AD4"/>
    <w:rsid w:val="6DAB2FF5"/>
    <w:rsid w:val="6DAC56CB"/>
    <w:rsid w:val="6DAF6549"/>
    <w:rsid w:val="6DB06FF1"/>
    <w:rsid w:val="6DBA119D"/>
    <w:rsid w:val="6DCC4D79"/>
    <w:rsid w:val="6DD8026E"/>
    <w:rsid w:val="6DDC3AD5"/>
    <w:rsid w:val="6DEC1339"/>
    <w:rsid w:val="6DF606F4"/>
    <w:rsid w:val="6DFA4688"/>
    <w:rsid w:val="6E001573"/>
    <w:rsid w:val="6E080427"/>
    <w:rsid w:val="6E0F0616"/>
    <w:rsid w:val="6E0F7A08"/>
    <w:rsid w:val="6E160D96"/>
    <w:rsid w:val="6E1D0E7C"/>
    <w:rsid w:val="6E2C779A"/>
    <w:rsid w:val="6E3B360C"/>
    <w:rsid w:val="6E435202"/>
    <w:rsid w:val="6E4E6782"/>
    <w:rsid w:val="6E5324A5"/>
    <w:rsid w:val="6E5576F0"/>
    <w:rsid w:val="6E5B2C4D"/>
    <w:rsid w:val="6E661CDF"/>
    <w:rsid w:val="6E66587A"/>
    <w:rsid w:val="6E712470"/>
    <w:rsid w:val="6E735458"/>
    <w:rsid w:val="6E7A4A23"/>
    <w:rsid w:val="6E7F693B"/>
    <w:rsid w:val="6E8E6B7E"/>
    <w:rsid w:val="6E934195"/>
    <w:rsid w:val="6E997331"/>
    <w:rsid w:val="6E9B7D3E"/>
    <w:rsid w:val="6EA12D56"/>
    <w:rsid w:val="6EA75E92"/>
    <w:rsid w:val="6EAB7F82"/>
    <w:rsid w:val="6EB02F99"/>
    <w:rsid w:val="6EB06071"/>
    <w:rsid w:val="6EB63269"/>
    <w:rsid w:val="6EC151A6"/>
    <w:rsid w:val="6EC86EB7"/>
    <w:rsid w:val="6EDE6D74"/>
    <w:rsid w:val="6EE13152"/>
    <w:rsid w:val="6EE40E94"/>
    <w:rsid w:val="6EEF33D1"/>
    <w:rsid w:val="6EF31C6A"/>
    <w:rsid w:val="6F196D90"/>
    <w:rsid w:val="6F284AA6"/>
    <w:rsid w:val="6F327E52"/>
    <w:rsid w:val="6F3B754D"/>
    <w:rsid w:val="6F4D4C8B"/>
    <w:rsid w:val="6F524050"/>
    <w:rsid w:val="6F571666"/>
    <w:rsid w:val="6F5800EB"/>
    <w:rsid w:val="6F5F675F"/>
    <w:rsid w:val="6F616041"/>
    <w:rsid w:val="6F6F075E"/>
    <w:rsid w:val="6F722298"/>
    <w:rsid w:val="6F770CC7"/>
    <w:rsid w:val="6F882C26"/>
    <w:rsid w:val="6FA24206"/>
    <w:rsid w:val="6FB22D40"/>
    <w:rsid w:val="6FB51C6B"/>
    <w:rsid w:val="6FB7689B"/>
    <w:rsid w:val="6FBE16E5"/>
    <w:rsid w:val="6FC129AE"/>
    <w:rsid w:val="6FC82564"/>
    <w:rsid w:val="6FCA008A"/>
    <w:rsid w:val="7000585A"/>
    <w:rsid w:val="70251764"/>
    <w:rsid w:val="702D38BB"/>
    <w:rsid w:val="70357BF9"/>
    <w:rsid w:val="703642F5"/>
    <w:rsid w:val="70453BB5"/>
    <w:rsid w:val="704D760C"/>
    <w:rsid w:val="705D1EF0"/>
    <w:rsid w:val="7073427E"/>
    <w:rsid w:val="707B7161"/>
    <w:rsid w:val="70861C0E"/>
    <w:rsid w:val="708C17E3"/>
    <w:rsid w:val="70AA5EED"/>
    <w:rsid w:val="70B328CC"/>
    <w:rsid w:val="70B940C4"/>
    <w:rsid w:val="70C84792"/>
    <w:rsid w:val="70D56CE6"/>
    <w:rsid w:val="70FC5DCF"/>
    <w:rsid w:val="71072C18"/>
    <w:rsid w:val="71080E6A"/>
    <w:rsid w:val="711C2970"/>
    <w:rsid w:val="711D243B"/>
    <w:rsid w:val="712941A8"/>
    <w:rsid w:val="712A6CFC"/>
    <w:rsid w:val="71404342"/>
    <w:rsid w:val="71461992"/>
    <w:rsid w:val="7148570A"/>
    <w:rsid w:val="71566079"/>
    <w:rsid w:val="7164304A"/>
    <w:rsid w:val="71665B90"/>
    <w:rsid w:val="716B489A"/>
    <w:rsid w:val="71796BF8"/>
    <w:rsid w:val="717B7C74"/>
    <w:rsid w:val="718579B4"/>
    <w:rsid w:val="71892F85"/>
    <w:rsid w:val="71950224"/>
    <w:rsid w:val="719A4C36"/>
    <w:rsid w:val="71A234AE"/>
    <w:rsid w:val="71A803D2"/>
    <w:rsid w:val="71AA3CCF"/>
    <w:rsid w:val="71C22345"/>
    <w:rsid w:val="71C41851"/>
    <w:rsid w:val="71E60A7F"/>
    <w:rsid w:val="71E82A49"/>
    <w:rsid w:val="71F50183"/>
    <w:rsid w:val="72005FE5"/>
    <w:rsid w:val="720158B9"/>
    <w:rsid w:val="721028EF"/>
    <w:rsid w:val="72343EE1"/>
    <w:rsid w:val="7255676D"/>
    <w:rsid w:val="725B321B"/>
    <w:rsid w:val="72663878"/>
    <w:rsid w:val="726D5581"/>
    <w:rsid w:val="726E2F4F"/>
    <w:rsid w:val="72705787"/>
    <w:rsid w:val="72712A3F"/>
    <w:rsid w:val="72824C4C"/>
    <w:rsid w:val="728409C4"/>
    <w:rsid w:val="728E1843"/>
    <w:rsid w:val="728F1117"/>
    <w:rsid w:val="729149C4"/>
    <w:rsid w:val="72945CE3"/>
    <w:rsid w:val="729F0148"/>
    <w:rsid w:val="729F596E"/>
    <w:rsid w:val="72A2709C"/>
    <w:rsid w:val="72A72D20"/>
    <w:rsid w:val="72B83871"/>
    <w:rsid w:val="72B92964"/>
    <w:rsid w:val="72BB7C06"/>
    <w:rsid w:val="72C60FDD"/>
    <w:rsid w:val="72C74D55"/>
    <w:rsid w:val="72C846F2"/>
    <w:rsid w:val="72D059B7"/>
    <w:rsid w:val="72DA4A88"/>
    <w:rsid w:val="72DB4BD0"/>
    <w:rsid w:val="72EA507C"/>
    <w:rsid w:val="72EC52EE"/>
    <w:rsid w:val="72F62F44"/>
    <w:rsid w:val="72FE36E8"/>
    <w:rsid w:val="7310016F"/>
    <w:rsid w:val="7310550C"/>
    <w:rsid w:val="7315161C"/>
    <w:rsid w:val="731E1905"/>
    <w:rsid w:val="7329156C"/>
    <w:rsid w:val="73337CF4"/>
    <w:rsid w:val="733E6DC5"/>
    <w:rsid w:val="734031BA"/>
    <w:rsid w:val="73424E8E"/>
    <w:rsid w:val="73463ECB"/>
    <w:rsid w:val="73497518"/>
    <w:rsid w:val="73552361"/>
    <w:rsid w:val="735E1215"/>
    <w:rsid w:val="73644352"/>
    <w:rsid w:val="73661E78"/>
    <w:rsid w:val="738B6396"/>
    <w:rsid w:val="7395275D"/>
    <w:rsid w:val="739A326E"/>
    <w:rsid w:val="739E5AB6"/>
    <w:rsid w:val="73A330CC"/>
    <w:rsid w:val="73B8527F"/>
    <w:rsid w:val="73BF15D4"/>
    <w:rsid w:val="73C372CA"/>
    <w:rsid w:val="73D80729"/>
    <w:rsid w:val="73DA3A6B"/>
    <w:rsid w:val="73F41B79"/>
    <w:rsid w:val="73F95484"/>
    <w:rsid w:val="74017DF2"/>
    <w:rsid w:val="740D7FCF"/>
    <w:rsid w:val="74112B85"/>
    <w:rsid w:val="74123CD9"/>
    <w:rsid w:val="742362F8"/>
    <w:rsid w:val="742A559B"/>
    <w:rsid w:val="743326A2"/>
    <w:rsid w:val="7434641A"/>
    <w:rsid w:val="7443040B"/>
    <w:rsid w:val="7456013E"/>
    <w:rsid w:val="74564421"/>
    <w:rsid w:val="745D771F"/>
    <w:rsid w:val="74660527"/>
    <w:rsid w:val="74684F5C"/>
    <w:rsid w:val="74734442"/>
    <w:rsid w:val="7473647A"/>
    <w:rsid w:val="748E670B"/>
    <w:rsid w:val="74920388"/>
    <w:rsid w:val="74934EEE"/>
    <w:rsid w:val="74A92BBC"/>
    <w:rsid w:val="74B147D5"/>
    <w:rsid w:val="74B308B5"/>
    <w:rsid w:val="74B65FBF"/>
    <w:rsid w:val="74B9436E"/>
    <w:rsid w:val="74CE4179"/>
    <w:rsid w:val="74D06143"/>
    <w:rsid w:val="74D379E1"/>
    <w:rsid w:val="74D6302D"/>
    <w:rsid w:val="74D92270"/>
    <w:rsid w:val="74E07CE4"/>
    <w:rsid w:val="74EB24DA"/>
    <w:rsid w:val="74F11DAB"/>
    <w:rsid w:val="74F160B9"/>
    <w:rsid w:val="74F33BDF"/>
    <w:rsid w:val="74F82FA3"/>
    <w:rsid w:val="75063912"/>
    <w:rsid w:val="7507768A"/>
    <w:rsid w:val="751A5610"/>
    <w:rsid w:val="752B3379"/>
    <w:rsid w:val="7544268D"/>
    <w:rsid w:val="7545775C"/>
    <w:rsid w:val="755723C0"/>
    <w:rsid w:val="7561323F"/>
    <w:rsid w:val="756458B3"/>
    <w:rsid w:val="756B594D"/>
    <w:rsid w:val="75863F12"/>
    <w:rsid w:val="7589009F"/>
    <w:rsid w:val="75AA6813"/>
    <w:rsid w:val="75B96BD7"/>
    <w:rsid w:val="75C028A6"/>
    <w:rsid w:val="75CA2234"/>
    <w:rsid w:val="75D34CFA"/>
    <w:rsid w:val="75DC28C5"/>
    <w:rsid w:val="75E579CC"/>
    <w:rsid w:val="76004806"/>
    <w:rsid w:val="760140DA"/>
    <w:rsid w:val="76160F8A"/>
    <w:rsid w:val="761C7166"/>
    <w:rsid w:val="76330BC2"/>
    <w:rsid w:val="763B583E"/>
    <w:rsid w:val="764327B9"/>
    <w:rsid w:val="76457683"/>
    <w:rsid w:val="76475789"/>
    <w:rsid w:val="76482EAD"/>
    <w:rsid w:val="764F3097"/>
    <w:rsid w:val="76534240"/>
    <w:rsid w:val="767A3FE9"/>
    <w:rsid w:val="767A4B45"/>
    <w:rsid w:val="767C2C1E"/>
    <w:rsid w:val="769B452E"/>
    <w:rsid w:val="76B37ACA"/>
    <w:rsid w:val="76B64EC4"/>
    <w:rsid w:val="76BE0AC4"/>
    <w:rsid w:val="76CA4E14"/>
    <w:rsid w:val="76DD4B47"/>
    <w:rsid w:val="76DF08BF"/>
    <w:rsid w:val="76EB6D46"/>
    <w:rsid w:val="76ED289F"/>
    <w:rsid w:val="76F450A2"/>
    <w:rsid w:val="76F529B8"/>
    <w:rsid w:val="76FB4FCD"/>
    <w:rsid w:val="76FF2C94"/>
    <w:rsid w:val="77073C29"/>
    <w:rsid w:val="770D7A9B"/>
    <w:rsid w:val="771F0CBB"/>
    <w:rsid w:val="772067E2"/>
    <w:rsid w:val="77274014"/>
    <w:rsid w:val="773A78A3"/>
    <w:rsid w:val="77617526"/>
    <w:rsid w:val="777F5BFE"/>
    <w:rsid w:val="7789082B"/>
    <w:rsid w:val="778B1FC3"/>
    <w:rsid w:val="778E054E"/>
    <w:rsid w:val="779A2A38"/>
    <w:rsid w:val="77A94A29"/>
    <w:rsid w:val="77AD62C7"/>
    <w:rsid w:val="77B77146"/>
    <w:rsid w:val="77B84C6C"/>
    <w:rsid w:val="77BA217D"/>
    <w:rsid w:val="77BC0ED2"/>
    <w:rsid w:val="77C41863"/>
    <w:rsid w:val="77C84A1B"/>
    <w:rsid w:val="77CB4BBF"/>
    <w:rsid w:val="77D53A70"/>
    <w:rsid w:val="77DA5DCD"/>
    <w:rsid w:val="77DB72D8"/>
    <w:rsid w:val="77DC7346"/>
    <w:rsid w:val="77DF044B"/>
    <w:rsid w:val="77E31CE9"/>
    <w:rsid w:val="77ED2B68"/>
    <w:rsid w:val="77F9697E"/>
    <w:rsid w:val="780A36F2"/>
    <w:rsid w:val="780D320A"/>
    <w:rsid w:val="78236589"/>
    <w:rsid w:val="78250553"/>
    <w:rsid w:val="78301EFB"/>
    <w:rsid w:val="783469E8"/>
    <w:rsid w:val="783C764B"/>
    <w:rsid w:val="78434959"/>
    <w:rsid w:val="78650950"/>
    <w:rsid w:val="787B63C5"/>
    <w:rsid w:val="787D038F"/>
    <w:rsid w:val="788D64EE"/>
    <w:rsid w:val="789456D9"/>
    <w:rsid w:val="7894748F"/>
    <w:rsid w:val="78AE7934"/>
    <w:rsid w:val="78BB3E00"/>
    <w:rsid w:val="78C02044"/>
    <w:rsid w:val="78C53AE4"/>
    <w:rsid w:val="78D301E3"/>
    <w:rsid w:val="78D30910"/>
    <w:rsid w:val="78F764FF"/>
    <w:rsid w:val="78FD6DDA"/>
    <w:rsid w:val="79004B1D"/>
    <w:rsid w:val="79022643"/>
    <w:rsid w:val="790243F1"/>
    <w:rsid w:val="79164340"/>
    <w:rsid w:val="79352A18"/>
    <w:rsid w:val="793E3C37"/>
    <w:rsid w:val="79431360"/>
    <w:rsid w:val="794C2478"/>
    <w:rsid w:val="795B557D"/>
    <w:rsid w:val="796E5F2A"/>
    <w:rsid w:val="797027BF"/>
    <w:rsid w:val="79780B57"/>
    <w:rsid w:val="7979724A"/>
    <w:rsid w:val="797C69C1"/>
    <w:rsid w:val="797D4B90"/>
    <w:rsid w:val="79835BAD"/>
    <w:rsid w:val="7993773F"/>
    <w:rsid w:val="7998245B"/>
    <w:rsid w:val="79C310B6"/>
    <w:rsid w:val="79C40A0A"/>
    <w:rsid w:val="79C913B2"/>
    <w:rsid w:val="79CB1C54"/>
    <w:rsid w:val="79CE0777"/>
    <w:rsid w:val="79DA536E"/>
    <w:rsid w:val="79EB12D9"/>
    <w:rsid w:val="79EE1228"/>
    <w:rsid w:val="79EE5033"/>
    <w:rsid w:val="79F91C98"/>
    <w:rsid w:val="7A205476"/>
    <w:rsid w:val="7A2A00A3"/>
    <w:rsid w:val="7A2B3E1B"/>
    <w:rsid w:val="7A344A7E"/>
    <w:rsid w:val="7A3B6745"/>
    <w:rsid w:val="7A48677B"/>
    <w:rsid w:val="7A4C6E3E"/>
    <w:rsid w:val="7A4E3915"/>
    <w:rsid w:val="7A4F7B0A"/>
    <w:rsid w:val="7A5073DE"/>
    <w:rsid w:val="7A522239"/>
    <w:rsid w:val="7A561A1A"/>
    <w:rsid w:val="7A604E8D"/>
    <w:rsid w:val="7A634F0F"/>
    <w:rsid w:val="7A7039C4"/>
    <w:rsid w:val="7A721A4A"/>
    <w:rsid w:val="7A806C70"/>
    <w:rsid w:val="7A861051"/>
    <w:rsid w:val="7A956CB9"/>
    <w:rsid w:val="7A9F1CDF"/>
    <w:rsid w:val="7AAB2362"/>
    <w:rsid w:val="7AC1208A"/>
    <w:rsid w:val="7AD13538"/>
    <w:rsid w:val="7ADC45FF"/>
    <w:rsid w:val="7AF10BC1"/>
    <w:rsid w:val="7B02692A"/>
    <w:rsid w:val="7B116B6D"/>
    <w:rsid w:val="7B1623D5"/>
    <w:rsid w:val="7B1C3265"/>
    <w:rsid w:val="7B1E128A"/>
    <w:rsid w:val="7B205002"/>
    <w:rsid w:val="7B21725B"/>
    <w:rsid w:val="7B2F07EE"/>
    <w:rsid w:val="7B334D35"/>
    <w:rsid w:val="7B3B62E0"/>
    <w:rsid w:val="7B3E36DA"/>
    <w:rsid w:val="7B42766E"/>
    <w:rsid w:val="7B4707E1"/>
    <w:rsid w:val="7B476A33"/>
    <w:rsid w:val="7B566C76"/>
    <w:rsid w:val="7B722E45"/>
    <w:rsid w:val="7B912423"/>
    <w:rsid w:val="7B914152"/>
    <w:rsid w:val="7BA14395"/>
    <w:rsid w:val="7BA2010D"/>
    <w:rsid w:val="7BB51BEE"/>
    <w:rsid w:val="7BCF13AD"/>
    <w:rsid w:val="7BD007D6"/>
    <w:rsid w:val="7BD302C6"/>
    <w:rsid w:val="7BDF6C6B"/>
    <w:rsid w:val="7BE14791"/>
    <w:rsid w:val="7BE846A1"/>
    <w:rsid w:val="7BEE1D54"/>
    <w:rsid w:val="7BF754E3"/>
    <w:rsid w:val="7C1D1542"/>
    <w:rsid w:val="7C1F52BA"/>
    <w:rsid w:val="7C2C1B46"/>
    <w:rsid w:val="7C2E19A1"/>
    <w:rsid w:val="7C3177C6"/>
    <w:rsid w:val="7C3639F5"/>
    <w:rsid w:val="7C4371FA"/>
    <w:rsid w:val="7C492337"/>
    <w:rsid w:val="7C4E3150"/>
    <w:rsid w:val="7C4E5A56"/>
    <w:rsid w:val="7C4F2043"/>
    <w:rsid w:val="7C8F243F"/>
    <w:rsid w:val="7C9932BE"/>
    <w:rsid w:val="7C9C0F54"/>
    <w:rsid w:val="7C9C3264"/>
    <w:rsid w:val="7CA02770"/>
    <w:rsid w:val="7CBA47D1"/>
    <w:rsid w:val="7CBE4AD3"/>
    <w:rsid w:val="7CC23EA4"/>
    <w:rsid w:val="7CC43EF5"/>
    <w:rsid w:val="7CD504FE"/>
    <w:rsid w:val="7CEC7892"/>
    <w:rsid w:val="7CF14EA8"/>
    <w:rsid w:val="7CF624BE"/>
    <w:rsid w:val="7D050953"/>
    <w:rsid w:val="7D180687"/>
    <w:rsid w:val="7D250FF6"/>
    <w:rsid w:val="7D2F777E"/>
    <w:rsid w:val="7D413732"/>
    <w:rsid w:val="7D450D50"/>
    <w:rsid w:val="7D4F01AF"/>
    <w:rsid w:val="7D541CBA"/>
    <w:rsid w:val="7D586CD5"/>
    <w:rsid w:val="7D642DA6"/>
    <w:rsid w:val="7D7366D3"/>
    <w:rsid w:val="7D761851"/>
    <w:rsid w:val="7D893333"/>
    <w:rsid w:val="7D8F667D"/>
    <w:rsid w:val="7D9341B1"/>
    <w:rsid w:val="7D943A85"/>
    <w:rsid w:val="7DA10183"/>
    <w:rsid w:val="7DA5056D"/>
    <w:rsid w:val="7DBC6B8A"/>
    <w:rsid w:val="7DC205F3"/>
    <w:rsid w:val="7DC266CD"/>
    <w:rsid w:val="7DD10836"/>
    <w:rsid w:val="7DE1316F"/>
    <w:rsid w:val="7DE241D2"/>
    <w:rsid w:val="7DE62533"/>
    <w:rsid w:val="7DFB778A"/>
    <w:rsid w:val="7DFC1D56"/>
    <w:rsid w:val="7E062BD5"/>
    <w:rsid w:val="7E0714B7"/>
    <w:rsid w:val="7E0806FB"/>
    <w:rsid w:val="7E0E10A6"/>
    <w:rsid w:val="7E10135E"/>
    <w:rsid w:val="7E167A92"/>
    <w:rsid w:val="7E1B40FB"/>
    <w:rsid w:val="7E2048A4"/>
    <w:rsid w:val="7E386B07"/>
    <w:rsid w:val="7E3D0C7E"/>
    <w:rsid w:val="7E3D6D28"/>
    <w:rsid w:val="7E461224"/>
    <w:rsid w:val="7E4B4A8C"/>
    <w:rsid w:val="7E4D4360"/>
    <w:rsid w:val="7E5020A2"/>
    <w:rsid w:val="7E555BF7"/>
    <w:rsid w:val="7E5E47BF"/>
    <w:rsid w:val="7E6378C3"/>
    <w:rsid w:val="7E6F61AB"/>
    <w:rsid w:val="7E883589"/>
    <w:rsid w:val="7E970D8E"/>
    <w:rsid w:val="7E977CD1"/>
    <w:rsid w:val="7EA00768"/>
    <w:rsid w:val="7EA514C8"/>
    <w:rsid w:val="7EB42631"/>
    <w:rsid w:val="7EBC78F4"/>
    <w:rsid w:val="7ED0120A"/>
    <w:rsid w:val="7EDB7778"/>
    <w:rsid w:val="7EE10F4C"/>
    <w:rsid w:val="7EEA7D5B"/>
    <w:rsid w:val="7EF173E1"/>
    <w:rsid w:val="7EFC5D86"/>
    <w:rsid w:val="7F1255AA"/>
    <w:rsid w:val="7F24560F"/>
    <w:rsid w:val="7F271055"/>
    <w:rsid w:val="7F3C6183"/>
    <w:rsid w:val="7F3D7ABD"/>
    <w:rsid w:val="7F4D708F"/>
    <w:rsid w:val="7F5931D8"/>
    <w:rsid w:val="7F625BE9"/>
    <w:rsid w:val="7F6578FB"/>
    <w:rsid w:val="7F6A0922"/>
    <w:rsid w:val="7F6C2F0C"/>
    <w:rsid w:val="7F723710"/>
    <w:rsid w:val="7F767868"/>
    <w:rsid w:val="7F78097A"/>
    <w:rsid w:val="7F9A1827"/>
    <w:rsid w:val="7F9E1D90"/>
    <w:rsid w:val="7F9F5B66"/>
    <w:rsid w:val="7FA3174E"/>
    <w:rsid w:val="7FA54DAC"/>
    <w:rsid w:val="7FAE52D2"/>
    <w:rsid w:val="7FB328E9"/>
    <w:rsid w:val="7FB87EFF"/>
    <w:rsid w:val="7FBB354B"/>
    <w:rsid w:val="7FBC77B9"/>
    <w:rsid w:val="7FC06DB4"/>
    <w:rsid w:val="7FCA378E"/>
    <w:rsid w:val="7FCA5261"/>
    <w:rsid w:val="7FD91C23"/>
    <w:rsid w:val="7FE26D2A"/>
    <w:rsid w:val="7FE5681A"/>
    <w:rsid w:val="7FEE3921"/>
    <w:rsid w:val="7FF969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1040" w:firstLineChars="200"/>
      <w:jc w:val="both"/>
    </w:pPr>
    <w:rPr>
      <w:rFonts w:ascii="Times New Roman" w:hAnsi="Times New Roman" w:eastAsia="仿宋" w:cs="Times New Roman"/>
      <w:kern w:val="2"/>
      <w:sz w:val="28"/>
      <w:szCs w:val="22"/>
      <w:lang w:val="en-US" w:eastAsia="zh-CN" w:bidi="ar-SA"/>
    </w:rPr>
  </w:style>
  <w:style w:type="paragraph" w:styleId="4">
    <w:name w:val="heading 1"/>
    <w:basedOn w:val="1"/>
    <w:next w:val="1"/>
    <w:qFormat/>
    <w:uiPriority w:val="0"/>
    <w:pPr>
      <w:keepNext/>
      <w:keepLines/>
      <w:spacing w:before="100" w:beforeLines="100" w:after="100" w:afterLines="100"/>
      <w:ind w:firstLine="0" w:firstLineChars="0"/>
      <w:jc w:val="center"/>
      <w:outlineLvl w:val="0"/>
    </w:pPr>
    <w:rPr>
      <w:rFonts w:ascii="Times New Roman" w:hAnsi="Times New Roman"/>
      <w:b/>
      <w:bCs/>
      <w:kern w:val="44"/>
      <w:sz w:val="44"/>
      <w:szCs w:val="44"/>
    </w:rPr>
  </w:style>
  <w:style w:type="paragraph" w:styleId="5">
    <w:name w:val="heading 2"/>
    <w:basedOn w:val="1"/>
    <w:next w:val="1"/>
    <w:unhideWhenUsed/>
    <w:qFormat/>
    <w:uiPriority w:val="0"/>
    <w:pPr>
      <w:keepNext/>
      <w:keepLines/>
      <w:spacing w:before="50" w:beforeLines="50" w:after="50" w:afterLines="50" w:line="240" w:lineRule="auto"/>
      <w:ind w:firstLine="0" w:firstLineChars="0"/>
      <w:jc w:val="left"/>
      <w:outlineLvl w:val="1"/>
    </w:pPr>
    <w:rPr>
      <w:b/>
      <w:bCs/>
      <w:sz w:val="32"/>
    </w:rPr>
  </w:style>
  <w:style w:type="paragraph" w:styleId="6">
    <w:name w:val="heading 3"/>
    <w:basedOn w:val="1"/>
    <w:next w:val="1"/>
    <w:unhideWhenUsed/>
    <w:qFormat/>
    <w:uiPriority w:val="0"/>
    <w:pPr>
      <w:keepNext/>
      <w:keepLines/>
      <w:spacing w:before="140" w:after="140" w:line="240" w:lineRule="auto"/>
      <w:ind w:firstLine="0" w:firstLineChars="0"/>
      <w:jc w:val="left"/>
      <w:outlineLvl w:val="2"/>
    </w:pPr>
    <w:rPr>
      <w:rFonts w:ascii="Times New Roman" w:hAnsi="Times New Roman"/>
      <w:b/>
      <w:bCs/>
      <w:sz w:val="30"/>
      <w:szCs w:val="32"/>
    </w:rPr>
  </w:style>
  <w:style w:type="paragraph" w:styleId="7">
    <w:name w:val="heading 4"/>
    <w:basedOn w:val="8"/>
    <w:next w:val="1"/>
    <w:unhideWhenUsed/>
    <w:qFormat/>
    <w:uiPriority w:val="0"/>
    <w:pPr>
      <w:keepNext/>
      <w:keepLines/>
      <w:spacing w:before="120" w:beforeLines="0" w:beforeAutospacing="0" w:after="120" w:afterLines="0" w:afterAutospacing="0" w:line="240" w:lineRule="auto"/>
      <w:ind w:firstLine="0" w:firstLineChars="0"/>
      <w:jc w:val="left"/>
      <w:outlineLvl w:val="3"/>
    </w:pPr>
    <w:rPr>
      <w:rFonts w:ascii="Times New Roman" w:hAnsi="Times New Roman"/>
      <w:sz w:val="28"/>
    </w:rPr>
  </w:style>
  <w:style w:type="character" w:default="1" w:styleId="17">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qFormat/>
    <w:uiPriority w:val="1"/>
    <w:pPr>
      <w:ind w:left="134"/>
    </w:pPr>
    <w:rPr>
      <w:rFonts w:ascii="宋体" w:hAnsi="宋体" w:eastAsia="宋体"/>
      <w:sz w:val="27"/>
      <w:szCs w:val="27"/>
    </w:rPr>
  </w:style>
  <w:style w:type="paragraph" w:styleId="8">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styleId="9">
    <w:name w:val="toc 3"/>
    <w:basedOn w:val="1"/>
    <w:next w:val="1"/>
    <w:qFormat/>
    <w:uiPriority w:val="0"/>
    <w:pPr>
      <w:ind w:left="840" w:leftChars="400" w:firstLine="0" w:firstLineChars="0"/>
    </w:pPr>
    <w:rPr>
      <w:rFonts w:ascii="Times New Roman" w:hAnsi="Times New Roman"/>
    </w:rPr>
  </w:style>
  <w:style w:type="paragraph" w:styleId="10">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qFormat/>
    <w:uiPriority w:val="0"/>
    <w:pPr>
      <w:ind w:firstLine="0" w:firstLineChars="0"/>
    </w:pPr>
    <w:rPr>
      <w:rFonts w:ascii="Times New Roman" w:hAnsi="Times New Roman"/>
    </w:rPr>
  </w:style>
  <w:style w:type="paragraph" w:styleId="13">
    <w:name w:val="toc 2"/>
    <w:basedOn w:val="1"/>
    <w:next w:val="1"/>
    <w:qFormat/>
    <w:uiPriority w:val="0"/>
    <w:pPr>
      <w:ind w:left="420" w:leftChars="200" w:firstLine="0" w:firstLineChars="0"/>
    </w:pPr>
    <w:rPr>
      <w:rFonts w:ascii="Times New Roman" w:hAnsi="Times New Roman"/>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table" w:styleId="16">
    <w:name w:val="Table Grid"/>
    <w:basedOn w:val="1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Emphasis"/>
    <w:basedOn w:val="17"/>
    <w:qFormat/>
    <w:uiPriority w:val="0"/>
    <w:rPr>
      <w:i/>
    </w:rPr>
  </w:style>
  <w:style w:type="paragraph" w:customStyle="1" w:styleId="20">
    <w:name w:val="TOC 标题1"/>
    <w:basedOn w:val="4"/>
    <w:next w:val="1"/>
    <w:unhideWhenUsed/>
    <w:qFormat/>
    <w:uiPriority w:val="39"/>
    <w:pPr>
      <w:widowControl/>
      <w:spacing w:before="240" w:beforeLines="0" w:after="0" w:afterLines="0" w:line="259" w:lineRule="auto"/>
      <w:jc w:val="left"/>
      <w:outlineLvl w:val="9"/>
    </w:pPr>
    <w:rPr>
      <w:rFonts w:ascii="等线 Light" w:hAnsi="等线 Light" w:eastAsia="等线 Light" w:cs="Times New Roman"/>
      <w:bCs w:val="0"/>
      <w:color w:val="2E75B5"/>
      <w:kern w:val="0"/>
      <w:sz w:val="32"/>
      <w:szCs w:val="32"/>
    </w:rPr>
  </w:style>
  <w:style w:type="paragraph" w:customStyle="1" w:styleId="21">
    <w:name w:val="图名"/>
    <w:basedOn w:val="1"/>
    <w:qFormat/>
    <w:uiPriority w:val="0"/>
    <w:pPr>
      <w:jc w:val="center"/>
    </w:pPr>
    <w:rPr>
      <w:b/>
      <w:sz w:val="24"/>
    </w:rPr>
  </w:style>
  <w:style w:type="paragraph" w:customStyle="1" w:styleId="22">
    <w:name w:val="表名"/>
    <w:basedOn w:val="1"/>
    <w:qFormat/>
    <w:uiPriority w:val="0"/>
    <w:pPr>
      <w:jc w:val="center"/>
    </w:pPr>
    <w:rPr>
      <w:b/>
      <w:sz w:val="24"/>
    </w:rPr>
  </w:style>
  <w:style w:type="table" w:customStyle="1" w:styleId="23">
    <w:name w:val="网格型1"/>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4">
    <w:name w:val="标题4"/>
    <w:basedOn w:val="1"/>
    <w:qFormat/>
    <w:uiPriority w:val="0"/>
    <w:rPr>
      <w:b/>
    </w:rPr>
  </w:style>
  <w:style w:type="paragraph" w:styleId="25">
    <w:name w:val="No Spacing"/>
    <w:qFormat/>
    <w:uiPriority w:val="1"/>
    <w:pPr>
      <w:jc w:val="center"/>
    </w:pPr>
    <w:rPr>
      <w:rFonts w:ascii="宋体" w:hAnsi="宋体" w:eastAsia="黑体" w:cs="宋体"/>
      <w:sz w:val="24"/>
      <w:szCs w:val="24"/>
      <w:lang w:val="en-US" w:eastAsia="zh-CN" w:bidi="ar-SA"/>
    </w:rPr>
  </w:style>
  <w:style w:type="paragraph" w:customStyle="1" w:styleId="26">
    <w:name w:val="biaoge"/>
    <w:basedOn w:val="25"/>
    <w:qFormat/>
    <w:uiPriority w:val="0"/>
    <w:pPr>
      <w:ind w:firstLine="0" w:firstLineChars="0"/>
    </w:pPr>
    <w:rPr>
      <w:sz w:val="21"/>
    </w:rPr>
  </w:style>
  <w:style w:type="paragraph" w:customStyle="1" w:styleId="27">
    <w:name w:val="表格"/>
    <w:basedOn w:val="1"/>
    <w:qFormat/>
    <w:uiPriority w:val="0"/>
    <w:pPr>
      <w:widowControl w:val="0"/>
      <w:jc w:val="center"/>
    </w:pPr>
    <w:rPr>
      <w:rFonts w:ascii="Times New Roman" w:hAnsi="Times New Roman" w:cs="Times New Roman"/>
      <w:kern w:val="2"/>
      <w:sz w:val="21"/>
    </w:rPr>
  </w:style>
  <w:style w:type="paragraph" w:customStyle="1" w:styleId="28">
    <w:name w:val="标题3"/>
    <w:basedOn w:val="1"/>
    <w:qFormat/>
    <w:uiPriority w:val="0"/>
    <w:pPr>
      <w:spacing w:before="50" w:beforeLines="50" w:after="50" w:afterLines="50"/>
    </w:pPr>
    <w:rPr>
      <w:b/>
      <w:sz w:val="30"/>
      <w:szCs w:val="48"/>
    </w:rPr>
  </w:style>
  <w:style w:type="paragraph" w:customStyle="1" w:styleId="29">
    <w:name w:val="表格内容"/>
    <w:basedOn w:val="1"/>
    <w:qFormat/>
    <w:uiPriority w:val="0"/>
    <w:pPr>
      <w:widowControl/>
      <w:spacing w:line="240" w:lineRule="auto"/>
      <w:jc w:val="center"/>
    </w:pPr>
    <w:rPr>
      <w:rFonts w:cs="宋体"/>
      <w:color w:val="000000"/>
      <w:kern w:val="0"/>
      <w:sz w:val="24"/>
    </w:rPr>
  </w:style>
  <w:style w:type="paragraph" w:customStyle="1" w:styleId="30">
    <w:name w:val="WPSOffice手动目录 1"/>
    <w:qFormat/>
    <w:uiPriority w:val="0"/>
    <w:pPr>
      <w:ind w:leftChars="0"/>
    </w:pPr>
    <w:rPr>
      <w:rFonts w:ascii="Times New Roman" w:hAnsi="Times New Roman" w:eastAsia="宋体" w:cs="Times New Roman"/>
      <w:sz w:val="20"/>
      <w:szCs w:val="20"/>
    </w:rPr>
  </w:style>
  <w:style w:type="paragraph" w:customStyle="1" w:styleId="31">
    <w:name w:val="WPSOffice手动目录 2"/>
    <w:qFormat/>
    <w:uiPriority w:val="0"/>
    <w:pPr>
      <w:ind w:leftChars="200"/>
    </w:pPr>
    <w:rPr>
      <w:rFonts w:ascii="Times New Roman" w:hAnsi="Times New Roman" w:eastAsia="宋体" w:cs="Times New Roman"/>
      <w:sz w:val="20"/>
      <w:szCs w:val="20"/>
    </w:rPr>
  </w:style>
  <w:style w:type="paragraph" w:customStyle="1" w:styleId="32">
    <w:name w:val="WPSOffice手动目录 3"/>
    <w:qFormat/>
    <w:uiPriority w:val="0"/>
    <w:pPr>
      <w:ind w:leftChars="400"/>
    </w:pPr>
    <w:rPr>
      <w:rFonts w:ascii="Times New Roman" w:hAnsi="Times New Roman" w:eastAsia="宋体" w:cs="Times New Roman"/>
      <w:sz w:val="20"/>
      <w:szCs w:val="20"/>
    </w:rPr>
  </w:style>
  <w:style w:type="paragraph" w:styleId="33">
    <w:name w:val="List Paragraph"/>
    <w:basedOn w:val="1"/>
    <w:qFormat/>
    <w:uiPriority w:val="34"/>
    <w:pPr>
      <w:ind w:firstLine="420" w:firstLineChars="200"/>
    </w:pPr>
  </w:style>
  <w:style w:type="character" w:customStyle="1" w:styleId="34">
    <w:name w:val="font61"/>
    <w:basedOn w:val="17"/>
    <w:qFormat/>
    <w:uiPriority w:val="0"/>
    <w:rPr>
      <w:rFonts w:hint="default" w:ascii="仿宋_GB2312" w:eastAsia="仿宋_GB2312" w:cs="仿宋_GB2312"/>
      <w:b/>
      <w:bCs/>
      <w:color w:val="000000"/>
      <w:sz w:val="24"/>
      <w:szCs w:val="24"/>
      <w:u w:val="none"/>
    </w:rPr>
  </w:style>
  <w:style w:type="character" w:customStyle="1" w:styleId="35">
    <w:name w:val="font51"/>
    <w:basedOn w:val="17"/>
    <w:qFormat/>
    <w:uiPriority w:val="0"/>
    <w:rPr>
      <w:rFonts w:hint="default" w:ascii="Times New Roman" w:hAnsi="Times New Roman" w:cs="Times New Roman"/>
      <w:b/>
      <w:bCs/>
      <w:color w:val="000000"/>
      <w:sz w:val="24"/>
      <w:szCs w:val="24"/>
      <w:u w:val="none"/>
    </w:rPr>
  </w:style>
  <w:style w:type="character" w:customStyle="1" w:styleId="36">
    <w:name w:val="font11"/>
    <w:basedOn w:val="17"/>
    <w:qFormat/>
    <w:uiPriority w:val="0"/>
    <w:rPr>
      <w:rFonts w:hint="default" w:ascii="仿宋_GB2312" w:eastAsia="仿宋_GB2312" w:cs="仿宋_GB2312"/>
      <w:color w:val="000000"/>
      <w:sz w:val="24"/>
      <w:szCs w:val="24"/>
      <w:u w:val="none"/>
    </w:rPr>
  </w:style>
  <w:style w:type="character" w:customStyle="1" w:styleId="37">
    <w:name w:val="font01"/>
    <w:basedOn w:val="17"/>
    <w:qFormat/>
    <w:uiPriority w:val="0"/>
    <w:rPr>
      <w:rFonts w:hint="default" w:ascii="仿宋_GB2312" w:eastAsia="仿宋_GB2312" w:cs="仿宋_GB2312"/>
      <w:color w:val="000000"/>
      <w:sz w:val="24"/>
      <w:szCs w:val="24"/>
      <w:u w:val="none"/>
    </w:rPr>
  </w:style>
  <w:style w:type="table" w:customStyle="1" w:styleId="38">
    <w:name w:val="网格型3"/>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15002</Words>
  <Characters>16157</Characters>
  <Lines>0</Lines>
  <Paragraphs>0</Paragraphs>
  <TotalTime>11</TotalTime>
  <ScaleCrop>false</ScaleCrop>
  <LinksUpToDate>false</LinksUpToDate>
  <CharactersWithSpaces>16319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2022-09-25T02:58:00Z</dcterms:created>
  <dc:creator>lenovo</dc:creator>
  <cp:lastModifiedBy>李猛</cp:lastModifiedBy>
  <dcterms:modified xsi:type="dcterms:W3CDTF">2023-02-12T09:40:02Z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0AAFF583DBE0411CB4D02C4F43970A85</vt:lpwstr>
  </property>
</Properties>
</file>