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许昌职业技术学院</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许昌职业技术学院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许昌职业技术学院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职业技术学院是经河南省人民政府批准，国家教育部备案的一所公办全日制普通高等专科学校，是在原许昌教育学院、许昌财税学校、许昌机电工程学校、许昌师范学校的基础上合并建设的全日制普通高职院校。学院座落在曹魏故都许昌，校园绿树常青、绿草如茵，育人环境优美。学院新校区占地100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亩，建筑面积3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平方米。拥有现代化的教学、实训大楼和80多个实训室，有专用的校内实习实训工厂及校外实习实训基地。有先进的电教室、语音室、多媒体教学设备、计算机网络系统和设施良好的公寓式学生宿舍、食堂、标准体育运动场、明月湖。 图书馆藏书</w:t>
      </w:r>
      <w:r>
        <w:rPr>
          <w:rFonts w:hint="eastAsia" w:ascii="仿宋_GB2312" w:hAnsi="仿宋_GB2312" w:eastAsia="仿宋_GB2312" w:cs="仿宋_GB2312"/>
          <w:sz w:val="32"/>
          <w:szCs w:val="32"/>
          <w:lang w:val="en-US" w:eastAsia="zh-CN"/>
        </w:rPr>
        <w:t>144.11</w:t>
      </w:r>
      <w:r>
        <w:rPr>
          <w:rFonts w:hint="eastAsia" w:ascii="仿宋_GB2312" w:hAnsi="仿宋_GB2312" w:eastAsia="仿宋_GB2312" w:cs="仿宋_GB2312"/>
          <w:sz w:val="32"/>
          <w:szCs w:val="32"/>
        </w:rPr>
        <w:t>万册，</w:t>
      </w:r>
      <w:r>
        <w:rPr>
          <w:rFonts w:hint="eastAsia" w:ascii="仿宋_GB2312" w:hAnsi="仿宋_GB2312" w:eastAsia="仿宋_GB2312" w:cs="仿宋_GB2312"/>
          <w:sz w:val="32"/>
          <w:szCs w:val="32"/>
          <w:lang w:val="en-US" w:eastAsia="zh-CN"/>
        </w:rPr>
        <w:t>数字图书80万册，</w:t>
      </w:r>
      <w:r>
        <w:rPr>
          <w:rFonts w:hint="eastAsia" w:ascii="仿宋_GB2312" w:hAnsi="仿宋_GB2312" w:eastAsia="仿宋_GB2312" w:cs="仿宋_GB2312"/>
          <w:sz w:val="32"/>
          <w:szCs w:val="32"/>
        </w:rPr>
        <w:t>各种中外期刊、电子期刊1万余种，电子阅览室可供</w:t>
      </w:r>
      <w:r>
        <w:rPr>
          <w:rFonts w:hint="eastAsia" w:ascii="仿宋_GB2312" w:hAnsi="仿宋_GB2312" w:eastAsia="仿宋_GB2312" w:cs="仿宋_GB2312"/>
          <w:sz w:val="32"/>
          <w:szCs w:val="32"/>
          <w:lang w:val="en-US" w:eastAsia="zh-CN"/>
        </w:rPr>
        <w:t>2600</w:t>
      </w:r>
      <w:r>
        <w:rPr>
          <w:rFonts w:hint="eastAsia" w:ascii="仿宋_GB2312" w:hAnsi="仿宋_GB2312" w:eastAsia="仿宋_GB2312" w:cs="仿宋_GB2312"/>
          <w:sz w:val="32"/>
          <w:szCs w:val="32"/>
        </w:rPr>
        <w:t>多人同时阅览。学校环境优美，建有明月湖、灯光操场、牡丹园、枇杷园等景观项目，形成了花园式的校园，校园式的花园。</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于2001年4月合并组建的，2002年成立学院领导班子。2008年2月被河南省教育厅确定为河南省示范性高等职业院校建设单位，2009年2月被省教育厅批准试办示范性学院。2015年12月被评为河南省职业教育品牌示范院校和特色院校。2019年成功创建“国家级优质校”，成为全国“双高”校建设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rPr>
        <w:t>“双高</w:t>
      </w:r>
      <w:r>
        <w:rPr>
          <w:rFonts w:hint="eastAsia" w:ascii="仿宋_GB2312" w:hAnsi="仿宋_GB2312" w:eastAsia="仿宋_GB2312" w:cs="仿宋_GB2312"/>
          <w:sz w:val="32"/>
          <w:szCs w:val="32"/>
          <w:highlight w:val="none"/>
          <w:lang w:val="en-US" w:eastAsia="zh-CN"/>
        </w:rPr>
        <w:t>校</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val="en-US" w:eastAsia="zh-CN"/>
        </w:rPr>
        <w:t>各项任务中期验收正在进行，经过二十年的努力奋斗，我院已</w:t>
      </w:r>
      <w:r>
        <w:rPr>
          <w:rFonts w:hint="eastAsia" w:ascii="仿宋_GB2312" w:hAnsi="仿宋_GB2312" w:eastAsia="仿宋_GB2312" w:cs="仿宋_GB2312"/>
          <w:sz w:val="32"/>
          <w:szCs w:val="32"/>
          <w:highlight w:val="none"/>
        </w:rPr>
        <w:t>顺利迈入国内一流高职院校行列。</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学校现有教职工</w:t>
      </w:r>
      <w:r>
        <w:rPr>
          <w:rFonts w:hint="eastAsia" w:ascii="仿宋_GB2312" w:hAnsi="仿宋_GB2312" w:eastAsia="仿宋_GB2312" w:cs="仿宋_GB2312"/>
          <w:sz w:val="32"/>
          <w:szCs w:val="32"/>
          <w:lang w:val="en-US" w:eastAsia="zh-CN"/>
        </w:rPr>
        <w:t>941</w:t>
      </w:r>
      <w:r>
        <w:rPr>
          <w:rFonts w:hint="eastAsia" w:ascii="仿宋_GB2312" w:hAnsi="仿宋_GB2312" w:eastAsia="仿宋_GB2312" w:cs="仿宋_GB2312"/>
          <w:sz w:val="32"/>
          <w:szCs w:val="32"/>
        </w:rPr>
        <w:t>人，其中具有研究生学历或硕士学位、博士学位的教师409人，教授、副教授及高级专业技术职务人员 254人，“双师素质”教师509人。拥有省级以上学术技术带头人、教学名师、职业教育教学专家44人。目前，学校各类全日制在校生2</w:t>
      </w:r>
      <w:r>
        <w:rPr>
          <w:rFonts w:hint="eastAsia" w:ascii="仿宋_GB2312" w:hAnsi="仿宋_GB2312" w:eastAsia="仿宋_GB2312" w:cs="仿宋_GB2312"/>
          <w:sz w:val="32"/>
          <w:szCs w:val="32"/>
          <w:lang w:val="en-US" w:eastAsia="zh-CN"/>
        </w:rPr>
        <w:t>3288</w:t>
      </w:r>
      <w:r>
        <w:rPr>
          <w:rFonts w:hint="eastAsia" w:ascii="仿宋_GB2312" w:hAnsi="仿宋_GB2312" w:eastAsia="仿宋_GB2312" w:cs="仿宋_GB2312"/>
          <w:sz w:val="32"/>
          <w:szCs w:val="32"/>
        </w:rPr>
        <w:t>人，函授生10000余人。开设有信息工程学院、机电与汽车工程学院、人文学院、艺术设计学院、财经学院、外国语学院、建筑工程学院、园林与食品工程学院、医疗卫生学院、航空工程学院、互联网学院、继续教育学院12个二级分院和2个教学部，设有机电一体化技术、建筑工程技术、汽车检测与维修技术、食品加工技术、计算机应用技术、电子商务、会计、财务管理、护理、康复治疗技术、空中乘务、高铁乘务、视觉传播设计与制作、学前教育等68个专业，其中，国家级骨干专业4个，省级品牌示范校建设专业9个，国家级优质校建设专业群12个，国家级双高建设专业群1个、省级双高建设专业群1个，国家级现代学徒制试点专业3个，国家级精品在线开放课程3门、省级精品在线开放课程8门，国家级专业教学资源库主持1项、参建5项，产业学院9个、国家级实训基地2个、校外实训基地180个，产教融合省级合作企业1家、市级合作企业332家。参加1+X证书试点证书数54个。建成有8个大师工作室。拥有省级教学成果一等奖5项、二等奖7项。教师在教学技能大赛中获得国家级二等奖2项、三等奖3项，省级一等奖9项、二等奖13项、三等奖8项。</w:t>
      </w:r>
    </w:p>
    <w:p>
      <w:pPr>
        <w:spacing w:line="600" w:lineRule="exact"/>
        <w:ind w:firstLine="640" w:firstLineChars="200"/>
        <w:rPr>
          <w:rFonts w:hint="eastAsia" w:ascii="仿宋_GB2312" w:hAnsi="宋体" w:eastAsia="仿宋_GB2312" w:cs="宋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许昌职业技术学院</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47</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党委办公室、党委组织部、宣传部、统战部（等共47个）。</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许昌职业技术学院</w:t>
      </w:r>
      <w:r>
        <w:rPr>
          <w:rFonts w:hint="eastAsia" w:ascii="仿宋_GB2312" w:hAnsi="仿宋_GB2312" w:eastAsia="仿宋_GB2312" w:cs="仿宋_GB2312"/>
          <w:kern w:val="0"/>
          <w:sz w:val="32"/>
          <w:szCs w:val="32"/>
          <w:highlight w:val="none"/>
        </w:rPr>
        <w:t>部门决算包括：</w:t>
      </w:r>
      <w:r>
        <w:rPr>
          <w:rFonts w:hint="eastAsia" w:ascii="仿宋_GB2312" w:hAnsi="仿宋_GB2312" w:eastAsia="仿宋_GB2312" w:cs="仿宋_GB2312"/>
          <w:color w:val="auto"/>
          <w:kern w:val="0"/>
          <w:sz w:val="32"/>
          <w:szCs w:val="32"/>
          <w:highlight w:val="none"/>
          <w:lang w:val="en-US" w:eastAsia="zh-CN"/>
        </w:rPr>
        <w:t>许昌职业技术学院</w:t>
      </w:r>
      <w:r>
        <w:rPr>
          <w:rFonts w:hint="eastAsia" w:ascii="仿宋_GB2312" w:hAnsi="仿宋_GB2312" w:eastAsia="仿宋_GB2312" w:cs="仿宋_GB2312"/>
          <w:kern w:val="0"/>
          <w:sz w:val="32"/>
          <w:szCs w:val="32"/>
          <w:highlight w:val="none"/>
        </w:rPr>
        <w:t>本级决算</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default" w:ascii="仿宋_GB2312" w:hAnsi="仿宋_GB2312" w:eastAsia="仿宋_GB2312" w:cs="仿宋_GB2312"/>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rPr>
        <w:t>1.许昌职业技术学院本级</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6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0"/>
        <w:gridCol w:w="338"/>
        <w:gridCol w:w="2390"/>
        <w:gridCol w:w="3521"/>
        <w:gridCol w:w="690"/>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6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22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01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94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701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69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1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26,900.10</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8,170.45</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541.36</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35,611.91</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8,828.40</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8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3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44,440.31</w:t>
            </w:r>
          </w:p>
        </w:tc>
        <w:tc>
          <w:tcPr>
            <w:tcW w:w="3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96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6"/>
        <w:gridCol w:w="222"/>
        <w:gridCol w:w="222"/>
        <w:gridCol w:w="2416"/>
        <w:gridCol w:w="1366"/>
        <w:gridCol w:w="1370"/>
        <w:gridCol w:w="920"/>
        <w:gridCol w:w="1265"/>
        <w:gridCol w:w="1234"/>
        <w:gridCol w:w="1211"/>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67"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4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222" w:type="dxa"/>
            <w:tcBorders>
              <w:top w:val="nil"/>
              <w:left w:val="nil"/>
              <w:bottom w:val="nil"/>
              <w:right w:val="nil"/>
            </w:tcBorders>
            <w:noWrap/>
            <w:vAlign w:val="bottom"/>
          </w:tcPr>
          <w:p>
            <w:pPr>
              <w:jc w:val="left"/>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jc w:val="left"/>
              <w:rPr>
                <w:rFonts w:hint="default" w:ascii="Arial" w:hAnsi="Arial" w:cs="Arial"/>
                <w:i w:val="0"/>
                <w:iCs w:val="0"/>
                <w:color w:val="000000"/>
                <w:sz w:val="20"/>
                <w:szCs w:val="20"/>
                <w:u w:val="none"/>
              </w:rPr>
            </w:pPr>
          </w:p>
        </w:tc>
        <w:tc>
          <w:tcPr>
            <w:tcW w:w="2416" w:type="dxa"/>
            <w:tcBorders>
              <w:top w:val="nil"/>
              <w:left w:val="nil"/>
              <w:bottom w:val="nil"/>
              <w:right w:val="nil"/>
            </w:tcBorders>
            <w:noWrap/>
            <w:vAlign w:val="bottom"/>
          </w:tcPr>
          <w:p>
            <w:pPr>
              <w:jc w:val="left"/>
              <w:rPr>
                <w:rFonts w:hint="default" w:ascii="Arial" w:hAnsi="Arial" w:cs="Arial"/>
                <w:i w:val="0"/>
                <w:iCs w:val="0"/>
                <w:color w:val="000000"/>
                <w:sz w:val="20"/>
                <w:szCs w:val="20"/>
                <w:u w:val="none"/>
              </w:rPr>
            </w:pPr>
          </w:p>
        </w:tc>
        <w:tc>
          <w:tcPr>
            <w:tcW w:w="1366" w:type="dxa"/>
            <w:tcBorders>
              <w:top w:val="nil"/>
              <w:left w:val="nil"/>
              <w:bottom w:val="nil"/>
              <w:right w:val="nil"/>
            </w:tcBorders>
            <w:noWrap/>
            <w:vAlign w:val="bottom"/>
          </w:tcPr>
          <w:p>
            <w:pPr>
              <w:jc w:val="left"/>
              <w:rPr>
                <w:rFonts w:hint="default" w:ascii="Arial" w:hAnsi="Arial" w:cs="Arial"/>
                <w:i w:val="0"/>
                <w:iCs w:val="0"/>
                <w:color w:val="000000"/>
                <w:sz w:val="20"/>
                <w:szCs w:val="20"/>
                <w:u w:val="none"/>
              </w:rPr>
            </w:pPr>
          </w:p>
        </w:tc>
        <w:tc>
          <w:tcPr>
            <w:tcW w:w="1370" w:type="dxa"/>
            <w:tcBorders>
              <w:top w:val="nil"/>
              <w:left w:val="nil"/>
              <w:bottom w:val="nil"/>
              <w:right w:val="nil"/>
            </w:tcBorders>
            <w:noWrap/>
            <w:vAlign w:val="bottom"/>
          </w:tcPr>
          <w:p>
            <w:pPr>
              <w:jc w:val="left"/>
              <w:rPr>
                <w:rFonts w:hint="default" w:ascii="Arial" w:hAnsi="Arial" w:cs="Arial"/>
                <w:i w:val="0"/>
                <w:iCs w:val="0"/>
                <w:color w:val="000000"/>
                <w:sz w:val="20"/>
                <w:szCs w:val="20"/>
                <w:u w:val="none"/>
              </w:rPr>
            </w:pP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2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4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35,611.91</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26,900.10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8,170.45</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35,074.73</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26,497.93</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8,035.45</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35,074.73</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26,497.93</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8,035.45</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223.82</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223.82</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34,850.91</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26,274.11</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8,035.45</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513.00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496.40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496.40</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13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967"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5"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8"/>
        <w:gridCol w:w="329"/>
        <w:gridCol w:w="3266"/>
        <w:gridCol w:w="1552"/>
        <w:gridCol w:w="1537"/>
        <w:gridCol w:w="1543"/>
        <w:gridCol w:w="1630"/>
        <w:gridCol w:w="1664"/>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341"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15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5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26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6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6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5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25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44,300.74</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17,058.84</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27,241.90</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5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43,652.87</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16,542.10</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27,110.77</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43,641.26</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16,542.10</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27,099.17</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272.80</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272.80</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43,368.46</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16,542.10</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26,826.36</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516.36</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495.03</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495.03</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495.03</w:t>
            </w:r>
          </w:p>
        </w:tc>
        <w:tc>
          <w:tcPr>
            <w:tcW w:w="15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495.03</w:t>
            </w:r>
          </w:p>
        </w:tc>
        <w:tc>
          <w:tcPr>
            <w:tcW w:w="1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495.03</w:t>
            </w:r>
          </w:p>
        </w:tc>
        <w:tc>
          <w:tcPr>
            <w:tcW w:w="15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32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5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6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65"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18"/>
        <w:gridCol w:w="1222"/>
        <w:gridCol w:w="3516"/>
        <w:gridCol w:w="518"/>
        <w:gridCol w:w="1206"/>
        <w:gridCol w:w="1206"/>
        <w:gridCol w:w="1063"/>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8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07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39"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32"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5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39"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81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7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26,900.10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32,971.17</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32,971.17</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382.73</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382.73</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26,900.10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33,485.40</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33,485.40</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6,585.30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6,585.30</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33,485.40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33,485.40</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33,485.40</w:t>
            </w:r>
          </w:p>
        </w:tc>
        <w:tc>
          <w:tcPr>
            <w:tcW w:w="10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398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326"/>
        <w:gridCol w:w="500"/>
        <w:gridCol w:w="2878"/>
        <w:gridCol w:w="3246"/>
        <w:gridCol w:w="3238"/>
        <w:gridCol w:w="3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08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2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8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276"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68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03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7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2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03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03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33,485.40</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11,480.52</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22,004.88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32,971.17</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11,097.42</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32,959.56</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11,097.42</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272.80</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32,686.76</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11,097.42</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382.73</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8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3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32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080"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5"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2841"/>
        <w:gridCol w:w="1278"/>
        <w:gridCol w:w="839"/>
        <w:gridCol w:w="1811"/>
        <w:gridCol w:w="1031"/>
        <w:gridCol w:w="917"/>
        <w:gridCol w:w="3396"/>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8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3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1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0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79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181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0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95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01"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10,802.67</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195.81</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1,179.17</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1,307.92</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4,991.68</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1,029.74</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295.75</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459.93</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76.14</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1,146.78</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315.55</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482.04</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413.86</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39.39</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94.15</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4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9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3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4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53.23</w:t>
            </w:r>
          </w:p>
        </w:tc>
        <w:tc>
          <w:tcPr>
            <w:tcW w:w="9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67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11,284.71</w:t>
            </w:r>
          </w:p>
        </w:tc>
        <w:tc>
          <w:tcPr>
            <w:tcW w:w="7994"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95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5"/>
        <w:gridCol w:w="1045"/>
        <w:gridCol w:w="1045"/>
        <w:gridCol w:w="1045"/>
        <w:gridCol w:w="1045"/>
        <w:gridCol w:w="1045"/>
        <w:gridCol w:w="1045"/>
        <w:gridCol w:w="1045"/>
        <w:gridCol w:w="1294"/>
        <w:gridCol w:w="1234"/>
        <w:gridCol w:w="1234"/>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78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04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71"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180"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71"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62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1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62"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4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0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52.50</w:t>
            </w:r>
          </w:p>
        </w:tc>
        <w:tc>
          <w:tcPr>
            <w:tcW w:w="10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42.76</w:t>
            </w:r>
          </w:p>
        </w:tc>
        <w:tc>
          <w:tcPr>
            <w:tcW w:w="10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0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0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0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52.50</w:t>
            </w:r>
          </w:p>
        </w:tc>
        <w:tc>
          <w:tcPr>
            <w:tcW w:w="12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42.76</w:t>
            </w:r>
          </w:p>
        </w:tc>
        <w:tc>
          <w:tcPr>
            <w:tcW w:w="12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6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378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15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
        <w:gridCol w:w="381"/>
        <w:gridCol w:w="381"/>
        <w:gridCol w:w="1883"/>
        <w:gridCol w:w="1857"/>
        <w:gridCol w:w="1857"/>
        <w:gridCol w:w="1857"/>
        <w:gridCol w:w="1857"/>
        <w:gridCol w:w="1857"/>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69"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部门：许昌职业技术学院</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17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i w:val="0"/>
          <w:iCs w:val="0"/>
          <w:color w:val="000000"/>
          <w:kern w:val="0"/>
          <w:sz w:val="32"/>
          <w:szCs w:val="32"/>
          <w:u w:val="none"/>
          <w:lang w:val="en-US" w:eastAsia="zh-CN" w:bidi="ar"/>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44,440.31</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sz w:val="32"/>
          <w:szCs w:val="24"/>
        </w:rPr>
        <w:t>1,738.56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rPr>
        <w:t>4.07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2021年我院双高校建设项目进入中期工程，投入较大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35,611.91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26,900.1</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75.54</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sz w:val="32"/>
          <w:szCs w:val="24"/>
          <w:lang w:val="en-US"/>
        </w:rPr>
        <w:t>8,170.45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22.94</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sz w:val="32"/>
          <w:szCs w:val="24"/>
          <w:lang w:val="en-US"/>
        </w:rPr>
        <w:t>541.36</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1.52</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44,300.74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17,058.84</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38.51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27,241.9</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61.49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33,485.4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sz w:val="32"/>
          <w:szCs w:val="24"/>
          <w:lang w:val="en-US"/>
        </w:rPr>
        <w:t>1,309.19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4.07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2021年我院双高校建设项目进入中期工程，投入较大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33,485.4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75.59</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lang w:val="en-US"/>
        </w:rPr>
        <w:t>8,039.54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31.59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2021年我院双高校建设项目进入中期工程，投入较大</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33,485.4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21.71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国防（类）支出0.98万元，占0.01%，教育（类）</w:t>
      </w:r>
      <w:r>
        <w:rPr>
          <w:rFonts w:hint="eastAsia" w:ascii="仿宋_GB2312" w:hAnsi="仿宋_GB2312" w:eastAsia="仿宋_GB2312" w:cs="仿宋_GB2312"/>
          <w:color w:val="auto"/>
          <w:sz w:val="32"/>
          <w:szCs w:val="32"/>
          <w:highlight w:val="none"/>
          <w:lang w:val="zh-CN" w:eastAsia="zh-CN"/>
        </w:rPr>
        <w:t>支出</w:t>
      </w:r>
      <w:r>
        <w:rPr>
          <w:rFonts w:hint="eastAsia" w:ascii="仿宋_GB2312" w:hAnsi="仿宋_GB2312" w:eastAsia="仿宋_GB2312" w:cs="仿宋_GB2312"/>
          <w:color w:val="auto"/>
          <w:sz w:val="32"/>
          <w:szCs w:val="32"/>
          <w:highlight w:val="none"/>
          <w:lang w:val="en-US" w:eastAsia="zh-CN"/>
        </w:rPr>
        <w:t>32，971.17</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98.46</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科学技术（类）支出108.81万元，占0.32%，社会保障和就业（类）支出382.73万元，占1.14%</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15,646.9</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33,485.4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214.01</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工会实务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21.71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108.55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存在</w:t>
      </w:r>
      <w:r>
        <w:rPr>
          <w:rFonts w:hint="eastAsia" w:ascii="仿宋_GB2312" w:hAnsi="仿宋_GB2312" w:eastAsia="仿宋_GB2312" w:cs="仿宋_GB2312"/>
          <w:sz w:val="32"/>
          <w:szCs w:val="32"/>
          <w:highlight w:val="none"/>
        </w:rPr>
        <w:t>差异</w:t>
      </w:r>
      <w:r>
        <w:rPr>
          <w:rFonts w:hint="eastAsia" w:ascii="仿宋_GB2312" w:hAnsi="仿宋_GB2312" w:eastAsia="仿宋_GB2312" w:cs="仿宋_GB2312"/>
          <w:sz w:val="32"/>
          <w:szCs w:val="32"/>
          <w:highlight w:val="none"/>
          <w:lang w:val="en-US" w:eastAsia="zh-CN"/>
        </w:rPr>
        <w:t>的原因是学院人数增加，支出增加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国防支出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国防动员</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兵役征集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教育支出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普通教育支出</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高等教育支出</w:t>
      </w:r>
      <w:r>
        <w:rPr>
          <w:rFonts w:hint="eastAsia" w:ascii="仿宋_GB2312" w:hAnsi="仿宋_GB2312" w:eastAsia="仿宋_GB2312" w:cs="仿宋_GB2312"/>
          <w:b/>
          <w:bCs/>
          <w:color w:val="auto"/>
          <w:sz w:val="32"/>
          <w:szCs w:val="32"/>
          <w:highlight w:val="none"/>
          <w:lang w:val="zh-CN" w:eastAsia="zh-CN"/>
        </w:rPr>
        <w:t>（项）。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11.61</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11.61</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lang w:val="zh-CN" w:eastAsia="zh-CN"/>
        </w:rPr>
        <w:t>%。决算数与年初预算数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教育支出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职业教育支出、</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中等教育支出</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272.80</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272.80</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lang w:val="zh-CN" w:eastAsia="zh-CN"/>
        </w:rPr>
        <w:t>%。决算数与年初预算数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教育支出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职业教育支出、</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高等教育支出</w:t>
      </w:r>
      <w:r>
        <w:rPr>
          <w:rFonts w:hint="eastAsia" w:ascii="仿宋_GB2312" w:hAnsi="仿宋_GB2312" w:eastAsia="仿宋_GB2312" w:cs="仿宋_GB2312"/>
          <w:b/>
          <w:bCs/>
          <w:color w:val="auto"/>
          <w:sz w:val="32"/>
          <w:szCs w:val="32"/>
          <w:highlight w:val="none"/>
          <w:lang w:val="zh-CN" w:eastAsia="zh-CN"/>
        </w:rPr>
        <w:t>（项）。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15,276.90</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32,686.76</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213.96</w:t>
      </w:r>
      <w:r>
        <w:rPr>
          <w:rFonts w:hint="eastAsia" w:ascii="仿宋_GB2312" w:hAnsi="仿宋_GB2312" w:eastAsia="仿宋_GB2312" w:cs="仿宋_GB2312"/>
          <w:color w:val="auto"/>
          <w:sz w:val="32"/>
          <w:szCs w:val="32"/>
          <w:highlight w:val="none"/>
          <w:lang w:val="zh-CN" w:eastAsia="zh-CN"/>
        </w:rPr>
        <w:t>%。决算数与年初预算数存在差异的主要原因是</w:t>
      </w:r>
      <w:r>
        <w:rPr>
          <w:rFonts w:hint="eastAsia" w:ascii="仿宋_GB2312" w:hAnsi="仿宋_GB2312" w:eastAsia="仿宋_GB2312" w:cs="仿宋_GB2312"/>
          <w:color w:val="auto"/>
          <w:sz w:val="32"/>
          <w:szCs w:val="32"/>
          <w:highlight w:val="none"/>
          <w:lang w:val="en-US" w:eastAsia="zh-CN"/>
        </w:rPr>
        <w:t>国家重视职业教育，政府对高职教育投入力度加大</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科学技术支出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应用研究</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社会公益研究</w:t>
      </w:r>
      <w:r>
        <w:rPr>
          <w:rFonts w:hint="eastAsia" w:ascii="仿宋_GB2312" w:hAnsi="仿宋_GB2312" w:eastAsia="仿宋_GB2312" w:cs="仿宋_GB2312"/>
          <w:b/>
          <w:bCs/>
          <w:color w:val="auto"/>
          <w:sz w:val="32"/>
          <w:szCs w:val="32"/>
          <w:highlight w:val="none"/>
          <w:lang w:val="zh-CN" w:eastAsia="zh-CN"/>
        </w:rPr>
        <w:t>（项）。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2.90</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2.90</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lang w:val="zh-CN" w:eastAsia="zh-CN"/>
        </w:rPr>
        <w:t>%。决算数与年初预算数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科学技术支出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技术研究与开发</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其他技术研究与开发支出</w:t>
      </w:r>
      <w:r>
        <w:rPr>
          <w:rFonts w:hint="eastAsia" w:ascii="仿宋_GB2312" w:hAnsi="仿宋_GB2312" w:eastAsia="仿宋_GB2312" w:cs="仿宋_GB2312"/>
          <w:b/>
          <w:bCs/>
          <w:color w:val="auto"/>
          <w:sz w:val="32"/>
          <w:szCs w:val="32"/>
          <w:highlight w:val="none"/>
          <w:lang w:val="zh-CN" w:eastAsia="zh-CN"/>
        </w:rPr>
        <w:t>（项）。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105.91</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105.91</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lang w:val="zh-CN" w:eastAsia="zh-CN"/>
        </w:rPr>
        <w:t>%。决算数与年初预算数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lang w:val="zh-CN" w:eastAsia="zh-CN"/>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lang w:val="zh-CN" w:eastAsia="zh-CN"/>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color w:val="auto"/>
          <w:sz w:val="32"/>
          <w:szCs w:val="32"/>
          <w:highlight w:val="none"/>
          <w:lang w:val="zh-CN" w:eastAsia="zh-CN"/>
        </w:rPr>
        <w:t>（项）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350.00</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495.03</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141.44</w:t>
      </w:r>
      <w:r>
        <w:rPr>
          <w:rFonts w:hint="eastAsia" w:ascii="仿宋_GB2312" w:hAnsi="仿宋_GB2312" w:eastAsia="仿宋_GB2312" w:cs="仿宋_GB2312"/>
          <w:color w:val="auto"/>
          <w:sz w:val="32"/>
          <w:szCs w:val="32"/>
          <w:highlight w:val="none"/>
          <w:lang w:val="zh-CN" w:eastAsia="zh-CN"/>
        </w:rPr>
        <w:t>%。决算数与年初预算数</w:t>
      </w:r>
      <w:r>
        <w:rPr>
          <w:rFonts w:hint="eastAsia" w:ascii="仿宋_GB2312" w:hAnsi="仿宋_GB2312" w:eastAsia="仿宋_GB2312" w:cs="仿宋_GB2312"/>
          <w:color w:val="auto"/>
          <w:sz w:val="32"/>
          <w:szCs w:val="32"/>
          <w:highlight w:val="none"/>
          <w:lang w:val="en-US" w:eastAsia="zh-CN"/>
        </w:rPr>
        <w:t>存在差异原因的主要原因是我院退休人员增多，养老支出增加</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11,480.52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11,284.71</w:t>
      </w:r>
      <w:r>
        <w:rPr>
          <w:rFonts w:hint="eastAsia" w:ascii="仿宋_GB2312" w:hAnsi="仿宋_GB2312" w:eastAsia="仿宋_GB2312" w:cs="仿宋_GB2312"/>
          <w:sz w:val="32"/>
          <w:szCs w:val="32"/>
          <w:highlight w:val="none"/>
        </w:rPr>
        <w:t>万元，主要包括：基本工资、津贴补贴、绩效工资、机关事业单位基本养老保险缴费、职业年金缴费、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val="en-US" w:eastAsia="zh-CN"/>
        </w:rPr>
        <w:t>住房公积金、</w:t>
      </w:r>
      <w:r>
        <w:rPr>
          <w:rFonts w:hint="eastAsia" w:ascii="仿宋_GB2312" w:hAnsi="仿宋_GB2312" w:eastAsia="仿宋_GB2312" w:cs="仿宋_GB2312"/>
          <w:sz w:val="32"/>
          <w:szCs w:val="32"/>
          <w:highlight w:val="none"/>
        </w:rPr>
        <w:t>其他工资福利支出、离休费、退休费、抚恤金、生活补助、医疗费</w:t>
      </w:r>
      <w:r>
        <w:rPr>
          <w:rFonts w:hint="eastAsia" w:ascii="仿宋_GB2312" w:hAnsi="仿宋_GB2312" w:eastAsia="仿宋_GB2312" w:cs="仿宋_GB2312"/>
          <w:sz w:val="32"/>
          <w:szCs w:val="32"/>
          <w:highlight w:val="none"/>
          <w:lang w:val="en-US" w:eastAsia="zh-CN"/>
        </w:rPr>
        <w:t>补助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助学</w:t>
      </w:r>
      <w:r>
        <w:rPr>
          <w:rFonts w:hint="eastAsia" w:ascii="仿宋_GB2312" w:hAnsi="仿宋_GB2312" w:eastAsia="仿宋_GB2312" w:cs="仿宋_GB2312"/>
          <w:sz w:val="32"/>
          <w:szCs w:val="32"/>
          <w:highlight w:val="none"/>
        </w:rPr>
        <w:t>金；公用经费</w:t>
      </w:r>
      <w:r>
        <w:rPr>
          <w:rFonts w:hint="eastAsia" w:ascii="仿宋_GB2312" w:hAnsi="仿宋_GB2312" w:eastAsia="仿宋_GB2312"/>
          <w:sz w:val="32"/>
          <w:szCs w:val="24"/>
          <w:lang w:val="en-US"/>
        </w:rPr>
        <w:t>195.81</w:t>
      </w:r>
      <w:r>
        <w:rPr>
          <w:rFonts w:hint="eastAsia" w:ascii="仿宋_GB2312" w:hAnsi="仿宋_GB2312" w:eastAsia="仿宋_GB2312" w:cs="仿宋_GB2312"/>
          <w:sz w:val="32"/>
          <w:szCs w:val="32"/>
          <w:highlight w:val="none"/>
        </w:rPr>
        <w:t>万元，主要包括：办公费、印刷费、手续费、公务接待费、劳务费、工会经费、公务用车运行维护费、税金及附加费用、其他商品和服务支出。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56.24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56.24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sz w:val="32"/>
          <w:szCs w:val="24"/>
          <w:lang w:val="en-US"/>
        </w:rPr>
        <w:t>52.5</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93.35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sz w:val="32"/>
          <w:szCs w:val="24"/>
          <w:lang w:val="en-US"/>
        </w:rPr>
        <w:t>3.74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6.65</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52.50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42.76</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台，其中</w:t>
      </w:r>
      <w:r>
        <w:rPr>
          <w:rFonts w:hint="eastAsia" w:ascii="仿宋_GB2312" w:hAnsi="仿宋_GB2312" w:eastAsia="仿宋_GB2312" w:cs="仿宋_GB2312"/>
          <w:sz w:val="32"/>
          <w:szCs w:val="32"/>
          <w:highlight w:val="none"/>
          <w:lang w:val="en-US" w:eastAsia="zh-CN"/>
        </w:rPr>
        <w:t>大中型载客汽</w:t>
      </w:r>
      <w:r>
        <w:rPr>
          <w:rFonts w:hint="eastAsia" w:ascii="仿宋_GB2312" w:hAnsi="仿宋_GB2312" w:eastAsia="仿宋_GB2312" w:cs="仿宋_GB2312"/>
          <w:sz w:val="32"/>
          <w:szCs w:val="32"/>
          <w:highlight w:val="none"/>
        </w:rPr>
        <w:t>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9.74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汽油费、车辆维修费、车辆保险费等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6辆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接待来访团组</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不存在项目年末结转和结余资金数额较大。</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我部门不是行政机关，也不是参照公务员管理事业单位，没有机关运行经费支出。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rPr>
        <w:t>3,445.44</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sz w:val="32"/>
          <w:szCs w:val="24"/>
          <w:lang w:val="en-US"/>
        </w:rPr>
        <w:t>3,445.44</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许昌市人民政府关于全面实施预算绩效管理的实施意见》（许发〔2021〕13号）文件要求，对本单位整体支出和项目支出开展全过程预算绩效管理。2021年我单位纳入预算绩效管理的支出总额为31,021.00万元，其中：基本支出</w:t>
      </w:r>
      <w:r>
        <w:rPr>
          <w:rFonts w:hint="eastAsia" w:ascii="仿宋_GB2312" w:hAnsi="仿宋_GB2312" w:cs="仿宋_GB2312"/>
          <w:b w:val="0"/>
          <w:bCs w:val="0"/>
          <w:sz w:val="32"/>
          <w:szCs w:val="32"/>
          <w:lang w:val="en-US" w:eastAsia="zh-CN"/>
        </w:rPr>
        <w:t>21,521.00</w:t>
      </w:r>
      <w:r>
        <w:rPr>
          <w:rFonts w:hint="eastAsia" w:ascii="仿宋_GB2312" w:hAnsi="仿宋_GB2312" w:eastAsia="仿宋_GB2312" w:cs="仿宋_GB2312"/>
          <w:color w:val="auto"/>
          <w:sz w:val="32"/>
          <w:szCs w:val="32"/>
          <w:highlight w:val="none"/>
          <w:lang w:val="en-US" w:eastAsia="zh-CN"/>
        </w:rPr>
        <w:t>万元；支出项目4个，支出金额9,500.00万元。开展项目绩效自评项目4个，自评金额9,500.00万元；纳入重点绩效评价0个，评价金额0.00万元。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w:t>
      </w:r>
      <w:r>
        <w:rPr>
          <w:rFonts w:hint="eastAsia" w:ascii="仿宋_GB2312" w:hAnsi="仿宋_GB2312" w:eastAsia="仿宋_GB2312" w:cs="仿宋_GB2312"/>
          <w:sz w:val="32"/>
          <w:szCs w:val="32"/>
          <w:lang w:val="en-US" w:eastAsia="zh-CN"/>
        </w:rPr>
        <w:t>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rPr>
        <w:t>根据关于</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整体绩效管理的部署要求，对我</w:t>
      </w:r>
      <w:r>
        <w:rPr>
          <w:rFonts w:hint="eastAsia" w:ascii="仿宋_GB2312" w:hAnsi="仿宋_GB2312" w:eastAsia="仿宋_GB2312" w:cs="仿宋_GB2312"/>
          <w:sz w:val="32"/>
          <w:szCs w:val="32"/>
          <w:lang w:val="en-US" w:eastAsia="zh-CN"/>
        </w:rPr>
        <w:t>单位2021</w:t>
      </w:r>
      <w:r>
        <w:rPr>
          <w:rFonts w:hint="eastAsia" w:ascii="仿宋_GB2312" w:hAnsi="仿宋_GB2312" w:eastAsia="仿宋_GB2312" w:cs="仿宋_GB2312"/>
          <w:sz w:val="32"/>
          <w:szCs w:val="32"/>
        </w:rPr>
        <w:t>年的整体绩效目标完成情况进行自评。</w:t>
      </w:r>
      <w:r>
        <w:rPr>
          <w:rFonts w:hint="eastAsia" w:ascii="仿宋_GB2312" w:hAnsi="仿宋_GB2312" w:eastAsia="仿宋_GB2312" w:cs="仿宋_GB2312"/>
          <w:sz w:val="32"/>
          <w:szCs w:val="32"/>
          <w:lang w:val="en-US" w:eastAsia="zh-CN"/>
        </w:rPr>
        <w:t>我单位紧紧</w:t>
      </w:r>
      <w:r>
        <w:rPr>
          <w:rFonts w:hint="eastAsia" w:ascii="仿宋_GB2312" w:hAnsi="仿宋_GB2312" w:eastAsia="仿宋_GB2312" w:cs="仿宋_GB2312"/>
          <w:sz w:val="32"/>
          <w:szCs w:val="32"/>
        </w:rPr>
        <w:t>围绕建设国内一流高职院校的办学目标，大力推进内涵建设，全面贯彻立德树人根本任务，以服务区域经济社会发展为宗旨，以促进学生成才就业为导向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2021年全年我单位实际预算执行数为31,021.00万元，预算执行率为100.00%，</w:t>
      </w:r>
      <w:r>
        <w:rPr>
          <w:rFonts w:hint="eastAsia" w:ascii="仿宋_GB2312" w:hAnsi="仿宋_GB2312" w:eastAsia="仿宋_GB2312" w:cs="仿宋_GB2312"/>
          <w:sz w:val="32"/>
          <w:szCs w:val="32"/>
        </w:rPr>
        <w:t>年度工作目标实现率</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lang w:val="en-US" w:eastAsia="zh-CN"/>
        </w:rPr>
        <w:t>98.00%，</w:t>
      </w:r>
      <w:r>
        <w:rPr>
          <w:rFonts w:hint="eastAsia" w:ascii="仿宋_GB2312" w:hAnsi="仿宋_GB2312" w:eastAsia="仿宋_GB2312" w:cs="仿宋_GB2312"/>
          <w:sz w:val="32"/>
          <w:szCs w:val="32"/>
          <w:lang w:eastAsia="zh-CN"/>
        </w:rPr>
        <w:t>群众、企业和对口部门</w:t>
      </w:r>
      <w:r>
        <w:rPr>
          <w:rFonts w:hint="eastAsia" w:ascii="仿宋_GB2312" w:hAnsi="仿宋_GB2312" w:eastAsia="仿宋_GB2312" w:cs="仿宋_GB2312"/>
          <w:sz w:val="32"/>
          <w:szCs w:val="32"/>
        </w:rPr>
        <w:t>对于202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工作的满意度为</w:t>
      </w:r>
      <w:r>
        <w:rPr>
          <w:rFonts w:hint="eastAsia" w:ascii="仿宋_GB2312" w:hAnsi="仿宋_GB2312" w:eastAsia="仿宋_GB2312" w:cs="仿宋_GB2312"/>
          <w:sz w:val="32"/>
          <w:szCs w:val="32"/>
          <w:lang w:val="en-US" w:eastAsia="zh-CN"/>
        </w:rPr>
        <w:t>95.00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总体自评结果良好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财务相关管理制度健全，预算执行及时、有效，活动开展及时有效，群众满意度较高，基本实现了预期</w:t>
      </w:r>
      <w:r>
        <w:rPr>
          <w:rFonts w:hint="eastAsia" w:ascii="仿宋_GB2312" w:hAnsi="仿宋_GB2312" w:eastAsia="仿宋_GB2312" w:cs="仿宋_GB2312"/>
          <w:sz w:val="32"/>
          <w:szCs w:val="32"/>
          <w:lang w:val="en-US" w:eastAsia="zh-CN"/>
        </w:rPr>
        <w:t>目标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二是项目绩效自评情况。我单位</w:t>
      </w:r>
      <w:r>
        <w:rPr>
          <w:rFonts w:hint="eastAsia" w:ascii="仿宋_GB2312" w:hAnsi="仿宋_GB2312" w:eastAsia="仿宋_GB2312" w:cs="仿宋_GB2312"/>
          <w:color w:val="auto"/>
          <w:sz w:val="32"/>
          <w:szCs w:val="32"/>
          <w:highlight w:val="none"/>
          <w:lang w:val="en-US" w:eastAsia="zh-CN"/>
        </w:rPr>
        <w:t>共有4个项目批复了绩效目标。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基于项目预期目标的实现程度，对2021年度项目支出绩效进行自评，绩效自评平均得分为100分。其中：4个项目评价等级为“优”。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我部门选取4个项目开展了绩效评价，评价得分：100分，等次为“优”。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2021年度我部门没有开展重点绩效评价的项目。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w:t>
      </w:r>
      <w:bookmarkStart w:id="0" w:name="_GoBack"/>
      <w:bookmarkEnd w:id="0"/>
      <w:r>
        <w:rPr>
          <w:rFonts w:hint="eastAsia" w:ascii="仿宋_GB2312" w:hAnsi="仿宋_GB2312" w:eastAsia="仿宋_GB2312" w:cs="仿宋_GB2312"/>
          <w:color w:val="auto"/>
          <w:sz w:val="32"/>
          <w:szCs w:val="32"/>
          <w:highlight w:val="none"/>
          <w:lang w:val="en-US" w:eastAsia="zh-CN"/>
        </w:rPr>
        <w:t>将对照重点绩效评价发现问题进行整改，不断提高项目和预算管理水平，提升财政资金使用效益。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ZhYTY2ZWE3MzUzM2I4M2I2ZjkzOGFjZTJkYzg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104E45"/>
    <w:rsid w:val="02A3489A"/>
    <w:rsid w:val="02CA138D"/>
    <w:rsid w:val="033646FC"/>
    <w:rsid w:val="03516A3C"/>
    <w:rsid w:val="036938A7"/>
    <w:rsid w:val="03C75F80"/>
    <w:rsid w:val="0478364D"/>
    <w:rsid w:val="053D4C0D"/>
    <w:rsid w:val="0557532E"/>
    <w:rsid w:val="06C54590"/>
    <w:rsid w:val="0799329C"/>
    <w:rsid w:val="07DD531B"/>
    <w:rsid w:val="08397436"/>
    <w:rsid w:val="086F16A7"/>
    <w:rsid w:val="093E2C7A"/>
    <w:rsid w:val="09AD0CD7"/>
    <w:rsid w:val="0A0F7225"/>
    <w:rsid w:val="0A2B7D82"/>
    <w:rsid w:val="0ADC40E9"/>
    <w:rsid w:val="0AE607F4"/>
    <w:rsid w:val="0B386127"/>
    <w:rsid w:val="0B451598"/>
    <w:rsid w:val="0BEC73F4"/>
    <w:rsid w:val="0C392698"/>
    <w:rsid w:val="0C57235F"/>
    <w:rsid w:val="0DBD3C2E"/>
    <w:rsid w:val="0EEA16BD"/>
    <w:rsid w:val="0F8B0B9E"/>
    <w:rsid w:val="10BD36F6"/>
    <w:rsid w:val="11BF0649"/>
    <w:rsid w:val="11E9219A"/>
    <w:rsid w:val="123E3E08"/>
    <w:rsid w:val="133212F4"/>
    <w:rsid w:val="13D22E22"/>
    <w:rsid w:val="159D7B47"/>
    <w:rsid w:val="161C2DFF"/>
    <w:rsid w:val="16373578"/>
    <w:rsid w:val="16D3336B"/>
    <w:rsid w:val="17200028"/>
    <w:rsid w:val="17806C36"/>
    <w:rsid w:val="17A74F62"/>
    <w:rsid w:val="18A47774"/>
    <w:rsid w:val="1A8C67A0"/>
    <w:rsid w:val="1A8D28EB"/>
    <w:rsid w:val="1A9F2D78"/>
    <w:rsid w:val="1AD11A4B"/>
    <w:rsid w:val="1B2E6FD8"/>
    <w:rsid w:val="1B877D21"/>
    <w:rsid w:val="1C4319A9"/>
    <w:rsid w:val="1DAD1527"/>
    <w:rsid w:val="1E443B4B"/>
    <w:rsid w:val="1E994F4A"/>
    <w:rsid w:val="1EAF0224"/>
    <w:rsid w:val="1F2230A4"/>
    <w:rsid w:val="1F382D9D"/>
    <w:rsid w:val="20210932"/>
    <w:rsid w:val="202448E0"/>
    <w:rsid w:val="2094208E"/>
    <w:rsid w:val="20F614FE"/>
    <w:rsid w:val="21302EEA"/>
    <w:rsid w:val="22376FB5"/>
    <w:rsid w:val="23E152D7"/>
    <w:rsid w:val="23EE2489"/>
    <w:rsid w:val="24A66838"/>
    <w:rsid w:val="255D43C8"/>
    <w:rsid w:val="25A365EF"/>
    <w:rsid w:val="26714EF8"/>
    <w:rsid w:val="2671610B"/>
    <w:rsid w:val="26876BDD"/>
    <w:rsid w:val="26EA5DA5"/>
    <w:rsid w:val="2714632A"/>
    <w:rsid w:val="27541E73"/>
    <w:rsid w:val="27B0539E"/>
    <w:rsid w:val="29365CF8"/>
    <w:rsid w:val="297E48B0"/>
    <w:rsid w:val="299469B3"/>
    <w:rsid w:val="29E96AC1"/>
    <w:rsid w:val="2A805789"/>
    <w:rsid w:val="2A84176C"/>
    <w:rsid w:val="2A8D40F2"/>
    <w:rsid w:val="2ADC0D75"/>
    <w:rsid w:val="2B4A0E52"/>
    <w:rsid w:val="2B6765E6"/>
    <w:rsid w:val="2C975890"/>
    <w:rsid w:val="2DCF0E24"/>
    <w:rsid w:val="2DEF21BB"/>
    <w:rsid w:val="2E264D7B"/>
    <w:rsid w:val="2E2A0155"/>
    <w:rsid w:val="2E4A2F05"/>
    <w:rsid w:val="2E88532A"/>
    <w:rsid w:val="2ECC1061"/>
    <w:rsid w:val="2FA476AD"/>
    <w:rsid w:val="303F7540"/>
    <w:rsid w:val="31DD00BF"/>
    <w:rsid w:val="3293174C"/>
    <w:rsid w:val="32BB38D4"/>
    <w:rsid w:val="32C9376D"/>
    <w:rsid w:val="33780472"/>
    <w:rsid w:val="338B248E"/>
    <w:rsid w:val="33AF0905"/>
    <w:rsid w:val="3400397B"/>
    <w:rsid w:val="355932F4"/>
    <w:rsid w:val="35611882"/>
    <w:rsid w:val="361138EA"/>
    <w:rsid w:val="36746FC3"/>
    <w:rsid w:val="368763AE"/>
    <w:rsid w:val="386D2244"/>
    <w:rsid w:val="395D59E7"/>
    <w:rsid w:val="39A93932"/>
    <w:rsid w:val="39E134FC"/>
    <w:rsid w:val="3A915562"/>
    <w:rsid w:val="3B8D4765"/>
    <w:rsid w:val="3C000DBA"/>
    <w:rsid w:val="3C84002A"/>
    <w:rsid w:val="3DC045D3"/>
    <w:rsid w:val="3E504FFB"/>
    <w:rsid w:val="3E615CD0"/>
    <w:rsid w:val="3E9A01F4"/>
    <w:rsid w:val="3E9C47F6"/>
    <w:rsid w:val="3F8B0112"/>
    <w:rsid w:val="3FAB3095"/>
    <w:rsid w:val="3FE45947"/>
    <w:rsid w:val="40515375"/>
    <w:rsid w:val="41242965"/>
    <w:rsid w:val="41D4323D"/>
    <w:rsid w:val="435671EA"/>
    <w:rsid w:val="440809E9"/>
    <w:rsid w:val="440C3A50"/>
    <w:rsid w:val="442407A6"/>
    <w:rsid w:val="44292F78"/>
    <w:rsid w:val="44805EA1"/>
    <w:rsid w:val="45710696"/>
    <w:rsid w:val="46142B1B"/>
    <w:rsid w:val="469C5FD2"/>
    <w:rsid w:val="47E60DD0"/>
    <w:rsid w:val="48735039"/>
    <w:rsid w:val="492C684B"/>
    <w:rsid w:val="49500594"/>
    <w:rsid w:val="49C03235"/>
    <w:rsid w:val="49E7604E"/>
    <w:rsid w:val="4A9E5060"/>
    <w:rsid w:val="4BF21670"/>
    <w:rsid w:val="4BF67CDD"/>
    <w:rsid w:val="4D173441"/>
    <w:rsid w:val="4D603DD6"/>
    <w:rsid w:val="4EBF010F"/>
    <w:rsid w:val="4F471EB0"/>
    <w:rsid w:val="50385804"/>
    <w:rsid w:val="503E2ACE"/>
    <w:rsid w:val="504A6930"/>
    <w:rsid w:val="50C545CD"/>
    <w:rsid w:val="51331326"/>
    <w:rsid w:val="51740A7F"/>
    <w:rsid w:val="51A5541E"/>
    <w:rsid w:val="51C96242"/>
    <w:rsid w:val="53906AE1"/>
    <w:rsid w:val="540B76C9"/>
    <w:rsid w:val="54F46F60"/>
    <w:rsid w:val="55A37BEA"/>
    <w:rsid w:val="55FF9C7B"/>
    <w:rsid w:val="56362CD2"/>
    <w:rsid w:val="56C632F9"/>
    <w:rsid w:val="56FC2A7A"/>
    <w:rsid w:val="575B168F"/>
    <w:rsid w:val="57640429"/>
    <w:rsid w:val="5784687B"/>
    <w:rsid w:val="57846959"/>
    <w:rsid w:val="578E6A87"/>
    <w:rsid w:val="5A2413B5"/>
    <w:rsid w:val="5ABB7D47"/>
    <w:rsid w:val="5AC2203A"/>
    <w:rsid w:val="5CBB3334"/>
    <w:rsid w:val="5CFC1F34"/>
    <w:rsid w:val="5D115FAF"/>
    <w:rsid w:val="5E4743FB"/>
    <w:rsid w:val="6064410A"/>
    <w:rsid w:val="62811722"/>
    <w:rsid w:val="62E75A72"/>
    <w:rsid w:val="632D754F"/>
    <w:rsid w:val="64571880"/>
    <w:rsid w:val="649125B6"/>
    <w:rsid w:val="652F4C1A"/>
    <w:rsid w:val="655C3372"/>
    <w:rsid w:val="66384F30"/>
    <w:rsid w:val="666D37F1"/>
    <w:rsid w:val="67087D8F"/>
    <w:rsid w:val="671F687E"/>
    <w:rsid w:val="67F415F8"/>
    <w:rsid w:val="682640D1"/>
    <w:rsid w:val="684B73E5"/>
    <w:rsid w:val="690207A6"/>
    <w:rsid w:val="69807B41"/>
    <w:rsid w:val="6A047A2A"/>
    <w:rsid w:val="6B520395"/>
    <w:rsid w:val="6C4C4B39"/>
    <w:rsid w:val="6EFB7548"/>
    <w:rsid w:val="6F3831C3"/>
    <w:rsid w:val="6F8B71C1"/>
    <w:rsid w:val="6FA67EF8"/>
    <w:rsid w:val="6FF6CC86"/>
    <w:rsid w:val="70577A8F"/>
    <w:rsid w:val="70753482"/>
    <w:rsid w:val="707B522A"/>
    <w:rsid w:val="70BC46BF"/>
    <w:rsid w:val="71DB1BFF"/>
    <w:rsid w:val="73194D05"/>
    <w:rsid w:val="73A83B0E"/>
    <w:rsid w:val="743F14D1"/>
    <w:rsid w:val="744D3EF9"/>
    <w:rsid w:val="74794411"/>
    <w:rsid w:val="75867C40"/>
    <w:rsid w:val="75B10B26"/>
    <w:rsid w:val="76432199"/>
    <w:rsid w:val="764E52F2"/>
    <w:rsid w:val="76F44829"/>
    <w:rsid w:val="77A267C0"/>
    <w:rsid w:val="77D94AFB"/>
    <w:rsid w:val="78882278"/>
    <w:rsid w:val="78B118A6"/>
    <w:rsid w:val="79135044"/>
    <w:rsid w:val="7A7120BD"/>
    <w:rsid w:val="7A7D0F99"/>
    <w:rsid w:val="7AC21736"/>
    <w:rsid w:val="7CA72965"/>
    <w:rsid w:val="7D0326C3"/>
    <w:rsid w:val="7D7C52F3"/>
    <w:rsid w:val="7E4A0E7C"/>
    <w:rsid w:val="7EFD449D"/>
    <w:rsid w:val="7FD71881"/>
    <w:rsid w:val="7FF77428"/>
    <w:rsid w:val="7FFFC16B"/>
    <w:rsid w:val="BFFEEE11"/>
    <w:rsid w:val="DEF79A3E"/>
    <w:rsid w:val="EBBE3FB1"/>
    <w:rsid w:val="F7E42682"/>
    <w:rsid w:val="FDDEDC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9206</Words>
  <Characters>11809</Characters>
  <Lines>60</Lines>
  <Paragraphs>16</Paragraphs>
  <TotalTime>4</TotalTime>
  <ScaleCrop>false</ScaleCrop>
  <LinksUpToDate>false</LinksUpToDate>
  <CharactersWithSpaces>12048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2023-05-10T17:53:42Z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8451DFFE7F3345929BA2AE931E6F0342</vt:lpwstr>
  </property>
</Properties>
</file>