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许昌日报社部门决算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许昌日报社概况</w:t>
      </w:r>
    </w:p>
    <w:p>
      <w:pPr>
        <w:numPr>
          <w:ilvl w:val="0"/>
          <w:numId w:val="2"/>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2"/>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许昌日报社概况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ind w:firstLine="640" w:firstLineChars="200"/>
        <w:jc w:val="left"/>
        <w:outlineLvl w:val="1"/>
        <w:rPr>
          <w:rFonts w:ascii="黑体" w:hAnsi="黑体" w:eastAsia="黑体"/>
          <w:sz w:val="32"/>
          <w:szCs w:val="32"/>
        </w:rPr>
      </w:pPr>
      <w:r>
        <w:rPr>
          <w:rFonts w:hint="eastAsia" w:ascii="仿宋_GB2312" w:hAnsi="黑体" w:eastAsia="仿宋_GB2312"/>
          <w:sz w:val="32"/>
          <w:szCs w:val="32"/>
          <w:shd w:val="clear" w:color="auto" w:fill="FFFFFF"/>
        </w:rPr>
        <w:t>围绕中心、服务大局，强力提升主流媒体的舆论引导能力。加快平台建设，推进传统媒体与新兴媒体的融合；创新经营模式，推进媒体经营与市场的融合；改革体制机制，推进媒体管理与建立现代企业制度的融合，为</w:t>
      </w:r>
      <w:r>
        <w:rPr>
          <w:rFonts w:hint="eastAsia" w:ascii="仿宋_GB2312" w:hAnsi="黑体" w:eastAsia="仿宋_GB2312"/>
          <w:sz w:val="32"/>
          <w:szCs w:val="32"/>
        </w:rPr>
        <w:t>努力推动报社各项事业再上新台阶打下坚实的基础</w:t>
      </w:r>
      <w:r>
        <w:rPr>
          <w:rFonts w:hint="eastAsia" w:ascii="黑体" w:hAnsi="黑体" w:eastAsia="黑体"/>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许昌日报社内设机构23个，包括：办公室、总编室、记者部、社会新闻部、房产商业部、经委办、金融保险部、工信部、文化生活部、汽车部、医疗医药部、法制部、党办、人力资源部、评论部、教育部、新闻管理部、财务部、广告监管部、城市电视部、监察室、摄影美术部、校对室。</w:t>
      </w:r>
    </w:p>
    <w:p>
      <w:pPr>
        <w:widowControl/>
        <w:ind w:firstLine="640" w:firstLineChars="200"/>
        <w:jc w:val="left"/>
        <w:rPr>
          <w:rFonts w:ascii="仿宋_GB2312" w:hAnsi="黑体" w:eastAsia="仿宋_GB2312" w:cs="仿宋_GB2312"/>
          <w:kern w:val="0"/>
          <w:sz w:val="32"/>
          <w:szCs w:val="32"/>
          <w:highlight w:val="yellow"/>
        </w:rPr>
      </w:pPr>
      <w:r>
        <w:rPr>
          <w:rFonts w:hint="eastAsia" w:ascii="仿宋_GB2312" w:hAnsi="仿宋_GB2312" w:eastAsia="仿宋_GB2312" w:cs="仿宋_GB2312"/>
          <w:kern w:val="0"/>
          <w:sz w:val="32"/>
          <w:szCs w:val="32"/>
        </w:rPr>
        <w:t>从决算单位构成看，许昌日报社部门决算包括：本级决算。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w:t>
      </w:r>
      <w:r>
        <w:rPr>
          <w:rFonts w:hint="eastAsia" w:ascii="仿宋_GB2312" w:hAnsi="仿宋_GB2312" w:eastAsia="仿宋_GB2312" w:cs="仿宋_GB2312"/>
          <w:kern w:val="0"/>
          <w:sz w:val="32"/>
          <w:szCs w:val="32"/>
          <w:lang w:val="en-US" w:eastAsia="zh-CN"/>
        </w:rPr>
        <w:t>1</w:t>
      </w:r>
      <w:bookmarkStart w:id="0" w:name="_GoBack"/>
      <w:bookmarkEnd w:id="0"/>
      <w:r>
        <w:rPr>
          <w:rFonts w:hint="eastAsia" w:ascii="仿宋_GB2312" w:hAnsi="仿宋_GB2312" w:eastAsia="仿宋_GB2312" w:cs="仿宋_GB2312"/>
          <w:kern w:val="0"/>
          <w:sz w:val="32"/>
          <w:szCs w:val="32"/>
        </w:rPr>
        <w:t>年度部门决算编制范围的单位共1个，。具体是：</w:t>
      </w:r>
    </w:p>
    <w:p>
      <w:pPr>
        <w:widowControl/>
        <w:ind w:firstLine="640" w:firstLineChars="200"/>
        <w:jc w:val="left"/>
        <w:rPr>
          <w:rFonts w:ascii="仿宋_GB2312" w:hAnsi="仿宋_GB2312" w:eastAsia="仿宋_GB2312" w:cs="仿宋_GB2312"/>
          <w:kern w:val="0"/>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许昌日报社</w:t>
      </w:r>
    </w:p>
    <w:p>
      <w:pPr>
        <w:widowControl/>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pPr>
      <w:r>
        <w:rPr>
          <w:rFonts w:ascii="黑体" w:hAnsi="宋体" w:eastAsia="黑体" w:cs="宋体"/>
          <w:kern w:val="0"/>
          <w:sz w:val="28"/>
          <w:szCs w:val="28"/>
        </w:rPr>
        <w:t xml:space="preserve">    </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8"/>
        <w:tblW w:w="13241" w:type="dxa"/>
        <w:tblInd w:w="108" w:type="dxa"/>
        <w:tblLayout w:type="autofit"/>
        <w:tblCellMar>
          <w:top w:w="0" w:type="dxa"/>
          <w:left w:w="108" w:type="dxa"/>
          <w:bottom w:w="0" w:type="dxa"/>
          <w:right w:w="108" w:type="dxa"/>
        </w:tblCellMar>
      </w:tblPr>
      <w:tblGrid>
        <w:gridCol w:w="4577"/>
        <w:gridCol w:w="606"/>
        <w:gridCol w:w="1315"/>
        <w:gridCol w:w="4293"/>
        <w:gridCol w:w="606"/>
        <w:gridCol w:w="1844"/>
      </w:tblGrid>
      <w:tr>
        <w:tblPrEx>
          <w:tblCellMar>
            <w:top w:w="0" w:type="dxa"/>
            <w:left w:w="108" w:type="dxa"/>
            <w:bottom w:w="0" w:type="dxa"/>
            <w:right w:w="108" w:type="dxa"/>
          </w:tblCellMar>
        </w:tblPrEx>
        <w:trPr>
          <w:trHeight w:val="390" w:hRule="atLeast"/>
        </w:trPr>
        <w:tc>
          <w:tcPr>
            <w:tcW w:w="13241" w:type="dxa"/>
            <w:gridSpan w:val="6"/>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108" w:type="dxa"/>
            <w:bottom w:w="0" w:type="dxa"/>
            <w:right w:w="108" w:type="dxa"/>
          </w:tblCellMar>
        </w:tblPrEx>
        <w:trPr>
          <w:trHeight w:val="255" w:hRule="atLeast"/>
        </w:trPr>
        <w:tc>
          <w:tcPr>
            <w:tcW w:w="4577"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60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31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29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60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4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4577"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部门：许昌日报社</w:t>
            </w:r>
          </w:p>
        </w:tc>
        <w:tc>
          <w:tcPr>
            <w:tcW w:w="606"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31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29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60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4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74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370.55</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3,751.46</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4,041.11</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130.61</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4,122.01</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4,171.72</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-1,077.06</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-1,126.76</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57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06"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3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3,044.95</w:t>
            </w:r>
          </w:p>
        </w:tc>
        <w:tc>
          <w:tcPr>
            <w:tcW w:w="429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8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3,044.95</w:t>
            </w:r>
          </w:p>
        </w:tc>
      </w:tr>
    </w:tbl>
    <w:p>
      <w:pPr>
        <w:rPr>
          <w:rFonts w:ascii="仿宋_GB2312" w:hAnsi="仿宋_GB2312" w:eastAsia="仿宋_GB2312" w:cs="仿宋_GB2312"/>
          <w:sz w:val="32"/>
          <w:szCs w:val="32"/>
        </w:rPr>
      </w:pPr>
      <w:r>
        <w:rPr>
          <w:rFonts w:hint="eastAsia" w:ascii="宋体" w:hAnsi="宋体" w:cs="宋体"/>
          <w:color w:val="000000"/>
          <w:kern w:val="0"/>
          <w:sz w:val="20"/>
          <w:szCs w:val="20"/>
          <w:lang w:bidi="ar"/>
        </w:rPr>
        <w:t>注：本表反映部门本年度的总收支和年末结转结余情况。本表金额转换为万元时，因四舍五入可能存在尾差。</w:t>
      </w: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850" w:type="dxa"/>
        <w:tblInd w:w="108" w:type="dxa"/>
        <w:tblLayout w:type="autofit"/>
        <w:tblCellMar>
          <w:top w:w="0" w:type="dxa"/>
          <w:left w:w="108" w:type="dxa"/>
          <w:bottom w:w="0" w:type="dxa"/>
          <w:right w:w="108" w:type="dxa"/>
        </w:tblCellMar>
      </w:tblPr>
      <w:tblGrid>
        <w:gridCol w:w="436"/>
        <w:gridCol w:w="436"/>
        <w:gridCol w:w="436"/>
        <w:gridCol w:w="3076"/>
        <w:gridCol w:w="1580"/>
        <w:gridCol w:w="1441"/>
        <w:gridCol w:w="847"/>
        <w:gridCol w:w="960"/>
        <w:gridCol w:w="1404"/>
        <w:gridCol w:w="973"/>
        <w:gridCol w:w="1795"/>
        <w:gridCol w:w="466"/>
      </w:tblGrid>
      <w:tr>
        <w:tblPrEx>
          <w:tblCellMar>
            <w:top w:w="0" w:type="dxa"/>
            <w:left w:w="108" w:type="dxa"/>
            <w:bottom w:w="0" w:type="dxa"/>
            <w:right w:w="108" w:type="dxa"/>
          </w:tblCellMar>
        </w:tblPrEx>
        <w:trPr>
          <w:gridAfter w:val="1"/>
          <w:wAfter w:w="466" w:type="dxa"/>
          <w:trHeight w:val="390" w:hRule="atLeast"/>
        </w:trPr>
        <w:tc>
          <w:tcPr>
            <w:tcW w:w="13384" w:type="dxa"/>
            <w:gridSpan w:val="11"/>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收入决算表</w:t>
            </w:r>
          </w:p>
        </w:tc>
      </w:tr>
      <w:tr>
        <w:tblPrEx>
          <w:tblCellMar>
            <w:top w:w="0" w:type="dxa"/>
            <w:left w:w="108" w:type="dxa"/>
            <w:bottom w:w="0" w:type="dxa"/>
            <w:right w:w="108" w:type="dxa"/>
          </w:tblCellMar>
        </w:tblPrEx>
        <w:trPr>
          <w:gridAfter w:val="1"/>
          <w:wAfter w:w="466" w:type="dxa"/>
          <w:trHeight w:val="255" w:hRule="atLeast"/>
        </w:trPr>
        <w:tc>
          <w:tcPr>
            <w:tcW w:w="436"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4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07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8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4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47"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0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795"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gridAfter w:val="1"/>
          <w:wAfter w:w="466" w:type="dxa"/>
          <w:trHeight w:val="255" w:hRule="atLeast"/>
        </w:trPr>
        <w:tc>
          <w:tcPr>
            <w:tcW w:w="4384"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部门：许昌日报社</w:t>
            </w:r>
          </w:p>
        </w:tc>
        <w:tc>
          <w:tcPr>
            <w:tcW w:w="158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44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47"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0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7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795"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466" w:type="dxa"/>
          <w:trHeight w:val="312"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076"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44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84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96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40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97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79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gridAfter w:val="1"/>
          <w:wAfter w:w="466" w:type="dxa"/>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0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466" w:type="dxa"/>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0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466" w:type="dxa"/>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0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9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466" w:type="dxa"/>
          <w:trHeight w:val="308" w:hRule="atLeast"/>
        </w:trPr>
        <w:tc>
          <w:tcPr>
            <w:tcW w:w="436"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3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3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4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7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gridAfter w:val="1"/>
          <w:wAfter w:w="466" w:type="dxa"/>
          <w:trHeight w:val="308" w:hRule="atLeast"/>
        </w:trPr>
        <w:tc>
          <w:tcPr>
            <w:tcW w:w="43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30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4,122.01</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370.55</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3,751.46</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文化旅游体育与传媒支出</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4,041.40</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289.94</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3,751.46</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20706</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新闻出版电影</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4,041.40</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289.94</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3,751.46</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2070605</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出版发行</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4,041.40</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289.94</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3,751.46</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466"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0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850" w:type="dxa"/>
            <w:gridSpan w:val="12"/>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宋体"/>
                <w:color w:val="000000"/>
                <w:kern w:val="0"/>
                <w:sz w:val="20"/>
                <w:szCs w:val="20"/>
                <w:lang w:bidi="ar"/>
              </w:rPr>
              <w:t>注：本表反映部门本年度各项支出情况。本表金额转换为万元时，因四舍五入可能存在尾差</w:t>
            </w:r>
            <w:r>
              <w:rPr>
                <w:rFonts w:hint="eastAsia" w:ascii="宋体" w:hAnsi="宋体" w:cs="Arial"/>
                <w:color w:val="000000"/>
                <w:kern w:val="0"/>
                <w:sz w:val="22"/>
              </w:rPr>
              <w:t>。</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002" w:type="dxa"/>
        <w:tblInd w:w="108" w:type="dxa"/>
        <w:tblLayout w:type="autofit"/>
        <w:tblCellMar>
          <w:top w:w="0" w:type="dxa"/>
          <w:left w:w="108" w:type="dxa"/>
          <w:bottom w:w="0" w:type="dxa"/>
          <w:right w:w="108" w:type="dxa"/>
        </w:tblCellMar>
      </w:tblPr>
      <w:tblGrid>
        <w:gridCol w:w="436"/>
        <w:gridCol w:w="436"/>
        <w:gridCol w:w="436"/>
        <w:gridCol w:w="3141"/>
        <w:gridCol w:w="1613"/>
        <w:gridCol w:w="1451"/>
        <w:gridCol w:w="1134"/>
        <w:gridCol w:w="1559"/>
        <w:gridCol w:w="1418"/>
        <w:gridCol w:w="2378"/>
      </w:tblGrid>
      <w:tr>
        <w:tblPrEx>
          <w:tblCellMar>
            <w:top w:w="0" w:type="dxa"/>
            <w:left w:w="108" w:type="dxa"/>
            <w:bottom w:w="0" w:type="dxa"/>
            <w:right w:w="108" w:type="dxa"/>
          </w:tblCellMar>
        </w:tblPrEx>
        <w:trPr>
          <w:trHeight w:val="390" w:hRule="atLeast"/>
        </w:trPr>
        <w:tc>
          <w:tcPr>
            <w:tcW w:w="14002" w:type="dxa"/>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支出决算表</w:t>
            </w:r>
          </w:p>
        </w:tc>
      </w:tr>
      <w:tr>
        <w:tblPrEx>
          <w:tblCellMar>
            <w:top w:w="0" w:type="dxa"/>
            <w:left w:w="108" w:type="dxa"/>
            <w:bottom w:w="0" w:type="dxa"/>
            <w:right w:w="108" w:type="dxa"/>
          </w:tblCellMar>
        </w:tblPrEx>
        <w:trPr>
          <w:trHeight w:val="255" w:hRule="atLeast"/>
        </w:trPr>
        <w:tc>
          <w:tcPr>
            <w:tcW w:w="436"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4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14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61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5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1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378"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4449"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部门：许昌日报社</w:t>
            </w:r>
          </w:p>
        </w:tc>
        <w:tc>
          <w:tcPr>
            <w:tcW w:w="1613"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45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1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378"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141"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1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45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237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7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7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7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3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3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3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314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4,171.72</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422.44</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3,749.28</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文化旅游体育与传媒支出</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4,041.11</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3,749.28</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20706</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新闻出版电影</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4,041.11</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3,749.28</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2070605</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出版发行</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4,041.11</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3,749.28</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130.61</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130.61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20828</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退役军人管理事务</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2082802</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4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ar"/>
        </w:rPr>
        <w:t>注：本表反映部门本年度各项支出情况。本表金额转换为万元时，因四舍五入可能存在尾差。</w:t>
      </w:r>
    </w:p>
    <w:tbl>
      <w:tblPr>
        <w:tblStyle w:val="8"/>
        <w:tblW w:w="14317" w:type="dxa"/>
        <w:tblInd w:w="108" w:type="dxa"/>
        <w:tblLayout w:type="autofit"/>
        <w:tblCellMar>
          <w:top w:w="0" w:type="dxa"/>
          <w:left w:w="108" w:type="dxa"/>
          <w:bottom w:w="0" w:type="dxa"/>
          <w:right w:w="108" w:type="dxa"/>
        </w:tblCellMar>
      </w:tblPr>
      <w:tblGrid>
        <w:gridCol w:w="3119"/>
        <w:gridCol w:w="1040"/>
        <w:gridCol w:w="876"/>
        <w:gridCol w:w="3470"/>
        <w:gridCol w:w="1134"/>
        <w:gridCol w:w="876"/>
        <w:gridCol w:w="1109"/>
        <w:gridCol w:w="1134"/>
        <w:gridCol w:w="1559"/>
      </w:tblGrid>
      <w:tr>
        <w:tblPrEx>
          <w:tblCellMar>
            <w:top w:w="0" w:type="dxa"/>
            <w:left w:w="108" w:type="dxa"/>
            <w:bottom w:w="0" w:type="dxa"/>
            <w:right w:w="108" w:type="dxa"/>
          </w:tblCellMar>
        </w:tblPrEx>
        <w:trPr>
          <w:trHeight w:val="390" w:hRule="atLeast"/>
        </w:trPr>
        <w:tc>
          <w:tcPr>
            <w:tcW w:w="14317" w:type="dxa"/>
            <w:gridSpan w:val="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财政拨款收入支出决算总表</w:t>
            </w:r>
          </w:p>
        </w:tc>
      </w:tr>
      <w:tr>
        <w:tblPrEx>
          <w:tblCellMar>
            <w:top w:w="0" w:type="dxa"/>
            <w:left w:w="108" w:type="dxa"/>
            <w:bottom w:w="0" w:type="dxa"/>
            <w:right w:w="108" w:type="dxa"/>
          </w:tblCellMar>
        </w:tblPrEx>
        <w:trPr>
          <w:trHeight w:val="255" w:hRule="atLeast"/>
        </w:trPr>
        <w:tc>
          <w:tcPr>
            <w:tcW w:w="3119"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10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7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47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7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0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公开公开04表</w:t>
            </w:r>
          </w:p>
        </w:tc>
      </w:tr>
      <w:tr>
        <w:tblPrEx>
          <w:tblCellMar>
            <w:top w:w="0" w:type="dxa"/>
            <w:left w:w="108" w:type="dxa"/>
            <w:bottom w:w="0" w:type="dxa"/>
            <w:right w:w="108" w:type="dxa"/>
          </w:tblCellMar>
        </w:tblPrEx>
        <w:trPr>
          <w:trHeight w:val="255" w:hRule="atLeast"/>
        </w:trPr>
        <w:tc>
          <w:tcPr>
            <w:tcW w:w="3119"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部门：许昌日报社</w:t>
            </w:r>
          </w:p>
        </w:tc>
        <w:tc>
          <w:tcPr>
            <w:tcW w:w="104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87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47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7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0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9282"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31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47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7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55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1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370.55</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130.61</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130.61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370.55</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422.44</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422.44</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51.89</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51.89</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04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422.44</w:t>
            </w:r>
          </w:p>
        </w:tc>
        <w:tc>
          <w:tcPr>
            <w:tcW w:w="347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422.44</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422.44</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ar"/>
        </w:rPr>
        <w:t>注：本表反映部门本年度一般公共预算财政拨款和政府性基金预算财政拨款的总收支和年末结转结余情况。本表金额转换为万元时，因四舍五入可能存在尾差</w:t>
      </w:r>
      <w:r>
        <w:rPr>
          <w:rFonts w:hint="eastAsia" w:ascii="宋体" w:hAnsi="宋体" w:cs="Arial"/>
          <w:color w:val="000000"/>
          <w:kern w:val="0"/>
          <w:sz w:val="22"/>
        </w:rPr>
        <w:t>。</w:t>
      </w:r>
    </w:p>
    <w:tbl>
      <w:tblPr>
        <w:tblStyle w:val="8"/>
        <w:tblW w:w="13325" w:type="dxa"/>
        <w:tblInd w:w="108" w:type="dxa"/>
        <w:tblLayout w:type="autofit"/>
        <w:tblCellMar>
          <w:top w:w="0" w:type="dxa"/>
          <w:left w:w="108" w:type="dxa"/>
          <w:bottom w:w="0" w:type="dxa"/>
          <w:right w:w="108" w:type="dxa"/>
        </w:tblCellMar>
      </w:tblPr>
      <w:tblGrid>
        <w:gridCol w:w="401"/>
        <w:gridCol w:w="313"/>
        <w:gridCol w:w="1554"/>
        <w:gridCol w:w="3261"/>
        <w:gridCol w:w="2551"/>
        <w:gridCol w:w="2410"/>
        <w:gridCol w:w="2835"/>
      </w:tblGrid>
      <w:tr>
        <w:tblPrEx>
          <w:tblCellMar>
            <w:top w:w="0" w:type="dxa"/>
            <w:left w:w="108" w:type="dxa"/>
            <w:bottom w:w="0" w:type="dxa"/>
            <w:right w:w="108" w:type="dxa"/>
          </w:tblCellMar>
        </w:tblPrEx>
        <w:trPr>
          <w:trHeight w:val="390" w:hRule="atLeast"/>
        </w:trPr>
        <w:tc>
          <w:tcPr>
            <w:tcW w:w="13325" w:type="dxa"/>
            <w:gridSpan w:val="7"/>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31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26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55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1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835"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5529"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部门：许昌日报社</w:t>
            </w:r>
          </w:p>
        </w:tc>
        <w:tc>
          <w:tcPr>
            <w:tcW w:w="2551"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241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835"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79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226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261"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55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4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8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226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226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52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552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422.44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422.44</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文化旅游体育与传媒支出</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20706</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新闻出版电影</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2070605</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出版发行</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291.83</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130.61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130.61</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20828</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退役军人管理事务</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2082802</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2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325" w:type="dxa"/>
            <w:gridSpan w:val="7"/>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608" w:type="dxa"/>
        <w:tblInd w:w="108" w:type="dxa"/>
        <w:tblLayout w:type="fixed"/>
        <w:tblCellMar>
          <w:top w:w="0" w:type="dxa"/>
          <w:left w:w="108" w:type="dxa"/>
          <w:bottom w:w="0" w:type="dxa"/>
          <w:right w:w="108" w:type="dxa"/>
        </w:tblCellMar>
      </w:tblPr>
      <w:tblGrid>
        <w:gridCol w:w="766"/>
        <w:gridCol w:w="2636"/>
        <w:gridCol w:w="1134"/>
        <w:gridCol w:w="1202"/>
        <w:gridCol w:w="1834"/>
        <w:gridCol w:w="870"/>
        <w:gridCol w:w="1056"/>
        <w:gridCol w:w="2693"/>
        <w:gridCol w:w="1417"/>
      </w:tblGrid>
      <w:tr>
        <w:tblPrEx>
          <w:tblCellMar>
            <w:top w:w="0" w:type="dxa"/>
            <w:left w:w="108" w:type="dxa"/>
            <w:bottom w:w="0" w:type="dxa"/>
            <w:right w:w="108" w:type="dxa"/>
          </w:tblCellMar>
        </w:tblPrEx>
        <w:trPr>
          <w:trHeight w:val="390" w:hRule="atLeast"/>
        </w:trPr>
        <w:tc>
          <w:tcPr>
            <w:tcW w:w="13608" w:type="dxa"/>
            <w:gridSpan w:val="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一般公共预算财政拨款基本支出决算表</w:t>
            </w:r>
          </w:p>
        </w:tc>
      </w:tr>
      <w:tr>
        <w:tblPrEx>
          <w:tblCellMar>
            <w:top w:w="0" w:type="dxa"/>
            <w:left w:w="108" w:type="dxa"/>
            <w:bottom w:w="0" w:type="dxa"/>
            <w:right w:w="108" w:type="dxa"/>
          </w:tblCellMar>
        </w:tblPrEx>
        <w:trPr>
          <w:trHeight w:val="300" w:hRule="atLeast"/>
        </w:trPr>
        <w:tc>
          <w:tcPr>
            <w:tcW w:w="766"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26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20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7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05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69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17"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4"/>
                <w:szCs w:val="24"/>
              </w:rPr>
            </w:pPr>
            <w:r>
              <w:rPr>
                <w:rFonts w:hint="eastAsia" w:ascii="宋体" w:hAnsi="宋体" w:cs="Arial"/>
                <w:color w:val="000000"/>
                <w:kern w:val="0"/>
                <w:sz w:val="20"/>
                <w:szCs w:val="20"/>
              </w:rPr>
              <w:t>公开</w:t>
            </w:r>
            <w:r>
              <w:rPr>
                <w:rFonts w:hint="eastAsia" w:ascii="宋体" w:hAnsi="宋体" w:cs="Arial"/>
                <w:color w:val="000000"/>
                <w:kern w:val="0"/>
                <w:sz w:val="24"/>
                <w:szCs w:val="24"/>
              </w:rPr>
              <w:t>06表</w:t>
            </w:r>
          </w:p>
        </w:tc>
      </w:tr>
      <w:tr>
        <w:tblPrEx>
          <w:tblCellMar>
            <w:top w:w="0" w:type="dxa"/>
            <w:left w:w="108" w:type="dxa"/>
            <w:bottom w:w="0" w:type="dxa"/>
            <w:right w:w="108" w:type="dxa"/>
          </w:tblCellMar>
        </w:tblPrEx>
        <w:trPr>
          <w:trHeight w:val="282" w:hRule="atLeast"/>
        </w:trPr>
        <w:tc>
          <w:tcPr>
            <w:tcW w:w="3402"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部门：许昌日报社</w:t>
            </w:r>
          </w:p>
        </w:tc>
        <w:tc>
          <w:tcPr>
            <w:tcW w:w="1134"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20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3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7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05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69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417"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5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072"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20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18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7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0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9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0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288.69</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44.78</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243.91</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83.75</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80.61</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0.16</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2.99</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3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18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02"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372.44</w:t>
            </w:r>
          </w:p>
        </w:tc>
        <w:tc>
          <w:tcPr>
            <w:tcW w:w="7655"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ar"/>
        </w:rPr>
        <w:t>注：本表反映部门本年度一般公共预算财政拨款基本支出明细情况。本表金额转换为万元时，因四舍五入可能存在尾差。</w:t>
      </w:r>
    </w:p>
    <w:tbl>
      <w:tblPr>
        <w:tblStyle w:val="8"/>
        <w:tblW w:w="14147" w:type="dxa"/>
        <w:tblInd w:w="108" w:type="dxa"/>
        <w:tblLayout w:type="autofit"/>
        <w:tblCellMar>
          <w:top w:w="0" w:type="dxa"/>
          <w:left w:w="108" w:type="dxa"/>
          <w:bottom w:w="0" w:type="dxa"/>
          <w:right w:w="108" w:type="dxa"/>
        </w:tblCellMar>
      </w:tblPr>
      <w:tblGrid>
        <w:gridCol w:w="436"/>
        <w:gridCol w:w="436"/>
        <w:gridCol w:w="283"/>
        <w:gridCol w:w="153"/>
        <w:gridCol w:w="900"/>
        <w:gridCol w:w="102"/>
        <w:gridCol w:w="658"/>
        <w:gridCol w:w="496"/>
        <w:gridCol w:w="384"/>
        <w:gridCol w:w="770"/>
        <w:gridCol w:w="173"/>
        <w:gridCol w:w="851"/>
        <w:gridCol w:w="130"/>
        <w:gridCol w:w="720"/>
        <w:gridCol w:w="434"/>
        <w:gridCol w:w="417"/>
        <w:gridCol w:w="737"/>
        <w:gridCol w:w="255"/>
        <w:gridCol w:w="850"/>
        <w:gridCol w:w="49"/>
        <w:gridCol w:w="802"/>
        <w:gridCol w:w="352"/>
        <w:gridCol w:w="498"/>
        <w:gridCol w:w="656"/>
        <w:gridCol w:w="195"/>
        <w:gridCol w:w="850"/>
        <w:gridCol w:w="109"/>
        <w:gridCol w:w="1154"/>
        <w:gridCol w:w="297"/>
      </w:tblGrid>
      <w:tr>
        <w:tblPrEx>
          <w:tblCellMar>
            <w:top w:w="0" w:type="dxa"/>
            <w:left w:w="108" w:type="dxa"/>
            <w:bottom w:w="0" w:type="dxa"/>
            <w:right w:w="108" w:type="dxa"/>
          </w:tblCellMar>
        </w:tblPrEx>
        <w:trPr>
          <w:trHeight w:val="390" w:hRule="atLeast"/>
        </w:trPr>
        <w:tc>
          <w:tcPr>
            <w:tcW w:w="14147" w:type="dxa"/>
            <w:gridSpan w:val="2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108" w:type="dxa"/>
            <w:bottom w:w="0" w:type="dxa"/>
            <w:right w:w="108" w:type="dxa"/>
          </w:tblCellMar>
        </w:tblPrEx>
        <w:trPr>
          <w:gridAfter w:val="1"/>
          <w:wAfter w:w="297" w:type="dxa"/>
          <w:trHeight w:val="504" w:hRule="atLeast"/>
        </w:trPr>
        <w:tc>
          <w:tcPr>
            <w:tcW w:w="1155" w:type="dxa"/>
            <w:gridSpan w:val="3"/>
            <w:tcBorders>
              <w:top w:val="nil"/>
              <w:left w:val="nil"/>
              <w:bottom w:val="nil"/>
              <w:right w:val="nil"/>
            </w:tcBorders>
            <w:shd w:val="clear" w:color="auto" w:fill="auto"/>
            <w:noWrap/>
            <w:vAlign w:val="bottom"/>
          </w:tcPr>
          <w:p>
            <w:pPr>
              <w:widowControl/>
              <w:jc w:val="center"/>
              <w:rPr>
                <w:rFonts w:ascii="宋体" w:hAnsi="宋体" w:cs="Arial"/>
                <w:color w:val="000000"/>
                <w:kern w:val="0"/>
                <w:sz w:val="44"/>
                <w:szCs w:val="44"/>
              </w:rPr>
            </w:pPr>
          </w:p>
        </w:tc>
        <w:tc>
          <w:tcPr>
            <w:tcW w:w="1155" w:type="dxa"/>
            <w:gridSpan w:val="3"/>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3"/>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3"/>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5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308" w:type="dxa"/>
            <w:gridSpan w:val="4"/>
            <w:tcBorders>
              <w:top w:val="nil"/>
              <w:left w:val="nil"/>
              <w:bottom w:val="nil"/>
              <w:right w:val="nil"/>
            </w:tcBorders>
            <w:shd w:val="clear" w:color="auto" w:fill="auto"/>
            <w:noWrap/>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gridAfter w:val="1"/>
          <w:wAfter w:w="297" w:type="dxa"/>
          <w:trHeight w:val="255" w:hRule="atLeast"/>
        </w:trPr>
        <w:tc>
          <w:tcPr>
            <w:tcW w:w="2310" w:type="dxa"/>
            <w:gridSpan w:val="6"/>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部门：许昌日报社</w:t>
            </w:r>
          </w:p>
        </w:tc>
        <w:tc>
          <w:tcPr>
            <w:tcW w:w="115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115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1154"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115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115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1154"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115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115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lang w:bidi="ar"/>
              </w:rPr>
            </w:pPr>
          </w:p>
        </w:tc>
        <w:tc>
          <w:tcPr>
            <w:tcW w:w="2308" w:type="dxa"/>
            <w:gridSpan w:val="4"/>
            <w:tcBorders>
              <w:top w:val="nil"/>
              <w:left w:val="nil"/>
              <w:bottom w:val="single" w:color="000000" w:sz="4" w:space="0"/>
              <w:right w:val="nil"/>
            </w:tcBorders>
            <w:shd w:val="clear" w:color="auto" w:fill="auto"/>
            <w:noWrap/>
            <w:vAlign w:val="bottom"/>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297" w:type="dxa"/>
          <w:trHeight w:val="735" w:hRule="atLeast"/>
        </w:trPr>
        <w:tc>
          <w:tcPr>
            <w:tcW w:w="69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预算数</w:t>
            </w:r>
          </w:p>
        </w:tc>
        <w:tc>
          <w:tcPr>
            <w:tcW w:w="6924"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决算数</w:t>
            </w:r>
          </w:p>
        </w:tc>
      </w:tr>
      <w:tr>
        <w:tblPrEx>
          <w:tblCellMar>
            <w:top w:w="0" w:type="dxa"/>
            <w:left w:w="108" w:type="dxa"/>
            <w:bottom w:w="0" w:type="dxa"/>
            <w:right w:w="108" w:type="dxa"/>
          </w:tblCellMar>
        </w:tblPrEx>
        <w:trPr>
          <w:gridAfter w:val="1"/>
          <w:wAfter w:w="297" w:type="dxa"/>
          <w:trHeight w:val="308" w:hRule="atLeast"/>
        </w:trPr>
        <w:tc>
          <w:tcPr>
            <w:tcW w:w="1155"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115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因公出国（境）费</w:t>
            </w:r>
          </w:p>
        </w:tc>
        <w:tc>
          <w:tcPr>
            <w:tcW w:w="3462"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公务用车购置及运行费</w:t>
            </w:r>
          </w:p>
        </w:tc>
        <w:tc>
          <w:tcPr>
            <w:tcW w:w="1154"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公务接待费</w:t>
            </w:r>
          </w:p>
        </w:tc>
        <w:tc>
          <w:tcPr>
            <w:tcW w:w="1154"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115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因公出国（境）费</w:t>
            </w:r>
          </w:p>
        </w:tc>
        <w:tc>
          <w:tcPr>
            <w:tcW w:w="3462"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公务用车购置及运行费</w:t>
            </w:r>
          </w:p>
        </w:tc>
        <w:tc>
          <w:tcPr>
            <w:tcW w:w="115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公务接待费</w:t>
            </w:r>
          </w:p>
        </w:tc>
      </w:tr>
      <w:tr>
        <w:tblPrEx>
          <w:tblCellMar>
            <w:top w:w="0" w:type="dxa"/>
            <w:left w:w="108" w:type="dxa"/>
            <w:bottom w:w="0" w:type="dxa"/>
            <w:right w:w="108" w:type="dxa"/>
          </w:tblCellMar>
        </w:tblPrEx>
        <w:trPr>
          <w:gridAfter w:val="1"/>
          <w:wAfter w:w="297" w:type="dxa"/>
          <w:trHeight w:val="615" w:hRule="atLeast"/>
        </w:trPr>
        <w:tc>
          <w:tcPr>
            <w:tcW w:w="115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lang w:bidi="ar"/>
              </w:rPr>
            </w:pPr>
          </w:p>
        </w:tc>
        <w:tc>
          <w:tcPr>
            <w:tcW w:w="115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lang w:bidi="ar"/>
              </w:rPr>
            </w:pP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小计</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公务用车购置费</w:t>
            </w:r>
          </w:p>
        </w:tc>
        <w:tc>
          <w:tcPr>
            <w:tcW w:w="115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公务用车运行费</w:t>
            </w:r>
          </w:p>
        </w:tc>
        <w:tc>
          <w:tcPr>
            <w:tcW w:w="1154"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lang w:bidi="ar"/>
              </w:rPr>
            </w:pPr>
          </w:p>
        </w:tc>
        <w:tc>
          <w:tcPr>
            <w:tcW w:w="1154"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lang w:bidi="ar"/>
              </w:rPr>
            </w:pPr>
          </w:p>
        </w:tc>
        <w:tc>
          <w:tcPr>
            <w:tcW w:w="115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lang w:bidi="ar"/>
              </w:rPr>
            </w:pP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小计</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公务用车购置费</w:t>
            </w:r>
          </w:p>
        </w:tc>
        <w:tc>
          <w:tcPr>
            <w:tcW w:w="115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公务用车运行费</w:t>
            </w:r>
          </w:p>
        </w:tc>
        <w:tc>
          <w:tcPr>
            <w:tcW w:w="1154"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20"/>
                <w:szCs w:val="20"/>
                <w:lang w:bidi="ar"/>
              </w:rPr>
            </w:pPr>
          </w:p>
        </w:tc>
      </w:tr>
      <w:tr>
        <w:tblPrEx>
          <w:tblCellMar>
            <w:top w:w="0" w:type="dxa"/>
            <w:left w:w="108" w:type="dxa"/>
            <w:bottom w:w="0" w:type="dxa"/>
            <w:right w:w="108" w:type="dxa"/>
          </w:tblCellMar>
        </w:tblPrEx>
        <w:trPr>
          <w:gridAfter w:val="1"/>
          <w:wAfter w:w="297" w:type="dxa"/>
          <w:trHeight w:val="1007" w:hRule="atLeast"/>
        </w:trPr>
        <w:tc>
          <w:tcPr>
            <w:tcW w:w="1155"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15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15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15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15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15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1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gridAfter w:val="1"/>
          <w:wAfter w:w="297" w:type="dxa"/>
          <w:trHeight w:val="969" w:hRule="atLeast"/>
        </w:trPr>
        <w:tc>
          <w:tcPr>
            <w:tcW w:w="115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c>
          <w:tcPr>
            <w:tcW w:w="11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lang w:bidi="ar"/>
              </w:rPr>
            </w:pPr>
            <w:r>
              <w:rPr>
                <w:rFonts w:hint="eastAsia" w:ascii="宋体" w:hAnsi="宋体" w:cs="宋体"/>
                <w:color w:val="000000"/>
                <w:kern w:val="0"/>
                <w:sz w:val="20"/>
                <w:szCs w:val="20"/>
                <w:lang w:bidi="ar"/>
              </w:rPr>
              <w:t>　</w:t>
            </w:r>
          </w:p>
        </w:tc>
      </w:tr>
      <w:tr>
        <w:tblPrEx>
          <w:tblCellMar>
            <w:top w:w="0" w:type="dxa"/>
            <w:left w:w="108" w:type="dxa"/>
            <w:bottom w:w="0" w:type="dxa"/>
            <w:right w:w="108" w:type="dxa"/>
          </w:tblCellMar>
        </w:tblPrEx>
        <w:trPr>
          <w:gridAfter w:val="1"/>
          <w:wAfter w:w="297" w:type="dxa"/>
          <w:trHeight w:val="615" w:hRule="atLeast"/>
        </w:trPr>
        <w:tc>
          <w:tcPr>
            <w:tcW w:w="13850" w:type="dxa"/>
            <w:gridSpan w:val="28"/>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widowControl/>
              <w:jc w:val="left"/>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90" w:hRule="atLeast"/>
        </w:trPr>
        <w:tc>
          <w:tcPr>
            <w:tcW w:w="14147" w:type="dxa"/>
            <w:gridSpan w:val="2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ascii="宋体" w:hAnsi="宋体" w:cs="宋体"/>
                <w:color w:val="000000"/>
                <w:kern w:val="0"/>
                <w:sz w:val="20"/>
                <w:szCs w:val="20"/>
                <w:lang w:bidi="ar"/>
              </w:rPr>
              <w:t>说明：我部门没有预算安排三公经费，也没有预算安排的三公支出，故本表无数据。</w:t>
            </w:r>
          </w:p>
          <w:p>
            <w:pPr>
              <w:widowControl/>
              <w:jc w:val="center"/>
              <w:rPr>
                <w:rFonts w:ascii="宋体" w:hAnsi="宋体" w:cs="Arial"/>
                <w:color w:val="000000"/>
                <w:kern w:val="0"/>
                <w:sz w:val="30"/>
                <w:szCs w:val="30"/>
              </w:rPr>
            </w:pPr>
          </w:p>
          <w:p>
            <w:pPr>
              <w:widowControl/>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436"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4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36"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0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760"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80"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43"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92"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tcBorders>
              <w:top w:val="nil"/>
              <w:left w:val="nil"/>
              <w:bottom w:val="nil"/>
              <w:right w:val="nil"/>
            </w:tcBorders>
            <w:shd w:val="clear" w:color="auto" w:fill="auto"/>
            <w:noWrap/>
            <w:vAlign w:val="bottom"/>
          </w:tcPr>
          <w:p>
            <w:pPr>
              <w:widowControl/>
              <w:jc w:val="left"/>
              <w:rPr>
                <w:kern w:val="0"/>
                <w:sz w:val="20"/>
                <w:szCs w:val="20"/>
              </w:rPr>
            </w:pPr>
          </w:p>
        </w:tc>
        <w:tc>
          <w:tcPr>
            <w:tcW w:w="1560" w:type="dxa"/>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w:t>
            </w:r>
            <w:r>
              <w:rPr>
                <w:rFonts w:ascii="宋体" w:hAnsi="宋体" w:cs="Arial"/>
                <w:color w:val="000000"/>
                <w:kern w:val="0"/>
                <w:sz w:val="20"/>
                <w:szCs w:val="20"/>
              </w:rPr>
              <w:t>8</w:t>
            </w:r>
            <w:r>
              <w:rPr>
                <w:rFonts w:hint="eastAsia" w:ascii="宋体" w:hAnsi="宋体" w:cs="Arial"/>
                <w:color w:val="000000"/>
                <w:kern w:val="0"/>
                <w:sz w:val="20"/>
                <w:szCs w:val="20"/>
              </w:rPr>
              <w:t>表</w:t>
            </w:r>
          </w:p>
        </w:tc>
      </w:tr>
      <w:tr>
        <w:tblPrEx>
          <w:tblCellMar>
            <w:top w:w="0" w:type="dxa"/>
            <w:left w:w="108" w:type="dxa"/>
            <w:bottom w:w="0" w:type="dxa"/>
            <w:right w:w="108" w:type="dxa"/>
          </w:tblCellMar>
        </w:tblPrEx>
        <w:trPr>
          <w:trHeight w:val="255" w:hRule="atLeast"/>
        </w:trPr>
        <w:tc>
          <w:tcPr>
            <w:tcW w:w="2208" w:type="dxa"/>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部门：许昌日报社</w:t>
            </w:r>
          </w:p>
        </w:tc>
        <w:tc>
          <w:tcPr>
            <w:tcW w:w="760"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880"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43"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92"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1"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60" w:type="dxa"/>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13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9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58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255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269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4111"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480" w:hRule="atLeast"/>
        </w:trPr>
        <w:tc>
          <w:tcPr>
            <w:tcW w:w="13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76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8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基本支出结转</w:t>
            </w:r>
          </w:p>
        </w:tc>
        <w:tc>
          <w:tcPr>
            <w:tcW w:w="943"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项目支出结转和结余</w:t>
            </w:r>
          </w:p>
        </w:tc>
        <w:tc>
          <w:tcPr>
            <w:tcW w:w="85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5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85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992"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85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85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5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基本支出结转</w:t>
            </w:r>
          </w:p>
        </w:tc>
        <w:tc>
          <w:tcPr>
            <w:tcW w:w="2410"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项目支出结转和结余</w:t>
            </w:r>
          </w:p>
        </w:tc>
      </w:tr>
      <w:tr>
        <w:tblPrEx>
          <w:tblCellMar>
            <w:top w:w="0" w:type="dxa"/>
            <w:left w:w="108" w:type="dxa"/>
            <w:bottom w:w="0" w:type="dxa"/>
            <w:right w:w="108" w:type="dxa"/>
          </w:tblCellMar>
        </w:tblPrEx>
        <w:trPr>
          <w:trHeight w:val="312" w:hRule="atLeast"/>
        </w:trPr>
        <w:tc>
          <w:tcPr>
            <w:tcW w:w="13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76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8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943"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项目支出结转</w:t>
            </w:r>
          </w:p>
        </w:tc>
        <w:tc>
          <w:tcPr>
            <w:tcW w:w="1560"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项目支出结余</w:t>
            </w:r>
          </w:p>
        </w:tc>
      </w:tr>
      <w:tr>
        <w:tblPrEx>
          <w:tblCellMar>
            <w:top w:w="0" w:type="dxa"/>
            <w:left w:w="108" w:type="dxa"/>
            <w:bottom w:w="0" w:type="dxa"/>
            <w:right w:w="108" w:type="dxa"/>
          </w:tblCellMar>
        </w:tblPrEx>
        <w:trPr>
          <w:trHeight w:val="615" w:hRule="atLeast"/>
        </w:trPr>
        <w:tc>
          <w:tcPr>
            <w:tcW w:w="130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8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4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36"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r>
      <w:tr>
        <w:tblPrEx>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36"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bl>
    <w:p>
      <w:pPr>
        <w:widowControl/>
        <w:spacing w:line="590" w:lineRule="exact"/>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本表金额转换为万元时，因四舍五入可能存在尾差。</w:t>
      </w:r>
    </w:p>
    <w:p>
      <w:pPr>
        <w:widowControl/>
        <w:spacing w:line="590" w:lineRule="exact"/>
        <w:jc w:val="left"/>
        <w:rPr>
          <w:rFonts w:ascii="宋体" w:hAnsi="宋体" w:cs="宋体"/>
          <w:color w:val="000000"/>
          <w:kern w:val="0"/>
          <w:sz w:val="20"/>
          <w:szCs w:val="20"/>
          <w:lang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lang w:bidi="ar"/>
        </w:rPr>
        <w:t>说明：我部门没有政府性基金收入，也没有使用政府性基金安排的支出，故本表无数据。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outlineLvl w:val="1"/>
        <w:rPr>
          <w:rFonts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年度收、支总计均为</w:t>
      </w:r>
      <w:r>
        <w:rPr>
          <w:rFonts w:ascii="仿宋_GB2312" w:eastAsia="仿宋_GB2312" w:cs="仿宋_GB2312"/>
          <w:sz w:val="32"/>
          <w:szCs w:val="32"/>
        </w:rPr>
        <w:t>3,044.95</w:t>
      </w:r>
      <w:r>
        <w:rPr>
          <w:rFonts w:hint="eastAsia" w:ascii="仿宋_GB2312" w:eastAsia="仿宋_GB2312" w:cs="仿宋_GB2312"/>
          <w:sz w:val="32"/>
          <w:szCs w:val="32"/>
        </w:rPr>
        <w:t>万元。与上年度相比，收、支总计各减少</w:t>
      </w:r>
      <w:r>
        <w:rPr>
          <w:rFonts w:ascii="仿宋_GB2312" w:eastAsia="仿宋_GB2312" w:cs="仿宋_GB2312"/>
          <w:sz w:val="32"/>
          <w:szCs w:val="32"/>
        </w:rPr>
        <w:t>524.53</w:t>
      </w:r>
      <w:r>
        <w:rPr>
          <w:rFonts w:hint="eastAsia" w:ascii="仿宋_GB2312" w:eastAsia="仿宋_GB2312" w:cs="仿宋_GB2312"/>
          <w:sz w:val="32"/>
          <w:szCs w:val="32"/>
        </w:rPr>
        <w:t>万元，下降</w:t>
      </w:r>
      <w:r>
        <w:rPr>
          <w:rFonts w:ascii="仿宋_GB2312" w:eastAsia="仿宋_GB2312" w:cs="仿宋_GB2312"/>
          <w:sz w:val="32"/>
          <w:szCs w:val="32"/>
        </w:rPr>
        <w:t>14.69%</w:t>
      </w:r>
      <w:r>
        <w:rPr>
          <w:rFonts w:hint="eastAsia" w:ascii="仿宋_GB2312" w:eastAsia="仿宋_GB2312" w:cs="仿宋_GB2312"/>
          <w:sz w:val="32"/>
          <w:szCs w:val="32"/>
        </w:rPr>
        <w:t>。主要原因是</w:t>
      </w:r>
      <w:r>
        <w:rPr>
          <w:rFonts w:hint="eastAsia" w:ascii="仿宋_GB2312" w:hAnsi="仿宋_GB2312" w:eastAsia="仿宋_GB2312" w:cs="仿宋_GB2312"/>
          <w:sz w:val="32"/>
          <w:szCs w:val="32"/>
        </w:rPr>
        <w:t>广告收入下滑、印刷成本增加</w:t>
      </w:r>
      <w:r>
        <w:rPr>
          <w:rFonts w:hint="eastAsia" w:asci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年度收入合计</w:t>
      </w:r>
      <w:r>
        <w:rPr>
          <w:rFonts w:ascii="仿宋_GB2312" w:eastAsia="仿宋_GB2312" w:cs="仿宋_GB2312"/>
          <w:sz w:val="32"/>
          <w:szCs w:val="32"/>
        </w:rPr>
        <w:t>4,122.01</w:t>
      </w:r>
      <w:r>
        <w:rPr>
          <w:rFonts w:hint="eastAsia" w:ascii="仿宋_GB2312" w:eastAsia="仿宋_GB2312" w:cs="仿宋_GB2312"/>
          <w:sz w:val="32"/>
          <w:szCs w:val="32"/>
        </w:rPr>
        <w:t>万元，其中：财政拨款收入</w:t>
      </w:r>
      <w:r>
        <w:rPr>
          <w:rFonts w:ascii="仿宋_GB2312" w:eastAsia="仿宋_GB2312" w:cs="仿宋_GB2312"/>
          <w:sz w:val="32"/>
          <w:szCs w:val="32"/>
        </w:rPr>
        <w:t>370.55</w:t>
      </w:r>
      <w:r>
        <w:rPr>
          <w:rFonts w:hint="eastAsia" w:ascii="仿宋_GB2312" w:eastAsia="仿宋_GB2312" w:cs="仿宋_GB2312"/>
          <w:sz w:val="32"/>
          <w:szCs w:val="32"/>
        </w:rPr>
        <w:t>万元，占</w:t>
      </w:r>
      <w:r>
        <w:rPr>
          <w:rFonts w:ascii="仿宋_GB2312" w:eastAsia="仿宋_GB2312" w:cs="仿宋_GB2312"/>
          <w:sz w:val="32"/>
          <w:szCs w:val="32"/>
        </w:rPr>
        <w:t>8.99%</w:t>
      </w:r>
      <w:r>
        <w:rPr>
          <w:rFonts w:hint="eastAsia" w:ascii="仿宋_GB2312" w:eastAsia="仿宋_GB2312" w:cs="仿宋_GB2312"/>
          <w:sz w:val="32"/>
          <w:szCs w:val="32"/>
        </w:rPr>
        <w:t>；上级补助收入</w:t>
      </w:r>
      <w:r>
        <w:rPr>
          <w:rFonts w:ascii="仿宋_GB2312" w:eastAsia="仿宋_GB2312" w:cs="仿宋_GB2312"/>
          <w:sz w:val="32"/>
          <w:szCs w:val="32"/>
        </w:rPr>
        <w:t>0.00</w:t>
      </w:r>
      <w:r>
        <w:rPr>
          <w:rFonts w:hint="eastAsia" w:ascii="仿宋_GB2312" w:eastAsia="仿宋_GB2312" w:cs="仿宋_GB2312"/>
          <w:sz w:val="32"/>
          <w:szCs w:val="32"/>
        </w:rPr>
        <w:t>万元，占</w:t>
      </w:r>
      <w:r>
        <w:rPr>
          <w:rFonts w:ascii="仿宋_GB2312" w:eastAsia="仿宋_GB2312" w:cs="仿宋_GB2312"/>
          <w:sz w:val="32"/>
          <w:szCs w:val="32"/>
        </w:rPr>
        <w:t>0.00%</w:t>
      </w:r>
      <w:r>
        <w:rPr>
          <w:rFonts w:hint="eastAsia" w:ascii="仿宋_GB2312" w:eastAsia="仿宋_GB2312" w:cs="仿宋_GB2312"/>
          <w:sz w:val="32"/>
          <w:szCs w:val="32"/>
        </w:rPr>
        <w:t>；事业收入</w:t>
      </w:r>
      <w:r>
        <w:rPr>
          <w:rFonts w:ascii="仿宋_GB2312" w:eastAsia="仿宋_GB2312" w:cs="仿宋_GB2312"/>
          <w:sz w:val="32"/>
          <w:szCs w:val="32"/>
        </w:rPr>
        <w:t>0.00</w:t>
      </w:r>
      <w:r>
        <w:rPr>
          <w:rFonts w:hint="eastAsia" w:ascii="仿宋_GB2312" w:eastAsia="仿宋_GB2312" w:cs="仿宋_GB2312"/>
          <w:sz w:val="32"/>
          <w:szCs w:val="32"/>
        </w:rPr>
        <w:t>万元，占</w:t>
      </w:r>
      <w:r>
        <w:rPr>
          <w:rFonts w:ascii="仿宋_GB2312" w:eastAsia="仿宋_GB2312" w:cs="仿宋_GB2312"/>
          <w:sz w:val="32"/>
          <w:szCs w:val="32"/>
        </w:rPr>
        <w:t>0.00%</w:t>
      </w:r>
      <w:r>
        <w:rPr>
          <w:rFonts w:hint="eastAsia" w:ascii="仿宋_GB2312" w:eastAsia="仿宋_GB2312" w:cs="仿宋_GB2312"/>
          <w:sz w:val="32"/>
          <w:szCs w:val="32"/>
        </w:rPr>
        <w:t>；经营收入</w:t>
      </w:r>
      <w:r>
        <w:rPr>
          <w:rFonts w:ascii="仿宋_GB2312" w:eastAsia="仿宋_GB2312" w:cs="仿宋_GB2312"/>
          <w:sz w:val="32"/>
          <w:szCs w:val="32"/>
        </w:rPr>
        <w:t>3,751.46</w:t>
      </w:r>
      <w:r>
        <w:rPr>
          <w:rFonts w:hint="eastAsia" w:ascii="仿宋_GB2312" w:eastAsia="仿宋_GB2312" w:cs="仿宋_GB2312"/>
          <w:sz w:val="32"/>
          <w:szCs w:val="32"/>
        </w:rPr>
        <w:t>万元，占</w:t>
      </w:r>
      <w:r>
        <w:rPr>
          <w:rFonts w:ascii="仿宋_GB2312" w:eastAsia="仿宋_GB2312" w:cs="仿宋_GB2312"/>
          <w:sz w:val="32"/>
          <w:szCs w:val="32"/>
        </w:rPr>
        <w:t>91.01%</w:t>
      </w:r>
      <w:r>
        <w:rPr>
          <w:rFonts w:hint="eastAsia" w:ascii="仿宋_GB2312" w:eastAsia="仿宋_GB2312" w:cs="仿宋_GB2312"/>
          <w:sz w:val="32"/>
          <w:szCs w:val="32"/>
        </w:rPr>
        <w:t>；附属单位上缴收入</w:t>
      </w:r>
      <w:r>
        <w:rPr>
          <w:rFonts w:ascii="仿宋_GB2312" w:eastAsia="仿宋_GB2312" w:cs="仿宋_GB2312"/>
          <w:sz w:val="32"/>
          <w:szCs w:val="32"/>
        </w:rPr>
        <w:t>0.00</w:t>
      </w:r>
      <w:r>
        <w:rPr>
          <w:rFonts w:hint="eastAsia" w:ascii="仿宋_GB2312" w:eastAsia="仿宋_GB2312" w:cs="仿宋_GB2312"/>
          <w:sz w:val="32"/>
          <w:szCs w:val="32"/>
        </w:rPr>
        <w:t>万元，占</w:t>
      </w:r>
      <w:r>
        <w:rPr>
          <w:rFonts w:ascii="仿宋_GB2312" w:eastAsia="仿宋_GB2312" w:cs="仿宋_GB2312"/>
          <w:sz w:val="32"/>
          <w:szCs w:val="32"/>
        </w:rPr>
        <w:t>0.00%</w:t>
      </w:r>
      <w:r>
        <w:rPr>
          <w:rFonts w:hint="eastAsia" w:ascii="仿宋_GB2312" w:eastAsia="仿宋_GB2312" w:cs="仿宋_GB2312"/>
          <w:sz w:val="32"/>
          <w:szCs w:val="32"/>
        </w:rPr>
        <w:t>；其他收入</w:t>
      </w:r>
      <w:r>
        <w:rPr>
          <w:rFonts w:ascii="仿宋_GB2312" w:eastAsia="仿宋_GB2312" w:cs="仿宋_GB2312"/>
          <w:sz w:val="32"/>
          <w:szCs w:val="32"/>
        </w:rPr>
        <w:t>0.00</w:t>
      </w:r>
      <w:r>
        <w:rPr>
          <w:rFonts w:hint="eastAsia" w:ascii="仿宋_GB2312" w:eastAsia="仿宋_GB2312" w:cs="仿宋_GB2312"/>
          <w:sz w:val="32"/>
          <w:szCs w:val="32"/>
        </w:rPr>
        <w:t>万元，占</w:t>
      </w:r>
      <w:r>
        <w:rPr>
          <w:rFonts w:ascii="仿宋_GB2312" w:eastAsia="仿宋_GB2312" w:cs="仿宋_GB2312"/>
          <w:sz w:val="32"/>
          <w:szCs w:val="32"/>
        </w:rPr>
        <w:t>0.00%</w:t>
      </w:r>
      <w:r>
        <w:rPr>
          <w:rFonts w:hint="eastAsia" w:asci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outlineLvl w:val="1"/>
        <w:rPr>
          <w:rFonts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年度支出合计</w:t>
      </w:r>
      <w:r>
        <w:rPr>
          <w:rFonts w:ascii="仿宋_GB2312" w:eastAsia="仿宋_GB2312" w:cs="仿宋_GB2312"/>
          <w:sz w:val="32"/>
          <w:szCs w:val="32"/>
        </w:rPr>
        <w:t>4,171.72</w:t>
      </w:r>
      <w:r>
        <w:rPr>
          <w:rFonts w:hint="eastAsia" w:ascii="仿宋_GB2312" w:eastAsia="仿宋_GB2312" w:cs="仿宋_GB2312"/>
          <w:sz w:val="32"/>
          <w:szCs w:val="32"/>
        </w:rPr>
        <w:t>万元，其中：基本支出</w:t>
      </w:r>
      <w:r>
        <w:rPr>
          <w:rFonts w:ascii="仿宋_GB2312" w:eastAsia="仿宋_GB2312" w:cs="仿宋_GB2312"/>
          <w:sz w:val="32"/>
          <w:szCs w:val="32"/>
        </w:rPr>
        <w:t>422.44</w:t>
      </w:r>
      <w:r>
        <w:rPr>
          <w:rFonts w:hint="eastAsia" w:ascii="仿宋_GB2312" w:eastAsia="仿宋_GB2312" w:cs="仿宋_GB2312"/>
          <w:sz w:val="32"/>
          <w:szCs w:val="32"/>
        </w:rPr>
        <w:t>万元，占</w:t>
      </w:r>
      <w:r>
        <w:rPr>
          <w:rFonts w:ascii="仿宋_GB2312" w:eastAsia="仿宋_GB2312" w:cs="仿宋_GB2312"/>
          <w:sz w:val="32"/>
          <w:szCs w:val="32"/>
        </w:rPr>
        <w:t>10.13%</w:t>
      </w:r>
      <w:r>
        <w:rPr>
          <w:rFonts w:hint="eastAsia" w:ascii="仿宋_GB2312" w:eastAsia="仿宋_GB2312" w:cs="仿宋_GB2312"/>
          <w:sz w:val="32"/>
          <w:szCs w:val="32"/>
        </w:rPr>
        <w:t>；项目支出</w:t>
      </w:r>
      <w:r>
        <w:rPr>
          <w:rFonts w:ascii="仿宋_GB2312" w:eastAsia="仿宋_GB2312" w:cs="仿宋_GB2312"/>
          <w:sz w:val="32"/>
          <w:szCs w:val="32"/>
        </w:rPr>
        <w:t>0.00</w:t>
      </w:r>
      <w:r>
        <w:rPr>
          <w:rFonts w:hint="eastAsia" w:ascii="仿宋_GB2312" w:eastAsia="仿宋_GB2312" w:cs="仿宋_GB2312"/>
          <w:sz w:val="32"/>
          <w:szCs w:val="32"/>
        </w:rPr>
        <w:t>万元，占</w:t>
      </w:r>
      <w:r>
        <w:rPr>
          <w:rFonts w:ascii="仿宋_GB2312" w:eastAsia="仿宋_GB2312" w:cs="仿宋_GB2312"/>
          <w:sz w:val="32"/>
          <w:szCs w:val="32"/>
        </w:rPr>
        <w:t>0.00%</w:t>
      </w:r>
      <w:r>
        <w:rPr>
          <w:rFonts w:hint="eastAsia" w:ascii="仿宋_GB2312" w:eastAsia="仿宋_GB2312" w:cs="仿宋_GB2312"/>
          <w:sz w:val="32"/>
          <w:szCs w:val="32"/>
        </w:rPr>
        <w:t>；上缴上级支出</w:t>
      </w:r>
      <w:r>
        <w:rPr>
          <w:rFonts w:ascii="仿宋_GB2312" w:eastAsia="仿宋_GB2312" w:cs="仿宋_GB2312"/>
          <w:sz w:val="32"/>
          <w:szCs w:val="32"/>
        </w:rPr>
        <w:t>0.00</w:t>
      </w:r>
      <w:r>
        <w:rPr>
          <w:rFonts w:hint="eastAsia" w:ascii="仿宋_GB2312" w:eastAsia="仿宋_GB2312" w:cs="仿宋_GB2312"/>
          <w:sz w:val="32"/>
          <w:szCs w:val="32"/>
        </w:rPr>
        <w:t>万元，占</w:t>
      </w:r>
      <w:r>
        <w:rPr>
          <w:rFonts w:ascii="仿宋_GB2312" w:eastAsia="仿宋_GB2312" w:cs="仿宋_GB2312"/>
          <w:sz w:val="32"/>
          <w:szCs w:val="32"/>
        </w:rPr>
        <w:t>0.00%</w:t>
      </w:r>
      <w:r>
        <w:rPr>
          <w:rFonts w:hint="eastAsia" w:ascii="仿宋_GB2312" w:eastAsia="仿宋_GB2312" w:cs="仿宋_GB2312"/>
          <w:sz w:val="32"/>
          <w:szCs w:val="32"/>
        </w:rPr>
        <w:t>；经营支出</w:t>
      </w:r>
      <w:r>
        <w:rPr>
          <w:rFonts w:ascii="仿宋_GB2312" w:eastAsia="仿宋_GB2312" w:cs="仿宋_GB2312"/>
          <w:sz w:val="32"/>
          <w:szCs w:val="32"/>
        </w:rPr>
        <w:t>3,749.28</w:t>
      </w:r>
      <w:r>
        <w:rPr>
          <w:rFonts w:hint="eastAsia" w:ascii="仿宋_GB2312" w:eastAsia="仿宋_GB2312" w:cs="仿宋_GB2312"/>
          <w:sz w:val="32"/>
          <w:szCs w:val="32"/>
        </w:rPr>
        <w:t>万元，占</w:t>
      </w:r>
      <w:r>
        <w:rPr>
          <w:rFonts w:ascii="仿宋_GB2312" w:eastAsia="仿宋_GB2312" w:cs="仿宋_GB2312"/>
          <w:sz w:val="32"/>
          <w:szCs w:val="32"/>
        </w:rPr>
        <w:t>89.87%</w:t>
      </w:r>
      <w:r>
        <w:rPr>
          <w:rFonts w:hint="eastAsia" w:ascii="仿宋_GB2312" w:eastAsia="仿宋_GB2312" w:cs="仿宋_GB2312"/>
          <w:sz w:val="32"/>
          <w:szCs w:val="32"/>
        </w:rPr>
        <w:t>；对附属单位补助支出</w:t>
      </w:r>
      <w:r>
        <w:rPr>
          <w:rFonts w:ascii="仿宋_GB2312" w:eastAsia="仿宋_GB2312" w:cs="仿宋_GB2312"/>
          <w:sz w:val="32"/>
          <w:szCs w:val="32"/>
        </w:rPr>
        <w:t>0.00</w:t>
      </w:r>
      <w:r>
        <w:rPr>
          <w:rFonts w:hint="eastAsia" w:ascii="仿宋_GB2312" w:eastAsia="仿宋_GB2312" w:cs="仿宋_GB2312"/>
          <w:sz w:val="32"/>
          <w:szCs w:val="32"/>
        </w:rPr>
        <w:t>万元，占</w:t>
      </w:r>
      <w:r>
        <w:rPr>
          <w:rFonts w:ascii="仿宋_GB2312" w:eastAsia="仿宋_GB2312" w:cs="仿宋_GB2312"/>
          <w:sz w:val="32"/>
          <w:szCs w:val="32"/>
        </w:rPr>
        <w:t>0.00%</w:t>
      </w:r>
      <w:r>
        <w:rPr>
          <w:rFonts w:hint="eastAsia" w:asci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年度财政拨款收、支总计均为</w:t>
      </w:r>
      <w:r>
        <w:rPr>
          <w:rFonts w:ascii="仿宋_GB2312" w:eastAsia="仿宋_GB2312" w:cs="仿宋_GB2312"/>
          <w:sz w:val="32"/>
          <w:szCs w:val="32"/>
        </w:rPr>
        <w:t>422.44</w:t>
      </w:r>
      <w:r>
        <w:rPr>
          <w:rFonts w:hint="eastAsia" w:ascii="仿宋_GB2312" w:eastAsia="仿宋_GB2312" w:cs="仿宋_GB2312"/>
          <w:sz w:val="32"/>
          <w:szCs w:val="32"/>
        </w:rPr>
        <w:t>万元。与上年度相比，财政拨款收、支总计各减少</w:t>
      </w:r>
      <w:r>
        <w:rPr>
          <w:rFonts w:ascii="仿宋_GB2312" w:eastAsia="仿宋_GB2312" w:cs="仿宋_GB2312"/>
          <w:sz w:val="32"/>
          <w:szCs w:val="32"/>
        </w:rPr>
        <w:t>399.27</w:t>
      </w:r>
      <w:r>
        <w:rPr>
          <w:rFonts w:hint="eastAsia" w:ascii="仿宋_GB2312" w:eastAsia="仿宋_GB2312" w:cs="仿宋_GB2312"/>
          <w:sz w:val="32"/>
          <w:szCs w:val="32"/>
        </w:rPr>
        <w:t>万元，下降</w:t>
      </w:r>
      <w:r>
        <w:rPr>
          <w:rFonts w:ascii="仿宋_GB2312" w:eastAsia="仿宋_GB2312" w:cs="仿宋_GB2312"/>
          <w:sz w:val="32"/>
          <w:szCs w:val="32"/>
        </w:rPr>
        <w:t>48.59%</w:t>
      </w:r>
      <w:r>
        <w:rPr>
          <w:rFonts w:hint="eastAsia" w:ascii="仿宋_GB2312" w:eastAsia="仿宋_GB2312" w:cs="仿宋_GB2312"/>
          <w:sz w:val="32"/>
          <w:szCs w:val="32"/>
        </w:rPr>
        <w:t>。</w:t>
      </w:r>
      <w:r>
        <w:rPr>
          <w:rFonts w:hint="eastAsia" w:ascii="仿宋_GB2312" w:hAnsi="仿宋_GB2312" w:eastAsia="仿宋_GB2312" w:cs="仿宋_GB2312"/>
          <w:sz w:val="32"/>
          <w:szCs w:val="32"/>
        </w:rPr>
        <w:t>主要原因是上年度上缴国有资产有偿使用收入比2</w:t>
      </w:r>
      <w:r>
        <w:rPr>
          <w:rFonts w:ascii="仿宋_GB2312" w:hAnsi="仿宋_GB2312" w:eastAsia="仿宋_GB2312" w:cs="仿宋_GB2312"/>
          <w:sz w:val="32"/>
          <w:szCs w:val="32"/>
        </w:rPr>
        <w:t>021年高</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422.44</w:t>
      </w:r>
      <w:r>
        <w:rPr>
          <w:rFonts w:hint="eastAsia" w:ascii="仿宋_GB2312" w:eastAsia="仿宋_GB2312" w:cs="仿宋_GB2312"/>
          <w:sz w:val="32"/>
          <w:szCs w:val="32"/>
        </w:rPr>
        <w:t>万元，占支出合计的</w:t>
      </w:r>
      <w:r>
        <w:rPr>
          <w:rFonts w:ascii="仿宋_GB2312" w:eastAsia="仿宋_GB2312" w:cs="仿宋_GB2312"/>
          <w:sz w:val="32"/>
          <w:szCs w:val="32"/>
        </w:rPr>
        <w:t>10.13%</w:t>
      </w:r>
      <w:r>
        <w:rPr>
          <w:rFonts w:hint="eastAsia" w:ascii="仿宋_GB2312" w:eastAsia="仿宋_GB2312" w:cs="仿宋_GB2312"/>
          <w:sz w:val="32"/>
          <w:szCs w:val="32"/>
        </w:rPr>
        <w:t>。与上年度相比，一般公共预算财政拨款支出减少</w:t>
      </w:r>
      <w:r>
        <w:rPr>
          <w:rFonts w:ascii="仿宋_GB2312" w:eastAsia="仿宋_GB2312" w:cs="仿宋_GB2312"/>
          <w:sz w:val="32"/>
          <w:szCs w:val="32"/>
        </w:rPr>
        <w:t>347.38</w:t>
      </w:r>
      <w:r>
        <w:rPr>
          <w:rFonts w:hint="eastAsia" w:ascii="仿宋_GB2312" w:eastAsia="仿宋_GB2312" w:cs="仿宋_GB2312"/>
          <w:sz w:val="32"/>
          <w:szCs w:val="32"/>
        </w:rPr>
        <w:t>万元，下降</w:t>
      </w:r>
      <w:r>
        <w:rPr>
          <w:rFonts w:ascii="仿宋_GB2312" w:eastAsia="仿宋_GB2312" w:cs="仿宋_GB2312"/>
          <w:sz w:val="32"/>
          <w:szCs w:val="32"/>
        </w:rPr>
        <w:t>45.12%</w:t>
      </w:r>
      <w:r>
        <w:rPr>
          <w:rFonts w:hint="eastAsia" w:ascii="仿宋_GB2312" w:eastAsia="仿宋_GB2312" w:cs="仿宋_GB2312"/>
          <w:sz w:val="32"/>
          <w:szCs w:val="32"/>
        </w:rPr>
        <w:t>。主要原因是我单位上缴非税收入款项减少，财政拨回减少</w:t>
      </w:r>
      <w:r>
        <w:rPr>
          <w:rFonts w:hint="eastAsia" w:ascii="仿宋_GB2312" w:hAnsi="仿宋_GB2312" w:eastAsia="仿宋_GB2312" w:cs="仿宋_GB2312"/>
          <w:sz w:val="32"/>
          <w:szCs w:val="32"/>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autoSpaceDE w:val="0"/>
        <w:autoSpaceDN w:val="0"/>
        <w:adjustRightInd w:val="0"/>
        <w:spacing w:line="590" w:lineRule="exact"/>
        <w:ind w:firstLine="640"/>
        <w:rPr>
          <w:rFonts w:ascii="仿宋_GB2312" w:eastAsia="仿宋_GB2312" w:cs="仿宋_GB2312"/>
          <w:sz w:val="32"/>
          <w:szCs w:val="32"/>
        </w:rPr>
      </w:pPr>
      <w:r>
        <w:rPr>
          <w:rFonts w:hint="eastAsia" w:ascii="仿宋_GB2312" w:hAnsi="仿宋_GB2312" w:eastAsia="仿宋_GB2312" w:cs="仿宋_GB2312"/>
          <w:sz w:val="32"/>
          <w:szCs w:val="32"/>
        </w:rPr>
        <w:t>2</w:t>
      </w:r>
      <w:r>
        <w:rPr>
          <w:rFonts w:ascii="仿宋_GB2312" w:eastAsia="仿宋_GB2312" w:cs="仿宋_GB2312"/>
          <w:sz w:val="32"/>
          <w:szCs w:val="32"/>
        </w:rPr>
        <w:t>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422.44</w:t>
      </w:r>
      <w:r>
        <w:rPr>
          <w:rFonts w:hint="eastAsia" w:ascii="仿宋_GB2312" w:eastAsia="仿宋_GB2312" w:cs="仿宋_GB2312"/>
          <w:sz w:val="32"/>
          <w:szCs w:val="32"/>
        </w:rPr>
        <w:t>万元，主要用于以下方面：文化旅游体育与传媒（类）支出</w:t>
      </w:r>
      <w:r>
        <w:rPr>
          <w:rFonts w:ascii="仿宋_GB2312" w:eastAsia="仿宋_GB2312" w:cs="仿宋_GB2312"/>
          <w:sz w:val="32"/>
          <w:szCs w:val="32"/>
        </w:rPr>
        <w:t>291.83万元，占</w:t>
      </w:r>
      <w:r>
        <w:rPr>
          <w:rFonts w:hint="eastAsia" w:ascii="仿宋_GB2312" w:eastAsia="仿宋_GB2312" w:cs="仿宋_GB2312"/>
          <w:sz w:val="32"/>
          <w:szCs w:val="32"/>
        </w:rPr>
        <w:t>6</w:t>
      </w:r>
      <w:r>
        <w:rPr>
          <w:rFonts w:ascii="仿宋_GB2312" w:eastAsia="仿宋_GB2312" w:cs="仿宋_GB2312"/>
          <w:sz w:val="32"/>
          <w:szCs w:val="32"/>
        </w:rPr>
        <w:t>9.08%。</w:t>
      </w:r>
      <w:r>
        <w:rPr>
          <w:rFonts w:hint="eastAsia" w:ascii="仿宋_GB2312" w:eastAsia="仿宋_GB2312" w:cs="仿宋_GB2312"/>
          <w:sz w:val="32"/>
          <w:szCs w:val="32"/>
        </w:rPr>
        <w:t>社会保障和就业（类）支出1</w:t>
      </w:r>
      <w:r>
        <w:rPr>
          <w:rFonts w:ascii="仿宋_GB2312" w:eastAsia="仿宋_GB2312" w:cs="仿宋_GB2312"/>
          <w:sz w:val="32"/>
          <w:szCs w:val="32"/>
        </w:rPr>
        <w:t>30.61万元，占</w:t>
      </w:r>
      <w:r>
        <w:rPr>
          <w:rFonts w:hint="eastAsia" w:ascii="仿宋_GB2312" w:eastAsia="仿宋_GB2312" w:cs="仿宋_GB2312"/>
          <w:sz w:val="32"/>
          <w:szCs w:val="32"/>
        </w:rPr>
        <w:t>3</w:t>
      </w:r>
      <w:r>
        <w:rPr>
          <w:rFonts w:ascii="仿宋_GB2312" w:eastAsia="仿宋_GB2312" w:cs="仿宋_GB2312"/>
          <w:sz w:val="32"/>
          <w:szCs w:val="32"/>
        </w:rPr>
        <w:t>0.92%。</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eastAsia="仿宋_GB2312" w:cs="仿宋_GB2312"/>
          <w:sz w:val="32"/>
          <w:szCs w:val="32"/>
        </w:rPr>
        <w:t>年度一般公共预算财政拨款支出年初预算为</w:t>
      </w:r>
      <w:r>
        <w:rPr>
          <w:rFonts w:ascii="仿宋_GB2312" w:eastAsia="仿宋_GB2312" w:cs="仿宋_GB2312"/>
          <w:sz w:val="32"/>
          <w:szCs w:val="32"/>
        </w:rPr>
        <w:t>169.3</w:t>
      </w:r>
      <w:r>
        <w:rPr>
          <w:rFonts w:hint="eastAsia" w:ascii="仿宋_GB2312" w:eastAsia="仿宋_GB2312" w:cs="仿宋_GB2312"/>
          <w:sz w:val="32"/>
          <w:szCs w:val="32"/>
        </w:rPr>
        <w:t>万元，支出决算为</w:t>
      </w:r>
      <w:r>
        <w:rPr>
          <w:rFonts w:ascii="仿宋_GB2312" w:eastAsia="仿宋_GB2312" w:cs="仿宋_GB2312"/>
          <w:sz w:val="32"/>
          <w:szCs w:val="32"/>
        </w:rPr>
        <w:t>422.44</w:t>
      </w:r>
      <w:r>
        <w:rPr>
          <w:rFonts w:hint="eastAsia" w:ascii="仿宋_GB2312" w:eastAsia="仿宋_GB2312" w:cs="仿宋_GB2312"/>
          <w:sz w:val="32"/>
          <w:szCs w:val="32"/>
        </w:rPr>
        <w:t>万元，完成年初预算的</w:t>
      </w:r>
      <w:r>
        <w:rPr>
          <w:rFonts w:ascii="仿宋_GB2312" w:eastAsia="仿宋_GB2312" w:cs="仿宋_GB2312"/>
          <w:sz w:val="32"/>
          <w:szCs w:val="32"/>
        </w:rPr>
        <w:t>249.52%</w:t>
      </w:r>
      <w:r>
        <w:rPr>
          <w:rFonts w:hint="eastAsia" w:ascii="仿宋_GB2312" w:eastAsia="仿宋_GB2312" w:cs="仿宋_GB2312"/>
          <w:sz w:val="32"/>
          <w:szCs w:val="32"/>
        </w:rPr>
        <w:t>。其中</w:t>
      </w:r>
      <w:r>
        <w:rPr>
          <w:rFonts w:hint="eastAsia" w:ascii="仿宋_GB2312" w:hAnsi="仿宋_GB2312" w:eastAsia="仿宋_GB2312" w:cs="仿宋_GB2312"/>
          <w:sz w:val="32"/>
          <w:szCs w:val="32"/>
        </w:rPr>
        <w:t>：</w:t>
      </w:r>
    </w:p>
    <w:p>
      <w:pPr>
        <w:widowControl/>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1．文化旅游体育与传媒支出（类）新闻出版电影（款）</w:t>
      </w:r>
      <w:r>
        <w:rPr>
          <w:rFonts w:hint="eastAsia" w:ascii="宋体" w:hAnsi="宋体" w:cs="Arial"/>
          <w:color w:val="000000"/>
          <w:kern w:val="0"/>
          <w:sz w:val="22"/>
        </w:rPr>
        <w:t xml:space="preserve"> </w:t>
      </w:r>
      <w:r>
        <w:rPr>
          <w:rFonts w:hint="eastAsia" w:ascii="仿宋_GB2312" w:hAnsi="仿宋_GB2312" w:eastAsia="仿宋_GB2312" w:cs="仿宋_GB2312"/>
          <w:b/>
          <w:bCs/>
          <w:sz w:val="32"/>
          <w:szCs w:val="32"/>
        </w:rPr>
        <w:t xml:space="preserve"> 出版发行（项）。</w:t>
      </w:r>
      <w:r>
        <w:rPr>
          <w:rFonts w:hint="eastAsia" w:ascii="仿宋_GB2312" w:hAnsi="仿宋_GB2312" w:eastAsia="仿宋_GB2312" w:cs="仿宋_GB2312"/>
          <w:sz w:val="32"/>
          <w:szCs w:val="32"/>
        </w:rPr>
        <w:t>年初预算为8</w:t>
      </w:r>
      <w:r>
        <w:rPr>
          <w:rFonts w:ascii="仿宋_GB2312" w:hAnsi="仿宋_GB2312" w:eastAsia="仿宋_GB2312" w:cs="仿宋_GB2312"/>
          <w:sz w:val="32"/>
          <w:szCs w:val="32"/>
        </w:rPr>
        <w:t>8.69万</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291.83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329.04%</w:t>
      </w:r>
      <w:r>
        <w:rPr>
          <w:rFonts w:hint="eastAsia" w:ascii="仿宋_GB2312" w:hAnsi="仿宋_GB2312" w:eastAsia="仿宋_GB2312" w:cs="仿宋_GB2312"/>
          <w:sz w:val="32"/>
          <w:szCs w:val="32"/>
        </w:rPr>
        <w:t>。决算数与年初预算数存在差异的主要原因是我单位向市委打报告追加预算，增加财政拨款收入与支出。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  事业单位离退休（项）。</w:t>
      </w:r>
      <w:r>
        <w:rPr>
          <w:rFonts w:hint="eastAsia" w:ascii="仿宋_GB2312" w:hAnsi="仿宋_GB2312" w:eastAsia="仿宋_GB2312" w:cs="仿宋_GB2312"/>
          <w:sz w:val="32"/>
          <w:szCs w:val="32"/>
        </w:rPr>
        <w:t>年初预算为8</w:t>
      </w:r>
      <w:r>
        <w:rPr>
          <w:rFonts w:ascii="仿宋_GB2312" w:hAnsi="仿宋_GB2312" w:eastAsia="仿宋_GB2312" w:cs="仿宋_GB2312"/>
          <w:sz w:val="32"/>
          <w:szCs w:val="32"/>
        </w:rPr>
        <w:t>0.61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80.61</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w:t>
      </w:r>
    </w:p>
    <w:p>
      <w:pPr>
        <w:widowControl/>
        <w:spacing w:line="590" w:lineRule="exact"/>
        <w:ind w:firstLine="642"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．社会保障和就业支出（类）退役军人管理事务（款）  一般行政管理事务（项）。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万元，决算数与年初预算数存在差异的主要原因是单位为财政部门宣传追加拨款，因金额未确定未造预算。</w:t>
      </w:r>
    </w:p>
    <w:p>
      <w:pPr>
        <w:widowControl/>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年度一般公共预算财政拨款基本支出4</w:t>
      </w:r>
      <w:r>
        <w:rPr>
          <w:rFonts w:ascii="仿宋_GB2312" w:hAnsi="仿宋_GB2312" w:eastAsia="仿宋_GB2312" w:cs="仿宋_GB2312"/>
          <w:sz w:val="32"/>
          <w:szCs w:val="32"/>
        </w:rPr>
        <w:t>22.44</w:t>
      </w:r>
      <w:r>
        <w:rPr>
          <w:rFonts w:hint="eastAsia" w:ascii="仿宋_GB2312" w:hAnsi="仿宋_GB2312" w:eastAsia="仿宋_GB2312" w:cs="仿宋_GB2312"/>
          <w:sz w:val="32"/>
          <w:szCs w:val="32"/>
        </w:rPr>
        <w:t>万元。其中：人员经费3</w:t>
      </w:r>
      <w:r>
        <w:rPr>
          <w:rFonts w:ascii="仿宋_GB2312" w:hAnsi="仿宋_GB2312" w:eastAsia="仿宋_GB2312" w:cs="仿宋_GB2312"/>
          <w:sz w:val="32"/>
          <w:szCs w:val="32"/>
        </w:rPr>
        <w:t>72.44</w:t>
      </w:r>
      <w:r>
        <w:rPr>
          <w:rFonts w:hint="eastAsia" w:ascii="仿宋_GB2312" w:hAnsi="仿宋_GB2312" w:eastAsia="仿宋_GB2312" w:cs="仿宋_GB2312"/>
          <w:sz w:val="32"/>
          <w:szCs w:val="32"/>
        </w:rPr>
        <w:t>万元，主要包括：基本工资、津贴补贴、绩效工资、退休费、生活补助、其他对个人和家庭的补助支出；公用经费5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万元，主要包括：印刷费。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万元；公务用车购置及运行费支出决算0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万元；公务接待费支出决算0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万元。具体情况如下：</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1．因公出国（境）费</w:t>
      </w:r>
      <w:r>
        <w:rPr>
          <w:rFonts w:hint="eastAsia" w:ascii="仿宋_GB2312" w:hAnsi="仿宋_GB2312" w:eastAsia="仿宋_GB2312"/>
          <w:sz w:val="32"/>
          <w:szCs w:val="24"/>
        </w:rPr>
        <w:t>预算为0.00万元，支出决算为0.00万元。决算数与预算数不存在差异。因公出国（境）团组数0个，因公出国（境）人次数0人。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hint="eastAsia" w:ascii="仿宋_GB2312" w:hAnsi="仿宋_GB2312" w:eastAsia="仿宋_GB2312"/>
          <w:sz w:val="32"/>
          <w:szCs w:val="24"/>
        </w:rPr>
        <w:t>决算数与预算数不存在差异。</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hint="eastAsia" w:ascii="仿宋_GB2312" w:hAnsi="仿宋_GB2312" w:eastAsia="仿宋_GB2312"/>
          <w:sz w:val="32"/>
          <w:szCs w:val="24"/>
        </w:rPr>
        <w:t>决算数与预算数不存在差异。</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万元。不存在年末结转和结余资金数额较大。情况说明：我部门2</w:t>
      </w:r>
      <w:r>
        <w:rPr>
          <w:rFonts w:ascii="仿宋_GB2312" w:hAnsi="仿宋_GB2312" w:eastAsia="仿宋_GB2312" w:cs="仿宋_GB2312"/>
          <w:sz w:val="32"/>
          <w:szCs w:val="32"/>
        </w:rPr>
        <w:t>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万元，其中：政府采购货物支出0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万元、政府采购工程支出0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万元、政府采购服务支出0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万元。授予中小企业合同金额0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万元。其中：授予小微企业合同金额0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2辆，其中：省级领导干部用车0辆、主要领导干部用车0辆、机要通信用车0辆、应急保障车2辆、执法执勤用车0辆、特种专业技术用车0辆、离退休干部用车0辆、其他用车0辆；单位价值50万元以上通用设备0台（套），单位价值100万元以上专用设备1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许昌日报社按照《中共许昌市委 许昌市人民政府关于全面实施预算绩效管理的实施意见》（许发〔202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号）文件要求，许昌日报社整体支出和项目支出开展全过程预算绩效管理。202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年许昌日报社纳入预算绩效管理的支出总额为</w:t>
      </w:r>
      <w:r>
        <w:rPr>
          <w:rFonts w:ascii="仿宋_GB2312" w:hAnsi="仿宋_GB2312" w:eastAsia="仿宋_GB2312" w:cs="仿宋_GB2312"/>
          <w:sz w:val="32"/>
          <w:szCs w:val="32"/>
        </w:rPr>
        <w:t>5588.34</w:t>
      </w:r>
      <w:r>
        <w:rPr>
          <w:rFonts w:hint="eastAsia" w:ascii="仿宋_GB2312" w:hAnsi="仿宋_GB2312" w:eastAsia="仿宋_GB2312" w:cs="仿宋_GB2312"/>
          <w:sz w:val="32"/>
          <w:szCs w:val="32"/>
        </w:rPr>
        <w:t>万元，其中：基本支出4</w:t>
      </w:r>
      <w:r>
        <w:rPr>
          <w:rFonts w:ascii="仿宋_GB2312" w:hAnsi="仿宋_GB2312" w:eastAsia="仿宋_GB2312" w:cs="仿宋_GB2312"/>
          <w:sz w:val="32"/>
          <w:szCs w:val="32"/>
        </w:rPr>
        <w:t>126.66</w:t>
      </w:r>
      <w:r>
        <w:rPr>
          <w:rFonts w:hint="eastAsia" w:ascii="仿宋_GB2312" w:hAnsi="仿宋_GB2312" w:eastAsia="仿宋_GB2312" w:cs="仿宋_GB2312"/>
          <w:sz w:val="32"/>
          <w:szCs w:val="32"/>
        </w:rPr>
        <w:t>万元；支出项目3个，支出金额1</w:t>
      </w:r>
      <w:r>
        <w:rPr>
          <w:rFonts w:ascii="仿宋_GB2312" w:hAnsi="仿宋_GB2312" w:eastAsia="仿宋_GB2312" w:cs="仿宋_GB2312"/>
          <w:sz w:val="32"/>
          <w:szCs w:val="32"/>
        </w:rPr>
        <w:t>461.68</w:t>
      </w:r>
      <w:r>
        <w:rPr>
          <w:rFonts w:hint="eastAsia" w:ascii="仿宋_GB2312" w:hAnsi="仿宋_GB2312" w:eastAsia="仿宋_GB2312" w:cs="仿宋_GB2312"/>
          <w:sz w:val="32"/>
          <w:szCs w:val="32"/>
        </w:rPr>
        <w:t>万元。开展项目绩效自评项目3个，自评金额1</w:t>
      </w:r>
      <w:r>
        <w:rPr>
          <w:rFonts w:ascii="仿宋_GB2312" w:hAnsi="仿宋_GB2312" w:eastAsia="仿宋_GB2312" w:cs="仿宋_GB2312"/>
          <w:sz w:val="32"/>
          <w:szCs w:val="32"/>
        </w:rPr>
        <w:t>461.68</w:t>
      </w:r>
      <w:r>
        <w:rPr>
          <w:rFonts w:hint="eastAsia" w:ascii="仿宋_GB2312" w:hAnsi="仿宋_GB2312" w:eastAsia="仿宋_GB2312" w:cs="仿宋_GB2312"/>
          <w:sz w:val="32"/>
          <w:szCs w:val="32"/>
        </w:rPr>
        <w:t>万元；纳入重点绩效评价0个，评价金额0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〕1号）等文件精神，许昌日报社对许昌日报社整体绩效目标和项目支出绩效目标进行了自评。</w:t>
      </w:r>
    </w:p>
    <w:p>
      <w:pPr>
        <w:ind w:firstLine="640" w:firstLineChars="200"/>
        <w:rPr>
          <w:rFonts w:ascii="仿宋_GB2312"/>
          <w:sz w:val="32"/>
          <w:szCs w:val="32"/>
        </w:rPr>
      </w:pPr>
      <w:r>
        <w:rPr>
          <w:rFonts w:hint="eastAsia" w:ascii="仿宋_GB2312" w:hAnsi="仿宋_GB2312" w:eastAsia="仿宋_GB2312" w:cs="仿宋_GB2312"/>
          <w:sz w:val="32"/>
          <w:szCs w:val="32"/>
        </w:rPr>
        <w:t>一是许昌日报社整体绩效自评情况，部门整体绩效自根据2021年年初整体预算安排，我单位严格执行中央八项规定，坚持厉行节约、量入为出，规范使用预算资金。收入上，严格按</w:t>
      </w:r>
      <w:r>
        <w:rPr>
          <w:rFonts w:hint="eastAsia" w:ascii="华文仿宋" w:hAnsi="华文仿宋" w:eastAsia="华文仿宋" w:cs="华文仿宋"/>
          <w:sz w:val="32"/>
          <w:szCs w:val="32"/>
        </w:rPr>
        <w:t>照规定直接缴入国库，无隐瞒收入和其他违反规定的行为。在支出管理中，认真执行国库集中支付、政府采购、公务卡报销、重点工作和大额支付上会集体决策等相关财务管理制度，保障各项工作顺利开展。项目方面做到专款专用，根据年初预算计划，有条不紊的进行项目支出。通过各项工作的开展，提高了档案工作现代化服务手段，对查阅利用者提供了更便捷、高效的服务，群众满意度得到了提高。</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二是项目绩效自评情况。许昌日报社共有3个项目批复了绩效目标。基于项目预期目标的实现程度，对2021年度项目支出绩效进行自评，绩效自评平均得分为9</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分。其中：3个项目评价等级为“优”、</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个项目评价等级为“中”、0个项目评价等级为“差”。</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ind w:firstLine="960" w:firstLineChars="300"/>
        <w:jc w:val="left"/>
        <w:rPr>
          <w:rFonts w:ascii="黑体" w:hAnsi="宋体" w:eastAsia="黑体" w:cs="宋体"/>
          <w:kern w:val="0"/>
          <w:sz w:val="28"/>
          <w:szCs w:val="28"/>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021年度我单位没有开展重点绩效评价项目。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Gg04bCAQAAj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CYj14Dw7pCwcOkno45QUzGcUmE0bVReg3/vJev+&#10;L9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4"/>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YmI3MGM2ZTU2NGVlN2RmMTFhYzRiZTFmYmEwNjEifQ=="/>
  </w:docVars>
  <w:rsids>
    <w:rsidRoot w:val="000270E8"/>
    <w:rsid w:val="000270E8"/>
    <w:rsid w:val="000335B5"/>
    <w:rsid w:val="00056274"/>
    <w:rsid w:val="00057AFD"/>
    <w:rsid w:val="00076410"/>
    <w:rsid w:val="00081835"/>
    <w:rsid w:val="000904B3"/>
    <w:rsid w:val="000C073B"/>
    <w:rsid w:val="000C1142"/>
    <w:rsid w:val="000F6BB0"/>
    <w:rsid w:val="001003F8"/>
    <w:rsid w:val="001369F5"/>
    <w:rsid w:val="00144159"/>
    <w:rsid w:val="001556FB"/>
    <w:rsid w:val="001718A8"/>
    <w:rsid w:val="00182842"/>
    <w:rsid w:val="00184D53"/>
    <w:rsid w:val="001905F2"/>
    <w:rsid w:val="00197592"/>
    <w:rsid w:val="001C32F0"/>
    <w:rsid w:val="001D61B1"/>
    <w:rsid w:val="001F5040"/>
    <w:rsid w:val="002006EB"/>
    <w:rsid w:val="0020302A"/>
    <w:rsid w:val="002125CB"/>
    <w:rsid w:val="002146F0"/>
    <w:rsid w:val="00214AE1"/>
    <w:rsid w:val="00260D70"/>
    <w:rsid w:val="002622E3"/>
    <w:rsid w:val="00281114"/>
    <w:rsid w:val="00282C7F"/>
    <w:rsid w:val="00287811"/>
    <w:rsid w:val="00290F9A"/>
    <w:rsid w:val="00292B4B"/>
    <w:rsid w:val="002A6352"/>
    <w:rsid w:val="002B3F94"/>
    <w:rsid w:val="002B547E"/>
    <w:rsid w:val="002C171D"/>
    <w:rsid w:val="002E6A86"/>
    <w:rsid w:val="00304D04"/>
    <w:rsid w:val="00305B88"/>
    <w:rsid w:val="00315FEB"/>
    <w:rsid w:val="00372DF0"/>
    <w:rsid w:val="003B1E82"/>
    <w:rsid w:val="0041489C"/>
    <w:rsid w:val="0042585F"/>
    <w:rsid w:val="004379C2"/>
    <w:rsid w:val="0044123F"/>
    <w:rsid w:val="00445CAC"/>
    <w:rsid w:val="00472E19"/>
    <w:rsid w:val="00477C77"/>
    <w:rsid w:val="00487869"/>
    <w:rsid w:val="004D5275"/>
    <w:rsid w:val="004F63DB"/>
    <w:rsid w:val="00505190"/>
    <w:rsid w:val="00507364"/>
    <w:rsid w:val="00546F7C"/>
    <w:rsid w:val="005A0C2F"/>
    <w:rsid w:val="005B1AE2"/>
    <w:rsid w:val="005C3306"/>
    <w:rsid w:val="005E3397"/>
    <w:rsid w:val="00607D67"/>
    <w:rsid w:val="006228C4"/>
    <w:rsid w:val="00636C37"/>
    <w:rsid w:val="006415FB"/>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7E5F47"/>
    <w:rsid w:val="00843461"/>
    <w:rsid w:val="008651E7"/>
    <w:rsid w:val="00872946"/>
    <w:rsid w:val="0087393E"/>
    <w:rsid w:val="0088023A"/>
    <w:rsid w:val="008858FB"/>
    <w:rsid w:val="00894B41"/>
    <w:rsid w:val="008B5427"/>
    <w:rsid w:val="008C7CD0"/>
    <w:rsid w:val="00903F6B"/>
    <w:rsid w:val="009173F9"/>
    <w:rsid w:val="009308CB"/>
    <w:rsid w:val="00950270"/>
    <w:rsid w:val="00962F58"/>
    <w:rsid w:val="00966064"/>
    <w:rsid w:val="00975A04"/>
    <w:rsid w:val="00987E71"/>
    <w:rsid w:val="009F0FBB"/>
    <w:rsid w:val="009F546E"/>
    <w:rsid w:val="00A01A00"/>
    <w:rsid w:val="00A079F0"/>
    <w:rsid w:val="00A31C81"/>
    <w:rsid w:val="00A42F43"/>
    <w:rsid w:val="00A51982"/>
    <w:rsid w:val="00A57BF7"/>
    <w:rsid w:val="00A71DC1"/>
    <w:rsid w:val="00A83D8A"/>
    <w:rsid w:val="00A93E7D"/>
    <w:rsid w:val="00AA260E"/>
    <w:rsid w:val="00AA44CB"/>
    <w:rsid w:val="00AA67CD"/>
    <w:rsid w:val="00AB2BD6"/>
    <w:rsid w:val="00AB3E96"/>
    <w:rsid w:val="00AD6761"/>
    <w:rsid w:val="00AE2FEA"/>
    <w:rsid w:val="00AE600E"/>
    <w:rsid w:val="00B0083B"/>
    <w:rsid w:val="00B00B5B"/>
    <w:rsid w:val="00B040BC"/>
    <w:rsid w:val="00B209B8"/>
    <w:rsid w:val="00B20BBC"/>
    <w:rsid w:val="00B249F3"/>
    <w:rsid w:val="00B649BE"/>
    <w:rsid w:val="00B653A5"/>
    <w:rsid w:val="00B710DD"/>
    <w:rsid w:val="00BE5A85"/>
    <w:rsid w:val="00BF4E6A"/>
    <w:rsid w:val="00BF5718"/>
    <w:rsid w:val="00BF6244"/>
    <w:rsid w:val="00C13474"/>
    <w:rsid w:val="00C3106E"/>
    <w:rsid w:val="00C60609"/>
    <w:rsid w:val="00C95CC1"/>
    <w:rsid w:val="00CA3F44"/>
    <w:rsid w:val="00CB03ED"/>
    <w:rsid w:val="00CE212D"/>
    <w:rsid w:val="00CE4B38"/>
    <w:rsid w:val="00D1321A"/>
    <w:rsid w:val="00D158F1"/>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70117"/>
    <w:rsid w:val="00E910D0"/>
    <w:rsid w:val="00EB05A3"/>
    <w:rsid w:val="00ED38B7"/>
    <w:rsid w:val="00EE051D"/>
    <w:rsid w:val="00F0131A"/>
    <w:rsid w:val="00F14C17"/>
    <w:rsid w:val="00F17041"/>
    <w:rsid w:val="00F218CF"/>
    <w:rsid w:val="00F44937"/>
    <w:rsid w:val="00F61A47"/>
    <w:rsid w:val="00F80DDF"/>
    <w:rsid w:val="00F84422"/>
    <w:rsid w:val="00F84D1B"/>
    <w:rsid w:val="00F95455"/>
    <w:rsid w:val="00FA574D"/>
    <w:rsid w:val="00FC2588"/>
    <w:rsid w:val="00FE7AD9"/>
    <w:rsid w:val="012D2227"/>
    <w:rsid w:val="01322275"/>
    <w:rsid w:val="01DC6F05"/>
    <w:rsid w:val="021C6341"/>
    <w:rsid w:val="02A3489A"/>
    <w:rsid w:val="02CA138D"/>
    <w:rsid w:val="033646FC"/>
    <w:rsid w:val="03C75F80"/>
    <w:rsid w:val="0478364D"/>
    <w:rsid w:val="04A605A2"/>
    <w:rsid w:val="053D4C0D"/>
    <w:rsid w:val="0557532E"/>
    <w:rsid w:val="0799329C"/>
    <w:rsid w:val="08397436"/>
    <w:rsid w:val="086F16A7"/>
    <w:rsid w:val="0A0F7225"/>
    <w:rsid w:val="0A2B7D82"/>
    <w:rsid w:val="0ADC40E9"/>
    <w:rsid w:val="0ADD2F10"/>
    <w:rsid w:val="0AE607F4"/>
    <w:rsid w:val="0B386127"/>
    <w:rsid w:val="0B451598"/>
    <w:rsid w:val="0BEC73F4"/>
    <w:rsid w:val="0C2D757F"/>
    <w:rsid w:val="0C392698"/>
    <w:rsid w:val="0DF30354"/>
    <w:rsid w:val="100E1475"/>
    <w:rsid w:val="10BD36F6"/>
    <w:rsid w:val="10F845FF"/>
    <w:rsid w:val="11BF0649"/>
    <w:rsid w:val="123E3E08"/>
    <w:rsid w:val="133212F4"/>
    <w:rsid w:val="13D22E22"/>
    <w:rsid w:val="14217AAB"/>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E029BA"/>
    <w:rsid w:val="20F614FE"/>
    <w:rsid w:val="21302EEA"/>
    <w:rsid w:val="22376FB5"/>
    <w:rsid w:val="23E152D7"/>
    <w:rsid w:val="23EE2489"/>
    <w:rsid w:val="255D43C8"/>
    <w:rsid w:val="256C49AD"/>
    <w:rsid w:val="26714EF8"/>
    <w:rsid w:val="26876BDD"/>
    <w:rsid w:val="2714632A"/>
    <w:rsid w:val="27541E73"/>
    <w:rsid w:val="27B0539E"/>
    <w:rsid w:val="28CA642A"/>
    <w:rsid w:val="29365CF8"/>
    <w:rsid w:val="299469B3"/>
    <w:rsid w:val="2A805789"/>
    <w:rsid w:val="2ADC0D75"/>
    <w:rsid w:val="2B4A0E52"/>
    <w:rsid w:val="2C975890"/>
    <w:rsid w:val="2D3B54C6"/>
    <w:rsid w:val="2D4D13D7"/>
    <w:rsid w:val="2DEF21BB"/>
    <w:rsid w:val="2E4A2F05"/>
    <w:rsid w:val="2ECC1061"/>
    <w:rsid w:val="2FA476AD"/>
    <w:rsid w:val="30055F99"/>
    <w:rsid w:val="303F7540"/>
    <w:rsid w:val="315C7E3B"/>
    <w:rsid w:val="31A0241D"/>
    <w:rsid w:val="31DD00BF"/>
    <w:rsid w:val="31E3230A"/>
    <w:rsid w:val="3293174C"/>
    <w:rsid w:val="32BB38D4"/>
    <w:rsid w:val="32C9376D"/>
    <w:rsid w:val="33780472"/>
    <w:rsid w:val="33AF0905"/>
    <w:rsid w:val="355932F4"/>
    <w:rsid w:val="35611882"/>
    <w:rsid w:val="36746FC3"/>
    <w:rsid w:val="368763AE"/>
    <w:rsid w:val="395D59E7"/>
    <w:rsid w:val="39A93932"/>
    <w:rsid w:val="3A915562"/>
    <w:rsid w:val="3B8D4765"/>
    <w:rsid w:val="3BB645EB"/>
    <w:rsid w:val="3C000DBA"/>
    <w:rsid w:val="3DC045D3"/>
    <w:rsid w:val="3E504FFB"/>
    <w:rsid w:val="3E615CD0"/>
    <w:rsid w:val="3E7F71A2"/>
    <w:rsid w:val="3E9C47F6"/>
    <w:rsid w:val="3F8B0112"/>
    <w:rsid w:val="3FAB3095"/>
    <w:rsid w:val="3FE45947"/>
    <w:rsid w:val="40A435AC"/>
    <w:rsid w:val="412344D1"/>
    <w:rsid w:val="41242965"/>
    <w:rsid w:val="41807B75"/>
    <w:rsid w:val="433A3C4A"/>
    <w:rsid w:val="435671EA"/>
    <w:rsid w:val="440809E9"/>
    <w:rsid w:val="442407A6"/>
    <w:rsid w:val="44805EA1"/>
    <w:rsid w:val="45710696"/>
    <w:rsid w:val="46142B1B"/>
    <w:rsid w:val="46893028"/>
    <w:rsid w:val="46B5206F"/>
    <w:rsid w:val="47E60DD0"/>
    <w:rsid w:val="48735039"/>
    <w:rsid w:val="491D5CAA"/>
    <w:rsid w:val="492C684B"/>
    <w:rsid w:val="49500594"/>
    <w:rsid w:val="49E7604E"/>
    <w:rsid w:val="4BF67CDD"/>
    <w:rsid w:val="4CA87F80"/>
    <w:rsid w:val="4D173441"/>
    <w:rsid w:val="4D603DD6"/>
    <w:rsid w:val="4EBF010F"/>
    <w:rsid w:val="4F471EB0"/>
    <w:rsid w:val="51142088"/>
    <w:rsid w:val="51331326"/>
    <w:rsid w:val="516A7EFA"/>
    <w:rsid w:val="51740A7F"/>
    <w:rsid w:val="51A5541E"/>
    <w:rsid w:val="51C96242"/>
    <w:rsid w:val="520B6FE7"/>
    <w:rsid w:val="52F75CC1"/>
    <w:rsid w:val="53147DB1"/>
    <w:rsid w:val="536A2433"/>
    <w:rsid w:val="53906AE1"/>
    <w:rsid w:val="54F46F60"/>
    <w:rsid w:val="559F4616"/>
    <w:rsid w:val="55A37BEA"/>
    <w:rsid w:val="56362CD2"/>
    <w:rsid w:val="569A4DDE"/>
    <w:rsid w:val="5784687B"/>
    <w:rsid w:val="57846959"/>
    <w:rsid w:val="578E6A87"/>
    <w:rsid w:val="5ABC17C7"/>
    <w:rsid w:val="5AC2203A"/>
    <w:rsid w:val="5B150ED7"/>
    <w:rsid w:val="5C6E089F"/>
    <w:rsid w:val="5CBB3334"/>
    <w:rsid w:val="5D115FAF"/>
    <w:rsid w:val="5E257683"/>
    <w:rsid w:val="62811722"/>
    <w:rsid w:val="62E75A72"/>
    <w:rsid w:val="64571880"/>
    <w:rsid w:val="649125B6"/>
    <w:rsid w:val="652F4C1A"/>
    <w:rsid w:val="666D37F1"/>
    <w:rsid w:val="67087D8F"/>
    <w:rsid w:val="671F687E"/>
    <w:rsid w:val="679413D5"/>
    <w:rsid w:val="67F415F8"/>
    <w:rsid w:val="682640D1"/>
    <w:rsid w:val="684B73E5"/>
    <w:rsid w:val="689E250C"/>
    <w:rsid w:val="6A047A2A"/>
    <w:rsid w:val="6EFB7548"/>
    <w:rsid w:val="6F3831C3"/>
    <w:rsid w:val="6F411E43"/>
    <w:rsid w:val="6F8B71C1"/>
    <w:rsid w:val="70187047"/>
    <w:rsid w:val="70753482"/>
    <w:rsid w:val="707B522A"/>
    <w:rsid w:val="70F74EAF"/>
    <w:rsid w:val="73194D05"/>
    <w:rsid w:val="73A83B0E"/>
    <w:rsid w:val="744D3EF9"/>
    <w:rsid w:val="74794411"/>
    <w:rsid w:val="75867C40"/>
    <w:rsid w:val="75B10B26"/>
    <w:rsid w:val="76432199"/>
    <w:rsid w:val="76F44829"/>
    <w:rsid w:val="77A267C0"/>
    <w:rsid w:val="78882278"/>
    <w:rsid w:val="78B118A6"/>
    <w:rsid w:val="79135044"/>
    <w:rsid w:val="79955265"/>
    <w:rsid w:val="79AE6327"/>
    <w:rsid w:val="7A7D0F99"/>
    <w:rsid w:val="7E4A0E7C"/>
    <w:rsid w:val="7EFD449D"/>
    <w:rsid w:val="7F343772"/>
    <w:rsid w:val="EFE8C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style>
  <w:style w:type="paragraph" w:styleId="4">
    <w:name w:val="Body Text 2"/>
    <w:basedOn w:val="1"/>
    <w:next w:val="3"/>
    <w:unhideWhenUsed/>
    <w:qFormat/>
    <w:uiPriority w:val="99"/>
    <w:pPr>
      <w:widowControl/>
      <w:numPr>
        <w:ilvl w:val="0"/>
        <w:numId w:val="1"/>
      </w:numPr>
      <w:spacing w:before="156" w:beforeLines="50" w:line="336" w:lineRule="auto"/>
      <w:ind w:left="0" w:firstLine="0"/>
    </w:pPr>
    <w:rPr>
      <w:rFonts w:ascii="Times New Roman" w:hAnsi="Times New Roman" w:eastAsia="黑体"/>
      <w:szCs w:val="20"/>
    </w:r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character" w:customStyle="1" w:styleId="14">
    <w:name w:val="批注框文本 Char"/>
    <w:link w:val="5"/>
    <w:semiHidden/>
    <w:qFormat/>
    <w:uiPriority w:val="99"/>
    <w:rPr>
      <w:kern w:val="2"/>
      <w:sz w:val="18"/>
      <w:szCs w:val="18"/>
    </w:rPr>
  </w:style>
  <w:style w:type="character" w:customStyle="1" w:styleId="15">
    <w:name w:val="页脚 Char"/>
    <w:link w:val="6"/>
    <w:qFormat/>
    <w:uiPriority w:val="99"/>
    <w:rPr>
      <w:kern w:val="2"/>
      <w:sz w:val="18"/>
      <w:szCs w:val="18"/>
    </w:rPr>
  </w:style>
  <w:style w:type="character" w:customStyle="1" w:styleId="16">
    <w:name w:val="页眉 Char"/>
    <w:link w:val="7"/>
    <w:qFormat/>
    <w:uiPriority w:val="99"/>
    <w:rPr>
      <w:kern w:val="2"/>
      <w:sz w:val="18"/>
      <w:szCs w:val="18"/>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27</Pages>
  <Words>7243</Words>
  <Characters>8683</Characters>
  <Lines>83</Lines>
  <Paragraphs>23</Paragraphs>
  <TotalTime>11</TotalTime>
  <ScaleCrop>false</ScaleCrop>
  <LinksUpToDate>false</LinksUpToDate>
  <CharactersWithSpaces>9482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2023-05-11T16:57:35Z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3BC974ACF5394E53A9C829D5E57B7603</vt:lpwstr>
  </property>
</Properties>
</file>