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许昌广播电视台</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许昌广播电视台</w:t>
      </w:r>
      <w:r>
        <w:rPr>
          <w:rFonts w:hint="eastAsia" w:ascii="黑体" w:hAnsi="黑体" w:eastAsia="黑体" w:cs="黑体"/>
          <w:sz w:val="32"/>
          <w:szCs w:val="32"/>
          <w:highlight w:val="none"/>
        </w:rPr>
        <w:t>概况</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许昌广播电视台</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bookmarkStart w:id="0" w:name="_GoBack"/>
      <w:bookmarkEnd w:id="0"/>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1" w:firstLineChars="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（一）贯彻执行党和国家在新闻宣传、文化建设、广播电视事业等方面的路线、方针、政策，把握正确舆论导向和创作导向,发挥党和国家的喉舌作用。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1" w:firstLineChars="0"/>
        <w:jc w:val="both"/>
        <w:textAlignment w:val="auto"/>
        <w:outlineLvl w:val="9"/>
        <w:rPr>
          <w:rFonts w:hint="eastAsia" w:ascii="仿宋_GB2312" w:hAnsi="仿宋" w:eastAsia="仿宋_GB2312"/>
          <w:sz w:val="32"/>
          <w:szCs w:val="32"/>
          <w:lang w:eastAsia="zh-CN"/>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贯彻执行市委、市政府关于广播</w:t>
      </w:r>
      <w:r>
        <w:rPr>
          <w:rFonts w:hint="eastAsia" w:ascii="仿宋_GB2312" w:hAnsi="仿宋_GB2312" w:eastAsia="仿宋_GB2312" w:cs="仿宋_GB2312"/>
          <w:kern w:val="2"/>
          <w:sz w:val="32"/>
          <w:szCs w:val="32"/>
          <w:lang w:eastAsia="zh-CN"/>
        </w:rPr>
        <w:t>电视</w:t>
      </w:r>
      <w:r>
        <w:rPr>
          <w:rFonts w:hint="eastAsia" w:ascii="仿宋_GB2312" w:hAnsi="仿宋_GB2312" w:eastAsia="仿宋_GB2312" w:cs="仿宋_GB2312"/>
          <w:kern w:val="2"/>
          <w:sz w:val="32"/>
          <w:szCs w:val="32"/>
        </w:rPr>
        <w:t>工作的批示、决定</w:t>
      </w:r>
      <w:r>
        <w:rPr>
          <w:rFonts w:hint="eastAsia" w:ascii="仿宋_GB2312" w:hAnsi="仿宋_GB2312" w:eastAsia="仿宋_GB2312" w:cs="仿宋_GB2312"/>
          <w:kern w:val="2"/>
          <w:sz w:val="32"/>
          <w:szCs w:val="32"/>
          <w:lang w:eastAsia="zh-CN"/>
        </w:rPr>
        <w:t>，</w:t>
      </w:r>
      <w:r>
        <w:rPr>
          <w:rFonts w:hint="eastAsia" w:ascii="仿宋_GB2312" w:hAnsi="仿宋" w:eastAsia="仿宋_GB2312"/>
          <w:sz w:val="32"/>
          <w:szCs w:val="32"/>
          <w:lang w:eastAsia="zh-CN"/>
        </w:rPr>
        <w:t>紧密围绕市委市政府的中心工作，做好宣传报道。</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1" w:firstLineChars="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（三）播映各类广播电视节目，传递各种信息和科学文化知识，出精品，创品牌，以满足广大群众日益增长的精神文化生活需求，不断促进社会经济文化发展。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1" w:firstLineChars="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（四）努力打造一支政治坚定、业务精湛、作风优良、党和人民放心的新闻队伍。</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 w:eastAsia="仿宋_GB2312"/>
          <w:sz w:val="32"/>
          <w:szCs w:val="32"/>
          <w:lang w:eastAsia="zh-CN"/>
        </w:rPr>
      </w:pPr>
      <w:r>
        <w:rPr>
          <w:rFonts w:hint="eastAsia" w:ascii="仿宋_GB2312" w:hAnsi="仿宋" w:eastAsia="仿宋_GB2312"/>
          <w:sz w:val="32"/>
          <w:szCs w:val="32"/>
          <w:lang w:eastAsia="zh-CN"/>
        </w:rPr>
        <w:t>许昌广播电视台内设机构</w:t>
      </w:r>
      <w:r>
        <w:rPr>
          <w:rFonts w:hint="eastAsia" w:ascii="仿宋_GB2312" w:hAnsi="仿宋" w:eastAsia="仿宋_GB2312"/>
          <w:sz w:val="32"/>
          <w:szCs w:val="32"/>
          <w:lang w:val="en-US" w:eastAsia="zh-CN"/>
        </w:rPr>
        <w:t>20</w:t>
      </w:r>
      <w:r>
        <w:rPr>
          <w:rFonts w:hint="eastAsia" w:ascii="仿宋_GB2312" w:hAnsi="仿宋" w:eastAsia="仿宋_GB2312"/>
          <w:sz w:val="32"/>
          <w:szCs w:val="32"/>
          <w:lang w:eastAsia="zh-CN"/>
        </w:rPr>
        <w:t>个，包括：编审中心、新闻中心、民生资讯中心、社教中心、大活动中心、播控中心、技术中心、广告中心、办公室、人力资源部、财务部、党群工作部、绩效考核办、农业科技节目中心、少儿教育节目中心、新闻广播、交通广播、文娱广播、农村广播、《许昌声屏》编辑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从决算单位构成看，许昌广播电视台部门决算包括：本级决算（1个）。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本决算为汇总决算，纳入本部门2021年度部门决算编制范围的单位共1个。具体是：</w:t>
      </w:r>
    </w:p>
    <w:p>
      <w:pPr>
        <w:widowControl/>
        <w:ind w:firstLine="640" w:firstLineChars="200"/>
        <w:jc w:val="left"/>
        <w:rPr>
          <w:rFonts w:hint="default" w:ascii="黑体" w:hAnsi="黑体" w:eastAsia="黑体" w:cs="黑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许昌广播电视台本级</w:t>
      </w: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lang w:eastAsia="zh-CN"/>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第</w:t>
      </w:r>
      <w:r>
        <w:rPr>
          <w:rFonts w:hint="eastAsia" w:ascii="黑体" w:hAnsi="黑体" w:eastAsia="黑体" w:cs="黑体"/>
          <w:sz w:val="48"/>
          <w:szCs w:val="48"/>
          <w:highlight w:val="none"/>
        </w:rPr>
        <w:t>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3" w:bottom="1440" w:left="1803" w:header="720" w:footer="720" w:gutter="0"/>
          <w:pgNumType w:fmt="numberInDash"/>
          <w:cols w:space="0" w:num="1"/>
          <w:rtlGutter w:val="0"/>
          <w:docGrid w:type="lines" w:linePitch="312" w:charSpace="0"/>
        </w:sectPr>
      </w:pPr>
    </w:p>
    <w:p>
      <w:pPr>
        <w:rPr>
          <w:rFonts w:hint="eastAsia" w:ascii="仿宋_GB2312" w:hAnsi="仿宋_GB2312" w:eastAsia="仿宋_GB2312" w:cs="仿宋_GB2312"/>
          <w:sz w:val="32"/>
          <w:szCs w:val="32"/>
          <w:highlight w:val="none"/>
        </w:r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3"/>
        <w:gridCol w:w="518"/>
        <w:gridCol w:w="1123"/>
        <w:gridCol w:w="3425"/>
        <w:gridCol w:w="184"/>
        <w:gridCol w:w="723"/>
        <w:gridCol w:w="302"/>
        <w:gridCol w:w="1047"/>
        <w:gridCol w:w="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451" w:hRule="atLeast"/>
        </w:trPr>
        <w:tc>
          <w:tcPr>
            <w:tcW w:w="10955" w:type="dxa"/>
            <w:gridSpan w:val="8"/>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255" w:hRule="atLeast"/>
        </w:trPr>
        <w:tc>
          <w:tcPr>
            <w:tcW w:w="3633"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51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2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681"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255" w:hRule="atLeast"/>
        </w:trPr>
        <w:tc>
          <w:tcPr>
            <w:tcW w:w="4151" w:type="dxa"/>
            <w:gridSpan w:val="2"/>
            <w:tcBorders>
              <w:top w:val="nil"/>
              <w:left w:val="nil"/>
              <w:bottom w:val="nil"/>
              <w:right w:val="nil"/>
            </w:tcBorders>
            <w:noWrap w:val="0"/>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112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681"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52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681"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7" w:type="dxa"/>
            <w:gridSpan w:val="2"/>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2,584.19</w:t>
            </w: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0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49"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2,584.19</w:t>
            </w: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9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261.00</w:t>
            </w: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92"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09"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92"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2,858.20</w:t>
            </w:r>
          </w:p>
        </w:tc>
        <w:tc>
          <w:tcPr>
            <w:tcW w:w="36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2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9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0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569"/>
        <w:gridCol w:w="2547"/>
        <w:gridCol w:w="1305"/>
        <w:gridCol w:w="1479"/>
        <w:gridCol w:w="1068"/>
        <w:gridCol w:w="1316"/>
        <w:gridCol w:w="961"/>
        <w:gridCol w:w="991"/>
        <w:gridCol w:w="800"/>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491"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255" w:hRule="atLeast"/>
        </w:trPr>
        <w:tc>
          <w:tcPr>
            <w:tcW w:w="329"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56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54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7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6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068"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255" w:hRule="atLeast"/>
        </w:trPr>
        <w:tc>
          <w:tcPr>
            <w:tcW w:w="3774" w:type="dxa"/>
            <w:gridSpan w:val="4"/>
            <w:tcBorders>
              <w:top w:val="nil"/>
              <w:left w:val="nil"/>
              <w:bottom w:val="nil"/>
              <w:right w:val="nil"/>
            </w:tcBorders>
            <w:noWrap w:val="0"/>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13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7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6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068"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37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6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9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5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3774"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3774"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2,584.19</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2,584.19</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2,291.91</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2,291.91</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2,187.32</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2,187.32</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2070807</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传输发射</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2,145.82</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2,145.82</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104.59</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104.59</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104.59</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104.59</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188.60</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132.73</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132.73</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100.33</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100.33</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100.33</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100.33</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7" w:type="dxa"/>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54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100.33</w:t>
            </w:r>
          </w:p>
        </w:tc>
        <w:tc>
          <w:tcPr>
            <w:tcW w:w="147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100.33</w:t>
            </w:r>
          </w:p>
        </w:tc>
        <w:tc>
          <w:tcPr>
            <w:tcW w:w="106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6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91"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218"/>
        <w:gridCol w:w="1543"/>
        <w:gridCol w:w="1360"/>
        <w:gridCol w:w="1327"/>
        <w:gridCol w:w="1112"/>
        <w:gridCol w:w="863"/>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586"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21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4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6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2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151"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08"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132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151"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2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0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0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2,858.20</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2,582.11</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276.09</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2,542.93</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2,266.84</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276.09</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13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2070108</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13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2,308.34</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2,266.84</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2070807</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传输发射</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13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2,266.84</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2,266.84</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c>
          <w:tcPr>
            <w:tcW w:w="13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c>
          <w:tcPr>
            <w:tcW w:w="136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200.99</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200.99</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195.73</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195.73</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53.46</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53.46</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142.27</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142.27</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2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4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86"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6"/>
        <w:gridCol w:w="658"/>
        <w:gridCol w:w="1155"/>
        <w:gridCol w:w="2784"/>
        <w:gridCol w:w="637"/>
        <w:gridCol w:w="1230"/>
        <w:gridCol w:w="1111"/>
        <w:gridCol w:w="928"/>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51"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06"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65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78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63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3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881"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03"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63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3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881"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7532"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30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7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84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30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7"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2,584.19</w:t>
            </w: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11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2,529.91</w:t>
            </w:r>
          </w:p>
        </w:tc>
        <w:tc>
          <w:tcPr>
            <w:tcW w:w="111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2,529.91</w:t>
            </w: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200.99</w:t>
            </w:r>
          </w:p>
        </w:tc>
        <w:tc>
          <w:tcPr>
            <w:tcW w:w="111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200.99</w:t>
            </w: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11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2,584.19</w:t>
            </w: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2,845.19</w:t>
            </w:r>
          </w:p>
        </w:tc>
        <w:tc>
          <w:tcPr>
            <w:tcW w:w="111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2,845.19</w:t>
            </w: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261.00</w:t>
            </w: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261.00</w:t>
            </w:r>
          </w:p>
        </w:tc>
        <w:tc>
          <w:tcPr>
            <w:tcW w:w="278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78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8"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2,845.19</w:t>
            </w:r>
          </w:p>
        </w:tc>
        <w:tc>
          <w:tcPr>
            <w:tcW w:w="27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2,845.19</w:t>
            </w:r>
          </w:p>
        </w:tc>
        <w:tc>
          <w:tcPr>
            <w:tcW w:w="111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2,845.19</w:t>
            </w:r>
          </w:p>
        </w:tc>
        <w:tc>
          <w:tcPr>
            <w:tcW w:w="9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65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6"/>
        <w:gridCol w:w="222"/>
        <w:gridCol w:w="222"/>
        <w:gridCol w:w="3956"/>
        <w:gridCol w:w="1309"/>
        <w:gridCol w:w="133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336" w:type="dxa"/>
            <w:gridSpan w:val="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16"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0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411"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16"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5709" w:type="dxa"/>
            <w:gridSpan w:val="4"/>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411"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7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6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2,845.19</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2,569.10</w:t>
            </w: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2,529.91</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2,253.82</w:t>
            </w: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13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2070108</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13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2,295.32</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2,253.82</w:t>
            </w: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2070807</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传输发射</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c>
          <w:tcPr>
            <w:tcW w:w="13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2,253.82</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2,253.82</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c>
          <w:tcPr>
            <w:tcW w:w="13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c>
          <w:tcPr>
            <w:tcW w:w="13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200.99</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200.99</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195.73</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195.73</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53.46</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53.46</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142.27</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142.27</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108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36"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1762"/>
        <w:gridCol w:w="1208"/>
        <w:gridCol w:w="907"/>
        <w:gridCol w:w="1791"/>
        <w:gridCol w:w="874"/>
        <w:gridCol w:w="918"/>
        <w:gridCol w:w="274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393"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57"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176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0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791"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5868"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25"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87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994"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56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7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7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2,283.33</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207.47</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937.68</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205.25</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746.74</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142.27</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110.93</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58.77</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44.91</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78.23</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51.49</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9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7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741"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91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741"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76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9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52.07</w:t>
            </w:r>
          </w:p>
        </w:tc>
        <w:tc>
          <w:tcPr>
            <w:tcW w:w="91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741"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9"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2,361.55</w:t>
            </w:r>
          </w:p>
        </w:tc>
        <w:tc>
          <w:tcPr>
            <w:tcW w:w="7231"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93"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0"/>
        <w:gridCol w:w="1065"/>
        <w:gridCol w:w="990"/>
        <w:gridCol w:w="1095"/>
        <w:gridCol w:w="1035"/>
        <w:gridCol w:w="855"/>
        <w:gridCol w:w="945"/>
        <w:gridCol w:w="1020"/>
        <w:gridCol w:w="1020"/>
        <w:gridCol w:w="1035"/>
        <w:gridCol w:w="102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00"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10"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106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9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9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3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4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2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185"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0"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103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4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2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185"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1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6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10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103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6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9"/>
        <w:gridCol w:w="236"/>
        <w:gridCol w:w="236"/>
        <w:gridCol w:w="1167"/>
        <w:gridCol w:w="1198"/>
        <w:gridCol w:w="1452"/>
        <w:gridCol w:w="1637"/>
        <w:gridCol w:w="1637"/>
        <w:gridCol w:w="1637"/>
        <w:gridCol w:w="1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96"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59"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23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36"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6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9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5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63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911"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59"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部门：许昌广播电视台</w:t>
            </w:r>
          </w:p>
        </w:tc>
        <w:tc>
          <w:tcPr>
            <w:tcW w:w="2837" w:type="dxa"/>
            <w:gridSpan w:val="4"/>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5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63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911"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99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9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91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1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998"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8"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4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831"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31"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3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196"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2098" w:right="1474" w:bottom="1984" w:left="1587"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说明：我部门没能政府性基金收入，也没有使用政府性基金安排的支出，故本表无数据。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2858.20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543.78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15.98</w:t>
      </w:r>
      <w:r>
        <w:rPr>
          <w:rFonts w:hint="eastAsia" w:ascii="仿宋_GB2312" w:hAnsi="仿宋_GB2312" w:eastAsia="仿宋_GB2312" w:cs="仿宋_GB2312"/>
          <w:sz w:val="32"/>
          <w:szCs w:val="32"/>
          <w:highlight w:val="none"/>
        </w:rPr>
        <w:t>%。主要原因是</w:t>
      </w:r>
      <w:r>
        <w:rPr>
          <w:rFonts w:hint="eastAsia" w:ascii="仿宋_GB2312" w:hAnsi="仿宋" w:eastAsia="仿宋_GB2312"/>
          <w:sz w:val="32"/>
          <w:szCs w:val="32"/>
          <w:lang w:val="en-US" w:eastAsia="zh-CN"/>
        </w:rPr>
        <w:t>受疫情影响经营创收下降。</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2584.19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2584.19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2858.20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2582.11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90.34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276.09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2845.19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507.06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15.13</w:t>
      </w:r>
      <w:r>
        <w:rPr>
          <w:rFonts w:hint="eastAsia" w:ascii="仿宋_GB2312" w:hAnsi="仿宋_GB2312" w:eastAsia="仿宋_GB2312" w:cs="仿宋_GB2312"/>
          <w:sz w:val="32"/>
          <w:szCs w:val="32"/>
          <w:highlight w:val="none"/>
        </w:rPr>
        <w:t>%。主要原因是</w:t>
      </w:r>
      <w:r>
        <w:rPr>
          <w:rFonts w:hint="eastAsia" w:ascii="仿宋_GB2312" w:hAnsi="仿宋" w:eastAsia="仿宋_GB2312"/>
          <w:sz w:val="32"/>
          <w:szCs w:val="32"/>
          <w:lang w:val="en-US" w:eastAsia="zh-CN"/>
        </w:rPr>
        <w:t>财政拨付项目资金下降，受疫情影响经营创收下降</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2845.19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99.54</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250.92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8.10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收入减少，支出随之减少。</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2845.19</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一般公共服务（类）支出3.35万元，占0.12%；文化旅游体育与传媒（类）支出2529.91万元，占88.92%；社会保障和就业（类）支出200.99万元，占7.06%；卫生健康支出110.93万元，占3.90%。</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3341.74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2845.19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85.14</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1.一般公共服务支出（类）群众团体事物(款）工会事务（项）。</w:t>
      </w:r>
      <w:r>
        <w:rPr>
          <w:rFonts w:hint="eastAsia" w:ascii="仿宋_GB2312" w:hAnsi="仿宋_GB2312" w:eastAsia="仿宋_GB2312" w:cs="仿宋_GB2312"/>
          <w:color w:val="auto"/>
          <w:sz w:val="32"/>
          <w:szCs w:val="32"/>
          <w:highlight w:val="none"/>
          <w:lang w:val="en-US" w:eastAsia="zh-CN"/>
        </w:rPr>
        <w:t>年初预算为3.35万元，支出决算为3.35万元，完成年初预算的100.00%。决算数与年初预算数不存在差异。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文化</w:t>
      </w:r>
      <w:r>
        <w:rPr>
          <w:rFonts w:hint="eastAsia" w:ascii="仿宋_GB2312" w:hAnsi="仿宋_GB2312" w:eastAsia="仿宋_GB2312" w:cs="仿宋_GB2312"/>
          <w:b/>
          <w:bCs/>
          <w:sz w:val="32"/>
          <w:szCs w:val="32"/>
          <w:lang w:eastAsia="zh-CN"/>
        </w:rPr>
        <w:t>旅游</w:t>
      </w:r>
      <w:r>
        <w:rPr>
          <w:rFonts w:hint="eastAsia" w:ascii="仿宋_GB2312" w:hAnsi="仿宋_GB2312" w:eastAsia="仿宋_GB2312" w:cs="仿宋_GB2312"/>
          <w:b/>
          <w:bCs/>
          <w:sz w:val="32"/>
          <w:szCs w:val="32"/>
        </w:rPr>
        <w:t>体育与传媒支出（类）</w:t>
      </w:r>
      <w:r>
        <w:rPr>
          <w:rFonts w:hint="eastAsia" w:ascii="仿宋_GB2312" w:hAnsi="仿宋_GB2312" w:eastAsia="仿宋_GB2312" w:cs="仿宋_GB2312"/>
          <w:b/>
          <w:bCs/>
          <w:sz w:val="32"/>
          <w:szCs w:val="32"/>
          <w:lang w:eastAsia="zh-CN"/>
        </w:rPr>
        <w:t>文化和旅游</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文化活动</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年初预算为0.00万元，支出决算为87.00万元，决算数与年初预算数存在差异的原因是此支出使用的是上年结转的项目资金。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文化</w:t>
      </w:r>
      <w:r>
        <w:rPr>
          <w:rFonts w:hint="eastAsia" w:ascii="仿宋_GB2312" w:hAnsi="仿宋_GB2312" w:eastAsia="仿宋_GB2312" w:cs="仿宋_GB2312"/>
          <w:b/>
          <w:bCs/>
          <w:sz w:val="32"/>
          <w:szCs w:val="32"/>
          <w:lang w:eastAsia="zh-CN"/>
        </w:rPr>
        <w:t>旅游</w:t>
      </w:r>
      <w:r>
        <w:rPr>
          <w:rFonts w:hint="eastAsia" w:ascii="仿宋_GB2312" w:hAnsi="仿宋_GB2312" w:eastAsia="仿宋_GB2312" w:cs="仿宋_GB2312"/>
          <w:b/>
          <w:bCs/>
          <w:sz w:val="32"/>
          <w:szCs w:val="32"/>
        </w:rPr>
        <w:t>体育与传媒支出（类）</w:t>
      </w:r>
      <w:r>
        <w:rPr>
          <w:rFonts w:hint="eastAsia" w:ascii="仿宋_GB2312" w:hAnsi="仿宋_GB2312" w:eastAsia="仿宋_GB2312" w:cs="仿宋_GB2312"/>
          <w:b/>
          <w:bCs/>
          <w:sz w:val="32"/>
          <w:szCs w:val="32"/>
          <w:lang w:eastAsia="zh-CN"/>
        </w:rPr>
        <w:t>广播电视</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传输发射</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年初预算为0.00万元，支出决算为41.50万元，决算数与年初预算数存在差异的主要原因是中央财政追加项目资金。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文化</w:t>
      </w:r>
      <w:r>
        <w:rPr>
          <w:rFonts w:hint="eastAsia" w:ascii="仿宋_GB2312" w:hAnsi="仿宋_GB2312" w:eastAsia="仿宋_GB2312" w:cs="仿宋_GB2312"/>
          <w:b/>
          <w:bCs/>
          <w:sz w:val="32"/>
          <w:szCs w:val="32"/>
          <w:lang w:eastAsia="zh-CN"/>
        </w:rPr>
        <w:t>旅游</w:t>
      </w:r>
      <w:r>
        <w:rPr>
          <w:rFonts w:hint="eastAsia" w:ascii="仿宋_GB2312" w:hAnsi="仿宋_GB2312" w:eastAsia="仿宋_GB2312" w:cs="仿宋_GB2312"/>
          <w:b/>
          <w:bCs/>
          <w:sz w:val="32"/>
          <w:szCs w:val="32"/>
        </w:rPr>
        <w:t>体育与传媒支出（类）</w:t>
      </w:r>
      <w:r>
        <w:rPr>
          <w:rFonts w:hint="eastAsia" w:ascii="仿宋_GB2312" w:hAnsi="仿宋_GB2312" w:eastAsia="仿宋_GB2312" w:cs="仿宋_GB2312"/>
          <w:b/>
          <w:bCs/>
          <w:sz w:val="32"/>
          <w:szCs w:val="32"/>
          <w:lang w:eastAsia="zh-CN"/>
        </w:rPr>
        <w:t>广播电视</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广播电视事务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年初预算为2787.91万元，支出决算为2253.82万元，完成年初预算的80.84%，决算数与年初预算数存在差异的主要原因是经营创收收入下降。</w:t>
      </w:r>
    </w:p>
    <w:p>
      <w:pPr>
        <w:adjustRightInd w:val="0"/>
        <w:snapToGrid w:val="0"/>
        <w:spacing w:line="360" w:lineRule="auto"/>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sz w:val="32"/>
          <w:szCs w:val="32"/>
        </w:rPr>
        <w:t>文化</w:t>
      </w:r>
      <w:r>
        <w:rPr>
          <w:rFonts w:hint="eastAsia" w:ascii="仿宋_GB2312" w:hAnsi="仿宋_GB2312" w:eastAsia="仿宋_GB2312" w:cs="仿宋_GB2312"/>
          <w:b/>
          <w:bCs/>
          <w:sz w:val="32"/>
          <w:szCs w:val="32"/>
          <w:lang w:eastAsia="zh-CN"/>
        </w:rPr>
        <w:t>旅游</w:t>
      </w:r>
      <w:r>
        <w:rPr>
          <w:rFonts w:hint="eastAsia" w:ascii="仿宋_GB2312" w:hAnsi="仿宋_GB2312" w:eastAsia="仿宋_GB2312" w:cs="仿宋_GB2312"/>
          <w:b/>
          <w:bCs/>
          <w:sz w:val="32"/>
          <w:szCs w:val="32"/>
        </w:rPr>
        <w:t>体育与传媒支出（类）</w:t>
      </w:r>
      <w:r>
        <w:rPr>
          <w:rFonts w:hint="eastAsia" w:ascii="仿宋_GB2312" w:hAnsi="仿宋_GB2312" w:eastAsia="仿宋_GB2312" w:cs="仿宋_GB2312"/>
          <w:b/>
          <w:bCs/>
          <w:sz w:val="32"/>
          <w:szCs w:val="32"/>
          <w:lang w:eastAsia="zh-CN"/>
        </w:rPr>
        <w:t>其它</w:t>
      </w:r>
      <w:r>
        <w:rPr>
          <w:rFonts w:hint="eastAsia" w:ascii="仿宋_GB2312" w:hAnsi="仿宋_GB2312" w:eastAsia="仿宋_GB2312" w:cs="仿宋_GB2312"/>
          <w:b/>
          <w:bCs/>
          <w:sz w:val="32"/>
          <w:szCs w:val="32"/>
        </w:rPr>
        <w:t>文化</w:t>
      </w:r>
      <w:r>
        <w:rPr>
          <w:rFonts w:hint="eastAsia" w:ascii="仿宋_GB2312" w:hAnsi="仿宋_GB2312" w:eastAsia="仿宋_GB2312" w:cs="仿宋_GB2312"/>
          <w:b/>
          <w:bCs/>
          <w:sz w:val="32"/>
          <w:szCs w:val="32"/>
          <w:lang w:eastAsia="zh-CN"/>
        </w:rPr>
        <w:t>旅游</w:t>
      </w:r>
      <w:r>
        <w:rPr>
          <w:rFonts w:hint="eastAsia" w:ascii="仿宋_GB2312" w:hAnsi="仿宋_GB2312" w:eastAsia="仿宋_GB2312" w:cs="仿宋_GB2312"/>
          <w:b/>
          <w:bCs/>
          <w:sz w:val="32"/>
          <w:szCs w:val="32"/>
        </w:rPr>
        <w:t>体育与传媒支出（款）</w:t>
      </w:r>
      <w:r>
        <w:rPr>
          <w:rFonts w:hint="eastAsia" w:ascii="仿宋_GB2312" w:hAnsi="仿宋_GB2312" w:eastAsia="仿宋_GB2312" w:cs="仿宋_GB2312"/>
          <w:b/>
          <w:bCs/>
          <w:sz w:val="32"/>
          <w:szCs w:val="32"/>
          <w:lang w:eastAsia="zh-CN"/>
        </w:rPr>
        <w:t>其它</w:t>
      </w:r>
      <w:r>
        <w:rPr>
          <w:rFonts w:hint="eastAsia" w:ascii="仿宋_GB2312" w:hAnsi="仿宋_GB2312" w:eastAsia="仿宋_GB2312" w:cs="仿宋_GB2312"/>
          <w:b/>
          <w:bCs/>
          <w:sz w:val="32"/>
          <w:szCs w:val="32"/>
        </w:rPr>
        <w:t>文化</w:t>
      </w:r>
      <w:r>
        <w:rPr>
          <w:rFonts w:hint="eastAsia" w:ascii="仿宋_GB2312" w:hAnsi="仿宋_GB2312" w:eastAsia="仿宋_GB2312" w:cs="仿宋_GB2312"/>
          <w:b/>
          <w:bCs/>
          <w:sz w:val="32"/>
          <w:szCs w:val="32"/>
          <w:lang w:eastAsia="zh-CN"/>
        </w:rPr>
        <w:t>旅游</w:t>
      </w:r>
      <w:r>
        <w:rPr>
          <w:rFonts w:hint="eastAsia" w:ascii="仿宋_GB2312" w:hAnsi="仿宋_GB2312" w:eastAsia="仿宋_GB2312" w:cs="仿宋_GB2312"/>
          <w:b/>
          <w:bCs/>
          <w:sz w:val="32"/>
          <w:szCs w:val="32"/>
        </w:rPr>
        <w:t>体育与传媒支出（项）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年初预算为0.00万元，支出决算为147.59万元，决算数与年初预算数存在差异的主要原因是财政临时拨付项目资金。</w:t>
      </w:r>
    </w:p>
    <w:p>
      <w:pPr>
        <w:adjustRightInd w:val="0"/>
        <w:snapToGrid w:val="0"/>
        <w:spacing w:line="360" w:lineRule="auto"/>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w:t>
      </w:r>
      <w:r>
        <w:rPr>
          <w:rFonts w:hint="eastAsia" w:ascii="仿宋_GB2312" w:hAnsi="仿宋_GB2312" w:eastAsia="仿宋_GB2312" w:cs="仿宋_GB2312"/>
          <w:b/>
          <w:bCs/>
          <w:sz w:val="32"/>
          <w:szCs w:val="32"/>
        </w:rPr>
        <w:t>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年初预算为319.79万元，支出决算为142.27万元，完成年初预算的44.49%。决算数与年初预算数存在差异的主要原因是经营创收收入下降。</w:t>
      </w:r>
    </w:p>
    <w:p>
      <w:pPr>
        <w:adjustRightInd w:val="0"/>
        <w:snapToGrid w:val="0"/>
        <w:spacing w:line="360" w:lineRule="auto"/>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（类）行政事业单位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（款）事业单位离退休（项）。</w:t>
      </w:r>
      <w:r>
        <w:rPr>
          <w:rFonts w:hint="eastAsia" w:ascii="仿宋_GB2312" w:hAnsi="仿宋_GB2312" w:eastAsia="仿宋_GB2312" w:cs="仿宋_GB2312"/>
          <w:color w:val="auto"/>
          <w:sz w:val="32"/>
          <w:szCs w:val="32"/>
          <w:highlight w:val="none"/>
          <w:lang w:val="en-US" w:eastAsia="zh-CN"/>
        </w:rPr>
        <w:t>年初预算为51.86万元，支出决算为53.46万元，完成年初预算的103.09%。决算数与年初预算数存在差异的原因是退休人员增加。</w:t>
      </w:r>
    </w:p>
    <w:p>
      <w:pPr>
        <w:adjustRightInd w:val="0"/>
        <w:snapToGrid w:val="0"/>
        <w:spacing w:line="360" w:lineRule="auto"/>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抚恤</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死亡抚恤</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年初预算为0.00万元，支出决算为5.26万元。决算数与年初预算数存在差异的原因是临时追加经费。</w:t>
      </w:r>
    </w:p>
    <w:p>
      <w:pPr>
        <w:widowControl/>
        <w:spacing w:line="590" w:lineRule="exact"/>
        <w:ind w:firstLine="642"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b/>
          <w:bCs/>
          <w:sz w:val="32"/>
          <w:szCs w:val="32"/>
        </w:rPr>
        <w:t>（类）行政事业单位</w:t>
      </w:r>
      <w:r>
        <w:rPr>
          <w:rFonts w:hint="eastAsia" w:ascii="仿宋_GB2312" w:hAnsi="仿宋_GB2312" w:eastAsia="仿宋_GB2312" w:cs="仿宋_GB2312"/>
          <w:b/>
          <w:bCs/>
          <w:sz w:val="32"/>
          <w:szCs w:val="32"/>
          <w:lang w:eastAsia="zh-CN"/>
        </w:rPr>
        <w:t>医疗</w:t>
      </w:r>
      <w:r>
        <w:rPr>
          <w:rFonts w:hint="eastAsia" w:ascii="仿宋_GB2312" w:hAnsi="仿宋_GB2312" w:eastAsia="仿宋_GB2312" w:cs="仿宋_GB2312"/>
          <w:b/>
          <w:bCs/>
          <w:sz w:val="32"/>
          <w:szCs w:val="32"/>
        </w:rPr>
        <w:t>（款）事业单位</w:t>
      </w:r>
      <w:r>
        <w:rPr>
          <w:rFonts w:hint="eastAsia" w:ascii="仿宋_GB2312" w:hAnsi="仿宋_GB2312" w:eastAsia="仿宋_GB2312" w:cs="仿宋_GB2312"/>
          <w:b/>
          <w:bCs/>
          <w:sz w:val="32"/>
          <w:szCs w:val="32"/>
          <w:lang w:eastAsia="zh-CN"/>
        </w:rPr>
        <w:t>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年初预算为118.83万元，支出决算为110.93万元，完成年初预算的93.35%。决算数与年初预算数存在差异的主要原因是经营创收收入下降。</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2569.09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2361.55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职工基本医疗保险缴费、住房公积金、</w:t>
      </w:r>
      <w:r>
        <w:rPr>
          <w:rFonts w:hint="eastAsia" w:ascii="仿宋_GB2312" w:hAnsi="仿宋_GB2312" w:eastAsia="仿宋_GB2312" w:cs="仿宋_GB2312"/>
          <w:sz w:val="32"/>
          <w:szCs w:val="32"/>
          <w:highlight w:val="none"/>
        </w:rPr>
        <w:t>其他社会保障缴费、其他工资福利支出、退休费、抚恤金、其他对个人和家庭的补助支出；公用经费</w:t>
      </w:r>
      <w:r>
        <w:rPr>
          <w:rFonts w:hint="eastAsia" w:ascii="仿宋_GB2312" w:hAnsi="仿宋_GB2312" w:eastAsia="仿宋_GB2312" w:cs="仿宋_GB2312"/>
          <w:sz w:val="32"/>
          <w:szCs w:val="32"/>
          <w:highlight w:val="none"/>
          <w:lang w:val="en-US" w:eastAsia="zh-CN"/>
        </w:rPr>
        <w:t>207.54</w:t>
      </w:r>
      <w:r>
        <w:rPr>
          <w:rFonts w:hint="eastAsia" w:ascii="仿宋_GB2312" w:hAnsi="仿宋_GB2312" w:eastAsia="仿宋_GB2312" w:cs="仿宋_GB2312"/>
          <w:sz w:val="32"/>
          <w:szCs w:val="32"/>
          <w:highlight w:val="none"/>
        </w:rPr>
        <w:t>万元，主要包括：办公费、水费、电费、邮电费、取暖费、物业管理费、差旅费、维修（护）费、租赁费、公务接待费、专用材料费、劳务费、委托业务费、工会经费、福利费、公务用车运行维护费、税金及附加费用、其他商品和服务支出、办公设备购置</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11.72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83.71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三公经费压缩使用。</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11.63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96.92</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99.23</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4.50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0.77</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96.92</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车辆运行费用下降。</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11.63万元。主要用于</w:t>
      </w:r>
      <w:r>
        <w:rPr>
          <w:rFonts w:hint="eastAsia" w:ascii="仿宋_GB2312" w:eastAsia="仿宋_GB2312"/>
          <w:sz w:val="32"/>
          <w:szCs w:val="32"/>
        </w:rPr>
        <w:t>单位公务车辆燃料费、维修费、过路过桥费、保险费等支出。</w:t>
      </w:r>
      <w:r>
        <w:rPr>
          <w:rFonts w:hint="eastAsia" w:ascii="仿宋_GB2312" w:hAnsi="仿宋_GB2312" w:eastAsia="仿宋_GB2312" w:cs="仿宋_GB2312"/>
          <w:color w:val="auto"/>
          <w:sz w:val="32"/>
          <w:szCs w:val="32"/>
          <w:highlight w:val="none"/>
          <w:lang w:val="en-US" w:eastAsia="zh-CN"/>
        </w:rPr>
        <w:t>2021年期末，单位开支财政拨款的公务用车保有量为16辆。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4.50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压缩公务接待支出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相关单位来访接待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不存在项目年末结转和结余资金数额较大。情况说明：我部门</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我部门高度重视绩效管理工作，根据上级部门要求结合实际情况，制定了部门整体支出绩效评价评价指标，将绩效管理工作的要求贯穿于各媒体、部门发挥职能的全过程、履行职责的各环节。各部门明确了工作职责和分工，制定了切实可行的评价方案。根据各业务部室的情况汇报和提交的工作计划、工作总结等资料，按照确定的评价指标、评价标准和评价方法统一打分，形成自评结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预算执行方面，根据“总量控制、计划管理”的要求从严控制、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在资金支付过程中严把监督审核关，建立健全内部审批制度，保证资金安全有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部门纳入预算绩效管理的支出总额为2858.2万元，根据年初工作规划及财政预算计划，积极履职、强化管理，较好的完成了年度工作目标，通过加强预算收支管理，不断建立健全内部管理制度、梳理内部管理流程，部门整体支出管理情况得到提升，财政资金使用绩效管理总体情况良好。二是项目绩效自评情况。我部门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b w:val="0"/>
          <w:bCs w:val="0"/>
          <w:kern w:val="2"/>
          <w:sz w:val="32"/>
          <w:szCs w:val="32"/>
          <w:lang w:val="en-US" w:eastAsia="zh-CN" w:bidi="ar"/>
        </w:rPr>
        <w:t>一、财政拨款收入：</w:t>
      </w:r>
      <w:r>
        <w:rPr>
          <w:rFonts w:hint="default" w:ascii="仿宋_GB2312" w:hAnsi="Times New Roman" w:eastAsia="仿宋_GB2312" w:cs="仿宋_GB2312"/>
          <w:kern w:val="2"/>
          <w:sz w:val="32"/>
          <w:szCs w:val="32"/>
          <w:lang w:val="en-US" w:eastAsia="zh-CN" w:bidi="ar"/>
        </w:rPr>
        <w:t>单位从同级政府财政部门取得的财政预算资金。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二、事业收入：事业单位开展专业业务活动及其辅助活动取得的收入。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三、上级补助收入：事业单位从主管部门和上级单位取得的非财政补助收入。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四、附属单位上缴收入：事业单位取得附属独立核算单位根据有关规定上缴的收入。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五、经营收入：事业单位在专业业务活动及其辅助活动之外开展非独立核算经营活动取得的收入。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六、其他收入：单位取得的除“财政拨款收入”、“事业收入”、“上级补助收入”、“附属单位上缴收入”、“经营收入”以外的各项收入。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八、基本支出：为保障机构正常运转、完成日常工作任务而发生的人员支出和公用支出。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九、项目支出：基本支出之外为完成特定行政任务和事业发展目标所发生的支出。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十二、工资福利支出：单位支付给在职职工和编制外长期聘用人员的各类劳动报酬，以及为上述人员缴纳的各项社会保险费等。</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十三、商品和服务支出：单位购买商品和服务的支出。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十四、对个人和家庭的补助支出：单位用于对个人和家庭的补助支出。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eastAsia"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十六、年末结余：本年度或以前年度预算安排，已执行完毕或因客观条件发生变化无法按原预算安排实施，不需要再使用或无法按原预算安排继续使用的资金</w:t>
      </w:r>
      <w:r>
        <w:rPr>
          <w:rFonts w:hint="eastAsia" w:ascii="仿宋_GB2312" w:hAnsi="Times New Roman" w:eastAsia="仿宋_GB2312" w:cs="仿宋_GB2312"/>
          <w:kern w:val="2"/>
          <w:sz w:val="32"/>
          <w:szCs w:val="32"/>
          <w:lang w:val="en-US" w:eastAsia="zh-CN" w:bidi="ar"/>
        </w:rPr>
        <w:t>。</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4"/>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BD7D686"/>
    <w:multiLevelType w:val="singleLevel"/>
    <w:tmpl w:val="4BD7D686"/>
    <w:lvl w:ilvl="0" w:tentative="0">
      <w:start w:val="3"/>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MmJiNGQzN2NiMGU4YWUyNzJhNDVmYmYwODc4ODYifQ=="/>
  </w:docVars>
  <w:rsids>
    <w:rsidRoot w:val="00172A27"/>
    <w:rsid w:val="11F8062F"/>
    <w:rsid w:val="1F4773BE"/>
    <w:rsid w:val="31310CD1"/>
    <w:rsid w:val="369807A9"/>
    <w:rsid w:val="3E016D1A"/>
    <w:rsid w:val="48B57F39"/>
    <w:rsid w:val="517A4BED"/>
    <w:rsid w:val="5D9D3FAC"/>
    <w:rsid w:val="70423106"/>
    <w:rsid w:val="74C1499A"/>
    <w:rsid w:val="DF2EA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style>
  <w:style w:type="paragraph" w:styleId="4">
    <w:name w:val="Body Text 2"/>
    <w:basedOn w:val="1"/>
    <w:next w:val="3"/>
    <w:unhideWhenUsed/>
    <w:qFormat/>
    <w:uiPriority w:val="99"/>
    <w:pPr>
      <w:widowControl/>
      <w:numPr>
        <w:ilvl w:val="0"/>
        <w:numId w:val="1"/>
      </w:numPr>
      <w:spacing w:before="156" w:beforeLines="50" w:line="336" w:lineRule="auto"/>
      <w:ind w:left="0" w:firstLine="0"/>
    </w:pPr>
    <w:rPr>
      <w:rFonts w:ascii="Times New Roman" w:hAnsi="Times New Roman" w:eastAsia="黑体"/>
      <w:szCs w:val="20"/>
    </w:r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r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Char Char"/>
    <w:link w:val="7"/>
    <w:qFormat/>
    <w:uiPriority w:val="99"/>
    <w:rPr>
      <w:kern w:val="2"/>
      <w:sz w:val="18"/>
      <w:szCs w:val="18"/>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批注框文本 Char Char Char"/>
    <w:link w:val="5"/>
    <w:qFormat/>
    <w:uiPriority w:val="99"/>
    <w:rPr>
      <w:kern w:val="2"/>
      <w:sz w:val="18"/>
      <w:szCs w:val="18"/>
    </w:rPr>
  </w:style>
  <w:style w:type="character" w:customStyle="1" w:styleId="17">
    <w:name w:val="页脚 Char Char Char"/>
    <w:link w:val="6"/>
    <w:qFormat/>
    <w:uiPriority w:val="99"/>
    <w:rPr>
      <w:kern w:val="2"/>
      <w:sz w:val="18"/>
      <w:szCs w:val="18"/>
    </w:rPr>
  </w:style>
  <w:style w:type="character" w:customStyle="1" w:styleId="18">
    <w:name w:val="font41"/>
    <w:qFormat/>
    <w:uiPriority w:val="0"/>
    <w:rPr>
      <w:rFonts w:hint="eastAsia" w:ascii="宋体" w:hAnsi="宋体" w:eastAsia="宋体" w:cs="宋体"/>
      <w:color w:val="000000"/>
      <w:sz w:val="24"/>
      <w:szCs w:val="24"/>
      <w:u w:val="none"/>
    </w:rPr>
  </w:style>
  <w:style w:type="character" w:customStyle="1" w:styleId="19">
    <w:name w:val="font01"/>
    <w:qFormat/>
    <w:uiPriority w:val="0"/>
    <w:rPr>
      <w:rFonts w:hint="eastAsia" w:ascii="宋体" w:hAnsi="宋体" w:eastAsia="宋体" w:cs="宋体"/>
      <w:color w:val="000000"/>
      <w:sz w:val="22"/>
      <w:szCs w:val="22"/>
      <w:u w:val="none"/>
    </w:rPr>
  </w:style>
  <w:style w:type="character" w:customStyle="1" w:styleId="20">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8735</Words>
  <Characters>10916</Characters>
  <Lines>60</Lines>
  <Paragraphs>16</Paragraphs>
  <TotalTime>92</TotalTime>
  <ScaleCrop>false</ScaleCrop>
  <LinksUpToDate>false</LinksUpToDate>
  <CharactersWithSpaces>11148</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2023-05-11T09:57:21Z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A6784C242F6B470EA4CBC45175AD7215</vt:lpwstr>
  </property>
</Properties>
</file>