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许昌市防震减灾中心部门决算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许昌市防震减灾中心概况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both"/>
        <w:outlineLvl w:val="0"/>
        <w:rPr>
          <w:rFonts w:ascii="黑体" w:hAnsi="黑体" w:eastAsia="黑体" w:cs="黑体"/>
          <w:sz w:val="48"/>
          <w:szCs w:val="48"/>
        </w:rPr>
      </w:pPr>
      <w:bookmarkStart w:id="0" w:name="_GoBack"/>
      <w:bookmarkEnd w:id="0"/>
    </w:p>
    <w:p>
      <w:pPr>
        <w:widowControl/>
        <w:jc w:val="center"/>
        <w:outlineLvl w:val="0"/>
        <w:rPr>
          <w:rFonts w:ascii="黑体" w:hAnsi="黑体" w:eastAsia="黑体" w:cs="黑体"/>
          <w:sz w:val="48"/>
          <w:szCs w:val="48"/>
        </w:rPr>
      </w:pPr>
      <w:r>
        <w:rPr>
          <w:rFonts w:hint="eastAsia" w:ascii="黑体" w:hAnsi="黑体" w:eastAsia="黑体" w:cs="黑体"/>
          <w:sz w:val="48"/>
          <w:szCs w:val="48"/>
        </w:rPr>
        <w:t>第一部分  许昌市防震减灾中心</w:t>
      </w: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部门概况</w:t>
      </w: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spacing w:line="560" w:lineRule="exact"/>
        <w:ind w:firstLine="640" w:firstLineChars="200"/>
        <w:rPr>
          <w:rFonts w:eastAsia="仿宋_GB2312"/>
          <w:sz w:val="32"/>
          <w:szCs w:val="30"/>
        </w:rPr>
      </w:pPr>
      <w:r>
        <w:rPr>
          <w:rFonts w:hint="eastAsia" w:eastAsia="仿宋_GB2312"/>
          <w:sz w:val="32"/>
          <w:szCs w:val="30"/>
        </w:rPr>
        <w:t>（一）工程建设场地的地震安全性评价工作和任务登记；负责重要工程项目施工单位的资格审查和认证；会同有关部门管理地震次生灾害的防灾工作。</w:t>
      </w:r>
    </w:p>
    <w:p>
      <w:pPr>
        <w:spacing w:line="560" w:lineRule="exact"/>
        <w:ind w:firstLine="640" w:firstLineChars="200"/>
        <w:rPr>
          <w:rFonts w:eastAsia="仿宋_GB2312"/>
          <w:sz w:val="32"/>
          <w:szCs w:val="30"/>
        </w:rPr>
      </w:pPr>
      <w:r>
        <w:rPr>
          <w:rFonts w:hint="eastAsia" w:eastAsia="仿宋_GB2312"/>
          <w:sz w:val="32"/>
          <w:szCs w:val="30"/>
        </w:rPr>
        <w:t>（二）组织制定我市防震减灾中长期发展规划，编制防震减灾工作年度计划并组织。</w:t>
      </w:r>
    </w:p>
    <w:p>
      <w:pPr>
        <w:spacing w:line="560" w:lineRule="exact"/>
        <w:ind w:firstLine="640" w:firstLineChars="200"/>
        <w:rPr>
          <w:rFonts w:eastAsia="仿宋_GB2312"/>
          <w:sz w:val="32"/>
          <w:szCs w:val="30"/>
        </w:rPr>
      </w:pPr>
      <w:r>
        <w:rPr>
          <w:rFonts w:hint="eastAsia" w:eastAsia="仿宋_GB2312"/>
          <w:sz w:val="32"/>
          <w:szCs w:val="30"/>
        </w:rPr>
        <w:t>（三）负责建立地震监测预报工作体系，制定本地区地震监测预报方案并组织实施；负责提出我市地震趋势意见；建设和管理我市地震监测站、群测群防网点和地震信息系统；会同有关部门依法保护地震监测设施和地震观测环境。</w:t>
      </w:r>
    </w:p>
    <w:p>
      <w:pPr>
        <w:spacing w:line="560" w:lineRule="exact"/>
        <w:ind w:firstLine="640" w:firstLineChars="200"/>
        <w:rPr>
          <w:rFonts w:eastAsia="仿宋_GB2312"/>
          <w:sz w:val="32"/>
          <w:szCs w:val="30"/>
        </w:rPr>
      </w:pPr>
      <w:r>
        <w:rPr>
          <w:rFonts w:hint="eastAsia" w:eastAsia="仿宋_GB2312"/>
          <w:sz w:val="32"/>
          <w:szCs w:val="30"/>
        </w:rPr>
        <w:t>（四）承担市政府防震抗震救灾工作领导小组的日常工作和市政府抗震救灾指挥机构的办事机构职能；负责震情速报和地震灾情速报；拟定破坏性地震应急预案、综合防御措施并检查监督落实；参与地震灾害损失评估；参与制定地震灾区重建规划。</w:t>
      </w:r>
    </w:p>
    <w:p>
      <w:pPr>
        <w:spacing w:line="560" w:lineRule="exact"/>
        <w:ind w:firstLine="640" w:firstLineChars="200"/>
        <w:rPr>
          <w:rFonts w:eastAsia="仿宋_GB2312"/>
          <w:sz w:val="32"/>
          <w:szCs w:val="30"/>
        </w:rPr>
      </w:pPr>
      <w:r>
        <w:rPr>
          <w:rFonts w:hint="eastAsia" w:eastAsia="仿宋_GB2312"/>
          <w:sz w:val="32"/>
          <w:szCs w:val="30"/>
        </w:rPr>
        <w:t>（五）管理重要工程项目的抗震设防标准；参加重点建设工程抗震设计的会审；指导和监督重大工程以及重要设施的抗震设防工作。</w:t>
      </w:r>
    </w:p>
    <w:p>
      <w:pPr>
        <w:spacing w:line="560" w:lineRule="exact"/>
        <w:ind w:firstLine="640" w:firstLineChars="200"/>
        <w:rPr>
          <w:rFonts w:eastAsia="仿宋_GB2312"/>
          <w:sz w:val="32"/>
          <w:szCs w:val="30"/>
        </w:rPr>
      </w:pPr>
      <w:r>
        <w:rPr>
          <w:rFonts w:hint="eastAsia" w:eastAsia="仿宋_GB2312"/>
          <w:sz w:val="32"/>
          <w:szCs w:val="30"/>
        </w:rPr>
        <w:t>（六）负责地震烈度区划和震害预测工作；参与城市总体规划中“城市抗震防灾规划”的审查；负责城镇、经济开发区以及重大推进地震科技现代化；组织管理地震科学技术研究、科技成果的推广应用；组织开展地震科技工作交流。</w:t>
      </w:r>
    </w:p>
    <w:p>
      <w:pPr>
        <w:spacing w:line="560" w:lineRule="exact"/>
        <w:ind w:firstLine="640" w:firstLineChars="200"/>
        <w:rPr>
          <w:rFonts w:eastAsia="仿宋_GB2312"/>
          <w:sz w:val="32"/>
          <w:szCs w:val="30"/>
        </w:rPr>
      </w:pPr>
      <w:r>
        <w:rPr>
          <w:rFonts w:hint="eastAsia" w:eastAsia="仿宋_GB2312"/>
          <w:sz w:val="32"/>
          <w:szCs w:val="30"/>
        </w:rPr>
        <w:t>（七）根据国家和省防震减灾工作的法律、法规、规章，监督、检查我市的防震减灾工作；负责起草有关地方规章并组织实施；承担我市的地震行政复议、行政诉讼工作。</w:t>
      </w:r>
    </w:p>
    <w:p>
      <w:pPr>
        <w:spacing w:line="560" w:lineRule="exact"/>
        <w:ind w:firstLine="640" w:firstLineChars="200"/>
        <w:rPr>
          <w:rFonts w:eastAsia="仿宋_GB2312"/>
          <w:sz w:val="32"/>
          <w:szCs w:val="30"/>
        </w:rPr>
      </w:pPr>
      <w:r>
        <w:rPr>
          <w:rFonts w:hint="eastAsia" w:eastAsia="仿宋_GB2312"/>
          <w:sz w:val="32"/>
          <w:szCs w:val="30"/>
        </w:rPr>
        <w:t>（八）开展防震减灾宣传教育工作，普及地震科学技术知识，提高全社会的防震减灾意识。</w:t>
      </w:r>
    </w:p>
    <w:p>
      <w:pPr>
        <w:spacing w:line="560" w:lineRule="exact"/>
        <w:ind w:firstLine="640" w:firstLineChars="200"/>
        <w:rPr>
          <w:rFonts w:eastAsia="仿宋_GB2312"/>
          <w:sz w:val="32"/>
          <w:szCs w:val="30"/>
        </w:rPr>
      </w:pPr>
      <w:r>
        <w:rPr>
          <w:rFonts w:hint="eastAsia" w:eastAsia="仿宋_GB2312"/>
          <w:sz w:val="32"/>
          <w:szCs w:val="30"/>
        </w:rPr>
        <w:t>（九）指导各市、区的防震减灾工作。</w:t>
      </w:r>
    </w:p>
    <w:p>
      <w:pPr>
        <w:spacing w:line="560" w:lineRule="exact"/>
        <w:ind w:firstLine="640" w:firstLineChars="200"/>
        <w:rPr>
          <w:rFonts w:ascii="仿宋_GB2312" w:eastAsia="仿宋_GB2312"/>
          <w:sz w:val="30"/>
          <w:szCs w:val="30"/>
        </w:rPr>
      </w:pPr>
      <w:r>
        <w:rPr>
          <w:rFonts w:hint="eastAsia" w:eastAsia="仿宋_GB2312"/>
          <w:sz w:val="32"/>
          <w:szCs w:val="30"/>
        </w:rPr>
        <w:t>（十）承担市政府交办的其他事项。</w:t>
      </w:r>
      <w:r>
        <w:rPr>
          <w:rFonts w:hint="eastAsia" w:ascii="仿宋_GB2312" w:eastAsia="仿宋_GB2312"/>
          <w:sz w:val="30"/>
          <w:szCs w:val="30"/>
        </w:rPr>
        <w:t xml:space="preserve"> </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许昌市防震减灾中心内设机构4个，包括：办公室、</w:t>
      </w:r>
      <w:r>
        <w:rPr>
          <w:rFonts w:hint="eastAsia" w:eastAsia="仿宋_GB2312"/>
          <w:sz w:val="32"/>
          <w:szCs w:val="30"/>
        </w:rPr>
        <w:t>地震监测科、震害防御科、直属事业单位地震台</w:t>
      </w:r>
      <w:r>
        <w:rPr>
          <w:rFonts w:hint="eastAsia" w:ascii="仿宋_GB2312" w:hAnsi="仿宋_GB2312" w:eastAsia="仿宋_GB2312" w:cs="仿宋_GB2312"/>
          <w:kern w:val="0"/>
          <w:sz w:val="32"/>
          <w:szCs w:val="32"/>
        </w:rPr>
        <w:t>。</w:t>
      </w:r>
    </w:p>
    <w:p>
      <w:pPr>
        <w:widowControl/>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从决算单位构成看，许昌市防震减灾中心部门决算包括：本级决算</w:t>
      </w:r>
      <w:r>
        <w:rPr>
          <w:rFonts w:hint="eastAsia" w:ascii="仿宋_GB2312" w:hAnsi="仿宋_GB2312" w:eastAsia="仿宋_GB2312" w:cs="仿宋_GB2312"/>
          <w:kern w:val="0"/>
          <w:sz w:val="32"/>
          <w:szCs w:val="32"/>
          <w:lang w:val="en-US" w:eastAsia="zh-CN"/>
        </w:rPr>
        <w:t>。</w:t>
      </w:r>
    </w:p>
    <w:p>
      <w:pPr>
        <w:widowControl/>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纳入本部门2021度部门决算编制范围的单位共1个，具体是：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许昌市防震减灾中心</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5"/>
        <w:tblW w:w="14070" w:type="dxa"/>
        <w:tblInd w:w="93" w:type="dxa"/>
        <w:tblLayout w:type="autofit"/>
        <w:tblCellMar>
          <w:top w:w="0" w:type="dxa"/>
          <w:left w:w="108" w:type="dxa"/>
          <w:bottom w:w="0" w:type="dxa"/>
          <w:right w:w="108" w:type="dxa"/>
        </w:tblCellMar>
      </w:tblPr>
      <w:tblGrid>
        <w:gridCol w:w="4778"/>
        <w:gridCol w:w="839"/>
        <w:gridCol w:w="1050"/>
        <w:gridCol w:w="4497"/>
        <w:gridCol w:w="839"/>
        <w:gridCol w:w="2067"/>
      </w:tblGrid>
      <w:tr>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部门：许昌市防震减灾中心</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450.97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616.69</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453.37</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693.10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240.13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693.50</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693.50</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782" w:right="1440" w:bottom="1800" w:left="144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5"/>
        <w:tblW w:w="14400" w:type="dxa"/>
        <w:tblInd w:w="93" w:type="dxa"/>
        <w:tblLayout w:type="fixed"/>
        <w:tblCellMar>
          <w:top w:w="0" w:type="dxa"/>
          <w:left w:w="108" w:type="dxa"/>
          <w:bottom w:w="0" w:type="dxa"/>
          <w:right w:w="108" w:type="dxa"/>
        </w:tblCellMar>
      </w:tblPr>
      <w:tblGrid>
        <w:gridCol w:w="2610"/>
        <w:gridCol w:w="236"/>
        <w:gridCol w:w="236"/>
        <w:gridCol w:w="3947"/>
        <w:gridCol w:w="1201"/>
        <w:gridCol w:w="1201"/>
        <w:gridCol w:w="1041"/>
        <w:gridCol w:w="1041"/>
        <w:gridCol w:w="637"/>
        <w:gridCol w:w="1217"/>
        <w:gridCol w:w="1033"/>
      </w:tblGrid>
      <w:tr>
        <w:tblPrEx>
          <w:tblCellMar>
            <w:top w:w="0" w:type="dxa"/>
            <w:left w:w="108" w:type="dxa"/>
            <w:bottom w:w="0" w:type="dxa"/>
            <w:right w:w="108" w:type="dxa"/>
          </w:tblCellMar>
        </w:tblPrEx>
        <w:trPr>
          <w:trHeight w:val="819" w:hRule="atLeast"/>
        </w:trPr>
        <w:tc>
          <w:tcPr>
            <w:tcW w:w="14400" w:type="dxa"/>
            <w:gridSpan w:val="1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311" w:hRule="atLeast"/>
        </w:trPr>
        <w:tc>
          <w:tcPr>
            <w:tcW w:w="14400" w:type="dxa"/>
            <w:gridSpan w:val="11"/>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108" w:type="dxa"/>
            <w:bottom w:w="0" w:type="dxa"/>
            <w:right w:w="108" w:type="dxa"/>
          </w:tblCellMar>
        </w:tblPrEx>
        <w:trPr>
          <w:trHeight w:val="311" w:hRule="atLeast"/>
        </w:trPr>
        <w:tc>
          <w:tcPr>
            <w:tcW w:w="2610"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部门：许昌市防震减灾中心</w:t>
            </w:r>
          </w:p>
        </w:tc>
        <w:tc>
          <w:tcPr>
            <w:tcW w:w="236" w:type="dxa"/>
            <w:tcBorders>
              <w:top w:val="nil"/>
              <w:left w:val="nil"/>
              <w:bottom w:val="nil"/>
              <w:right w:val="nil"/>
            </w:tcBorders>
            <w:noWrap/>
            <w:vAlign w:val="bottom"/>
          </w:tcPr>
          <w:p>
            <w:pPr>
              <w:rPr>
                <w:rFonts w:ascii="Arial" w:hAnsi="Arial" w:cs="Arial"/>
                <w:color w:val="000000"/>
                <w:sz w:val="20"/>
                <w:szCs w:val="20"/>
              </w:rPr>
            </w:pPr>
          </w:p>
        </w:tc>
        <w:tc>
          <w:tcPr>
            <w:tcW w:w="236" w:type="dxa"/>
            <w:tcBorders>
              <w:top w:val="nil"/>
              <w:left w:val="nil"/>
              <w:bottom w:val="nil"/>
              <w:right w:val="nil"/>
            </w:tcBorders>
            <w:noWrap/>
            <w:vAlign w:val="bottom"/>
          </w:tcPr>
          <w:p>
            <w:pPr>
              <w:rPr>
                <w:rFonts w:ascii="Arial" w:hAnsi="Arial" w:cs="Arial"/>
                <w:color w:val="000000"/>
                <w:sz w:val="20"/>
                <w:szCs w:val="20"/>
              </w:rPr>
            </w:pPr>
          </w:p>
        </w:tc>
        <w:tc>
          <w:tcPr>
            <w:tcW w:w="3947" w:type="dxa"/>
            <w:tcBorders>
              <w:top w:val="nil"/>
              <w:left w:val="nil"/>
              <w:bottom w:val="nil"/>
              <w:right w:val="nil"/>
            </w:tcBorders>
            <w:noWrap/>
            <w:vAlign w:val="bottom"/>
          </w:tcPr>
          <w:p>
            <w:pPr>
              <w:rPr>
                <w:rFonts w:ascii="Arial" w:hAnsi="Arial" w:cs="Arial"/>
                <w:color w:val="000000"/>
                <w:sz w:val="20"/>
                <w:szCs w:val="20"/>
              </w:rPr>
            </w:pPr>
          </w:p>
        </w:tc>
        <w:tc>
          <w:tcPr>
            <w:tcW w:w="1201" w:type="dxa"/>
            <w:tcBorders>
              <w:top w:val="nil"/>
              <w:left w:val="nil"/>
              <w:bottom w:val="nil"/>
              <w:right w:val="nil"/>
            </w:tcBorders>
            <w:noWrap/>
            <w:vAlign w:val="bottom"/>
          </w:tcPr>
          <w:p>
            <w:pPr>
              <w:rPr>
                <w:rFonts w:ascii="Arial" w:hAnsi="Arial" w:cs="Arial"/>
                <w:color w:val="000000"/>
                <w:sz w:val="20"/>
                <w:szCs w:val="20"/>
              </w:rPr>
            </w:pPr>
          </w:p>
        </w:tc>
        <w:tc>
          <w:tcPr>
            <w:tcW w:w="1201" w:type="dxa"/>
            <w:tcBorders>
              <w:top w:val="nil"/>
              <w:left w:val="nil"/>
              <w:bottom w:val="nil"/>
              <w:right w:val="nil"/>
            </w:tcBorders>
            <w:noWrap/>
            <w:vAlign w:val="bottom"/>
          </w:tcPr>
          <w:p>
            <w:pPr>
              <w:rPr>
                <w:rFonts w:ascii="Arial" w:hAnsi="Arial" w:cs="Arial"/>
                <w:color w:val="000000"/>
                <w:sz w:val="20"/>
                <w:szCs w:val="20"/>
              </w:rPr>
            </w:pPr>
          </w:p>
        </w:tc>
        <w:tc>
          <w:tcPr>
            <w:tcW w:w="1041" w:type="dxa"/>
            <w:tcBorders>
              <w:top w:val="nil"/>
              <w:left w:val="nil"/>
              <w:bottom w:val="nil"/>
              <w:right w:val="nil"/>
            </w:tcBorders>
            <w:noWrap/>
            <w:vAlign w:val="bottom"/>
          </w:tcPr>
          <w:p>
            <w:pPr>
              <w:rPr>
                <w:rFonts w:ascii="Arial" w:hAnsi="Arial" w:cs="Arial"/>
                <w:color w:val="000000"/>
                <w:sz w:val="20"/>
                <w:szCs w:val="20"/>
              </w:rPr>
            </w:pPr>
          </w:p>
        </w:tc>
        <w:tc>
          <w:tcPr>
            <w:tcW w:w="3928" w:type="dxa"/>
            <w:gridSpan w:val="4"/>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21" w:hRule="atLeast"/>
        </w:trPr>
        <w:tc>
          <w:tcPr>
            <w:tcW w:w="702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20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20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104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04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63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121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03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32" w:hRule="atLeast"/>
        </w:trPr>
        <w:tc>
          <w:tcPr>
            <w:tcW w:w="3082"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94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4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4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1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3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3082"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4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4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4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1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3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3082"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4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4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4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1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3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7029"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20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0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04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04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63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21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03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321" w:hRule="atLeast"/>
        </w:trPr>
        <w:tc>
          <w:tcPr>
            <w:tcW w:w="7029"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453.37</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450.97</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03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2.40</w:t>
            </w: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34.99</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34.99</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22.17</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22.17</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6.60</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6.60</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3.94</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3.94</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6.86</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6.86</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376.96</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374.56</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地震事务</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376.96</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374.56</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2240501</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367.09</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367.09</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2240550</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地震事业机构</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7.47</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7.47</w:t>
            </w: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308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2240599</w:t>
            </w:r>
          </w:p>
        </w:tc>
        <w:tc>
          <w:tcPr>
            <w:tcW w:w="394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其他地震事务支出</w:t>
            </w:r>
          </w:p>
        </w:tc>
        <w:tc>
          <w:tcPr>
            <w:tcW w:w="120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c>
          <w:tcPr>
            <w:tcW w:w="120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4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3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r>
      <w:tr>
        <w:tblPrEx>
          <w:tblCellMar>
            <w:top w:w="0" w:type="dxa"/>
            <w:left w:w="108" w:type="dxa"/>
            <w:bottom w:w="0" w:type="dxa"/>
            <w:right w:w="108" w:type="dxa"/>
          </w:tblCellMar>
        </w:tblPrEx>
        <w:trPr>
          <w:trHeight w:val="321" w:hRule="atLeast"/>
        </w:trPr>
        <w:tc>
          <w:tcPr>
            <w:tcW w:w="14400" w:type="dxa"/>
            <w:gridSpan w:val="1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02" w:right="1440" w:bottom="1800" w:left="1440" w:header="720" w:footer="720" w:gutter="0"/>
          <w:pgNumType w:fmt="numberInDash"/>
          <w:cols w:space="720" w:num="1"/>
          <w:docGrid w:type="lines" w:linePitch="312" w:charSpace="0"/>
        </w:sectPr>
      </w:pPr>
    </w:p>
    <w:tbl>
      <w:tblPr>
        <w:tblStyle w:val="5"/>
        <w:tblW w:w="14000" w:type="dxa"/>
        <w:tblInd w:w="93" w:type="dxa"/>
        <w:tblLayout w:type="autofit"/>
        <w:tblCellMar>
          <w:top w:w="0" w:type="dxa"/>
          <w:left w:w="108" w:type="dxa"/>
          <w:bottom w:w="0" w:type="dxa"/>
          <w:right w:w="108" w:type="dxa"/>
        </w:tblCellMar>
      </w:tblPr>
      <w:tblGrid>
        <w:gridCol w:w="2616"/>
        <w:gridCol w:w="222"/>
        <w:gridCol w:w="222"/>
        <w:gridCol w:w="3956"/>
        <w:gridCol w:w="1306"/>
        <w:gridCol w:w="1306"/>
        <w:gridCol w:w="1306"/>
        <w:gridCol w:w="725"/>
        <w:gridCol w:w="725"/>
        <w:gridCol w:w="1616"/>
      </w:tblGrid>
      <w:tr>
        <w:tblPrEx>
          <w:tblCellMar>
            <w:top w:w="0" w:type="dxa"/>
            <w:left w:w="108" w:type="dxa"/>
            <w:bottom w:w="0" w:type="dxa"/>
            <w:right w:w="108" w:type="dxa"/>
          </w:tblCellMar>
        </w:tblPrEx>
        <w:trPr>
          <w:trHeight w:val="321" w:hRule="atLeast"/>
        </w:trPr>
        <w:tc>
          <w:tcPr>
            <w:tcW w:w="14000"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161"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161"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部门：许昌市防震减灾中心</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166"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4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4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4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9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9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60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2764"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60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764"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60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764"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60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4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4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4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9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60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166"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693.10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478.55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214.55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34.99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34.99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22.17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616.69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402.14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214.55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地震事务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616.69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402.14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214.55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394.67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394.67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地震事业机构</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其他地震事务支出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214.55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214.55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66"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839"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28" w:type="dxa"/>
          <w:left w:w="108" w:type="dxa"/>
          <w:bottom w:w="0" w:type="dxa"/>
          <w:right w:w="108" w:type="dxa"/>
        </w:tblCellMar>
      </w:tblPr>
      <w:tblGrid>
        <w:gridCol w:w="3076"/>
        <w:gridCol w:w="436"/>
        <w:gridCol w:w="821"/>
        <w:gridCol w:w="3516"/>
        <w:gridCol w:w="436"/>
        <w:gridCol w:w="821"/>
        <w:gridCol w:w="1474"/>
        <w:gridCol w:w="1944"/>
        <w:gridCol w:w="2126"/>
      </w:tblGrid>
      <w:tr>
        <w:tblPrEx>
          <w:tblCellMar>
            <w:top w:w="28" w:type="dxa"/>
            <w:left w:w="108" w:type="dxa"/>
            <w:bottom w:w="0" w:type="dxa"/>
            <w:right w:w="108" w:type="dxa"/>
          </w:tblCellMar>
        </w:tblPrEx>
        <w:trPr>
          <w:trHeight w:val="289" w:hRule="atLeast"/>
        </w:trPr>
        <w:tc>
          <w:tcPr>
            <w:tcW w:w="5000" w:type="pct"/>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28" w:type="dxa"/>
            <w:left w:w="108" w:type="dxa"/>
            <w:bottom w:w="0" w:type="dxa"/>
            <w:right w:w="108" w:type="dxa"/>
          </w:tblCellMar>
        </w:tblPrEx>
        <w:trPr>
          <w:trHeight w:val="144" w:hRule="atLeast"/>
        </w:trPr>
        <w:tc>
          <w:tcPr>
            <w:tcW w:w="875" w:type="pct"/>
            <w:tcBorders>
              <w:top w:val="nil"/>
              <w:left w:val="nil"/>
              <w:bottom w:val="nil"/>
              <w:right w:val="nil"/>
            </w:tcBorders>
            <w:noWrap/>
            <w:vAlign w:val="bottom"/>
          </w:tcPr>
          <w:p>
            <w:pPr>
              <w:rPr>
                <w:rFonts w:ascii="Arial" w:hAnsi="Arial" w:cs="Arial"/>
                <w:color w:val="000000"/>
                <w:sz w:val="20"/>
                <w:szCs w:val="20"/>
              </w:rPr>
            </w:pPr>
          </w:p>
        </w:tc>
        <w:tc>
          <w:tcPr>
            <w:tcW w:w="187" w:type="pct"/>
            <w:tcBorders>
              <w:top w:val="nil"/>
              <w:left w:val="nil"/>
              <w:bottom w:val="nil"/>
              <w:right w:val="nil"/>
            </w:tcBorders>
            <w:noWrap/>
            <w:vAlign w:val="bottom"/>
          </w:tcPr>
          <w:p>
            <w:pPr>
              <w:rPr>
                <w:rFonts w:ascii="Arial" w:hAnsi="Arial" w:cs="Arial"/>
                <w:color w:val="000000"/>
                <w:sz w:val="20"/>
                <w:szCs w:val="20"/>
              </w:rPr>
            </w:pPr>
          </w:p>
        </w:tc>
        <w:tc>
          <w:tcPr>
            <w:tcW w:w="249" w:type="pct"/>
            <w:tcBorders>
              <w:top w:val="nil"/>
              <w:left w:val="nil"/>
              <w:bottom w:val="nil"/>
              <w:right w:val="nil"/>
            </w:tcBorders>
            <w:noWrap/>
            <w:vAlign w:val="bottom"/>
          </w:tcPr>
          <w:p>
            <w:pPr>
              <w:rPr>
                <w:rFonts w:ascii="Arial" w:hAnsi="Arial" w:cs="Arial"/>
                <w:color w:val="000000"/>
                <w:sz w:val="20"/>
                <w:szCs w:val="20"/>
              </w:rPr>
            </w:pPr>
          </w:p>
        </w:tc>
        <w:tc>
          <w:tcPr>
            <w:tcW w:w="1001" w:type="pct"/>
            <w:tcBorders>
              <w:top w:val="nil"/>
              <w:left w:val="nil"/>
              <w:bottom w:val="nil"/>
              <w:right w:val="nil"/>
            </w:tcBorders>
            <w:noWrap/>
            <w:vAlign w:val="bottom"/>
          </w:tcPr>
          <w:p>
            <w:pPr>
              <w:rPr>
                <w:rFonts w:ascii="Arial" w:hAnsi="Arial" w:cs="Arial"/>
                <w:color w:val="000000"/>
                <w:sz w:val="20"/>
                <w:szCs w:val="20"/>
              </w:rPr>
            </w:pPr>
          </w:p>
        </w:tc>
        <w:tc>
          <w:tcPr>
            <w:tcW w:w="187" w:type="pct"/>
            <w:tcBorders>
              <w:top w:val="nil"/>
              <w:left w:val="nil"/>
              <w:bottom w:val="nil"/>
              <w:right w:val="nil"/>
            </w:tcBorders>
            <w:noWrap/>
            <w:vAlign w:val="bottom"/>
          </w:tcPr>
          <w:p>
            <w:pPr>
              <w:rPr>
                <w:rFonts w:ascii="Arial" w:hAnsi="Arial" w:cs="Arial"/>
                <w:color w:val="000000"/>
                <w:sz w:val="20"/>
                <w:szCs w:val="20"/>
              </w:rPr>
            </w:pPr>
          </w:p>
        </w:tc>
        <w:tc>
          <w:tcPr>
            <w:tcW w:w="249" w:type="pct"/>
            <w:tcBorders>
              <w:top w:val="nil"/>
              <w:left w:val="nil"/>
              <w:bottom w:val="nil"/>
              <w:right w:val="nil"/>
            </w:tcBorders>
            <w:noWrap/>
            <w:vAlign w:val="bottom"/>
          </w:tcPr>
          <w:p>
            <w:pPr>
              <w:rPr>
                <w:rFonts w:ascii="Arial" w:hAnsi="Arial" w:cs="Arial"/>
                <w:color w:val="000000"/>
                <w:sz w:val="20"/>
                <w:szCs w:val="20"/>
              </w:rPr>
            </w:pPr>
          </w:p>
        </w:tc>
        <w:tc>
          <w:tcPr>
            <w:tcW w:w="688" w:type="pct"/>
            <w:tcBorders>
              <w:top w:val="nil"/>
              <w:left w:val="nil"/>
              <w:bottom w:val="nil"/>
              <w:right w:val="nil"/>
            </w:tcBorders>
            <w:noWrap/>
            <w:vAlign w:val="bottom"/>
          </w:tcPr>
          <w:p>
            <w:pPr>
              <w:rPr>
                <w:rFonts w:ascii="Arial" w:hAnsi="Arial" w:cs="Arial"/>
                <w:color w:val="000000"/>
                <w:sz w:val="20"/>
                <w:szCs w:val="20"/>
              </w:rPr>
            </w:pPr>
          </w:p>
        </w:tc>
        <w:tc>
          <w:tcPr>
            <w:tcW w:w="751" w:type="pct"/>
            <w:tcBorders>
              <w:top w:val="nil"/>
              <w:left w:val="nil"/>
              <w:bottom w:val="nil"/>
              <w:right w:val="nil"/>
            </w:tcBorders>
            <w:noWrap/>
            <w:vAlign w:val="bottom"/>
          </w:tcPr>
          <w:p>
            <w:pPr>
              <w:rPr>
                <w:rFonts w:ascii="Arial" w:hAnsi="Arial" w:cs="Arial"/>
                <w:color w:val="000000"/>
                <w:sz w:val="20"/>
                <w:szCs w:val="20"/>
              </w:rPr>
            </w:pPr>
          </w:p>
        </w:tc>
        <w:tc>
          <w:tcPr>
            <w:tcW w:w="813"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28" w:type="dxa"/>
            <w:left w:w="108" w:type="dxa"/>
            <w:bottom w:w="0" w:type="dxa"/>
            <w:right w:w="108" w:type="dxa"/>
          </w:tblCellMar>
        </w:tblPrEx>
        <w:trPr>
          <w:trHeight w:val="144" w:hRule="atLeast"/>
        </w:trPr>
        <w:tc>
          <w:tcPr>
            <w:tcW w:w="875" w:type="pct"/>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部门：许昌市防震减灾中心</w:t>
            </w:r>
          </w:p>
        </w:tc>
        <w:tc>
          <w:tcPr>
            <w:tcW w:w="187" w:type="pct"/>
            <w:tcBorders>
              <w:top w:val="nil"/>
              <w:left w:val="nil"/>
              <w:bottom w:val="nil"/>
              <w:right w:val="nil"/>
            </w:tcBorders>
            <w:noWrap/>
            <w:vAlign w:val="bottom"/>
          </w:tcPr>
          <w:p>
            <w:pPr>
              <w:rPr>
                <w:rFonts w:ascii="Arial" w:hAnsi="Arial" w:cs="Arial"/>
                <w:color w:val="000000"/>
                <w:sz w:val="20"/>
                <w:szCs w:val="20"/>
              </w:rPr>
            </w:pPr>
          </w:p>
        </w:tc>
        <w:tc>
          <w:tcPr>
            <w:tcW w:w="249" w:type="pct"/>
            <w:tcBorders>
              <w:top w:val="nil"/>
              <w:left w:val="nil"/>
              <w:bottom w:val="nil"/>
              <w:right w:val="nil"/>
            </w:tcBorders>
            <w:noWrap/>
            <w:vAlign w:val="bottom"/>
          </w:tcPr>
          <w:p>
            <w:pPr>
              <w:rPr>
                <w:rFonts w:ascii="Arial" w:hAnsi="Arial" w:cs="Arial"/>
                <w:color w:val="000000"/>
                <w:sz w:val="20"/>
                <w:szCs w:val="20"/>
              </w:rPr>
            </w:pPr>
          </w:p>
        </w:tc>
        <w:tc>
          <w:tcPr>
            <w:tcW w:w="1001" w:type="pct"/>
            <w:tcBorders>
              <w:top w:val="nil"/>
              <w:left w:val="nil"/>
              <w:bottom w:val="nil"/>
              <w:right w:val="nil"/>
            </w:tcBorders>
            <w:noWrap/>
            <w:vAlign w:val="bottom"/>
          </w:tcPr>
          <w:p>
            <w:pPr>
              <w:rPr>
                <w:rFonts w:ascii="Arial" w:hAnsi="Arial" w:cs="Arial"/>
                <w:color w:val="000000"/>
                <w:sz w:val="20"/>
                <w:szCs w:val="20"/>
              </w:rPr>
            </w:pPr>
          </w:p>
        </w:tc>
        <w:tc>
          <w:tcPr>
            <w:tcW w:w="187" w:type="pct"/>
            <w:tcBorders>
              <w:top w:val="nil"/>
              <w:left w:val="nil"/>
              <w:bottom w:val="nil"/>
              <w:right w:val="nil"/>
            </w:tcBorders>
            <w:noWrap/>
            <w:vAlign w:val="bottom"/>
          </w:tcPr>
          <w:p>
            <w:pPr>
              <w:rPr>
                <w:rFonts w:ascii="Arial" w:hAnsi="Arial" w:cs="Arial"/>
                <w:color w:val="000000"/>
                <w:sz w:val="20"/>
                <w:szCs w:val="20"/>
              </w:rPr>
            </w:pPr>
          </w:p>
        </w:tc>
        <w:tc>
          <w:tcPr>
            <w:tcW w:w="249" w:type="pct"/>
            <w:tcBorders>
              <w:top w:val="nil"/>
              <w:left w:val="nil"/>
              <w:bottom w:val="nil"/>
              <w:right w:val="nil"/>
            </w:tcBorders>
            <w:noWrap/>
            <w:vAlign w:val="bottom"/>
          </w:tcPr>
          <w:p>
            <w:pPr>
              <w:rPr>
                <w:rFonts w:ascii="Arial" w:hAnsi="Arial" w:cs="Arial"/>
                <w:color w:val="000000"/>
                <w:sz w:val="20"/>
                <w:szCs w:val="20"/>
              </w:rPr>
            </w:pPr>
          </w:p>
        </w:tc>
        <w:tc>
          <w:tcPr>
            <w:tcW w:w="688" w:type="pct"/>
            <w:tcBorders>
              <w:top w:val="nil"/>
              <w:left w:val="nil"/>
              <w:bottom w:val="nil"/>
              <w:right w:val="nil"/>
            </w:tcBorders>
            <w:noWrap/>
            <w:vAlign w:val="bottom"/>
          </w:tcPr>
          <w:p>
            <w:pPr>
              <w:rPr>
                <w:rFonts w:ascii="Arial" w:hAnsi="Arial" w:cs="Arial"/>
                <w:color w:val="000000"/>
                <w:sz w:val="20"/>
                <w:szCs w:val="20"/>
              </w:rPr>
            </w:pPr>
          </w:p>
        </w:tc>
        <w:tc>
          <w:tcPr>
            <w:tcW w:w="751" w:type="pct"/>
            <w:tcBorders>
              <w:top w:val="nil"/>
              <w:left w:val="nil"/>
              <w:bottom w:val="nil"/>
              <w:right w:val="nil"/>
            </w:tcBorders>
            <w:noWrap/>
            <w:vAlign w:val="bottom"/>
          </w:tcPr>
          <w:p>
            <w:pPr>
              <w:rPr>
                <w:rFonts w:ascii="Arial" w:hAnsi="Arial" w:cs="Arial"/>
                <w:color w:val="000000"/>
                <w:sz w:val="20"/>
                <w:szCs w:val="20"/>
              </w:rPr>
            </w:pPr>
          </w:p>
        </w:tc>
        <w:tc>
          <w:tcPr>
            <w:tcW w:w="813"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28" w:type="dxa"/>
            <w:left w:w="108" w:type="dxa"/>
            <w:bottom w:w="0" w:type="dxa"/>
            <w:right w:w="108" w:type="dxa"/>
          </w:tblCellMar>
        </w:tblPrEx>
        <w:trPr>
          <w:trHeight w:val="154" w:hRule="atLeast"/>
        </w:trPr>
        <w:tc>
          <w:tcPr>
            <w:tcW w:w="1311"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3689" w:type="pct"/>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28" w:type="dxa"/>
            <w:left w:w="108" w:type="dxa"/>
            <w:bottom w:w="0" w:type="dxa"/>
            <w:right w:w="108" w:type="dxa"/>
          </w:tblCellMar>
        </w:tblPrEx>
        <w:trPr>
          <w:trHeight w:val="385" w:hRule="atLeast"/>
        </w:trPr>
        <w:tc>
          <w:tcPr>
            <w:tcW w:w="875"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7"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249"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1001"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7"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249"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688"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751"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813"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28" w:type="dxa"/>
            <w:left w:w="108" w:type="dxa"/>
            <w:bottom w:w="0" w:type="dxa"/>
            <w:right w:w="108" w:type="dxa"/>
          </w:tblCellMar>
        </w:tblPrEx>
        <w:trPr>
          <w:trHeight w:val="816" w:hRule="atLeast"/>
        </w:trPr>
        <w:tc>
          <w:tcPr>
            <w:tcW w:w="875"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87"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49"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01"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87"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49"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688"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51"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13"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7" w:type="pct"/>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4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001"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7" w:type="pct"/>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4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68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751"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813"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450.97</w:t>
            </w: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68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68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68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614.69</w:t>
            </w:r>
          </w:p>
        </w:tc>
        <w:tc>
          <w:tcPr>
            <w:tcW w:w="68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614.69</w:t>
            </w: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450.97</w:t>
            </w:r>
          </w:p>
        </w:tc>
        <w:tc>
          <w:tcPr>
            <w:tcW w:w="1001"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691.10</w:t>
            </w:r>
          </w:p>
        </w:tc>
        <w:tc>
          <w:tcPr>
            <w:tcW w:w="68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691.10</w:t>
            </w: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240.13</w:t>
            </w:r>
          </w:p>
        </w:tc>
        <w:tc>
          <w:tcPr>
            <w:tcW w:w="1001"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240.13</w:t>
            </w:r>
          </w:p>
        </w:tc>
        <w:tc>
          <w:tcPr>
            <w:tcW w:w="1001"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1"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24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8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154" w:hRule="atLeast"/>
        </w:trPr>
        <w:tc>
          <w:tcPr>
            <w:tcW w:w="87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187" w:type="pct"/>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691.10</w:t>
            </w:r>
          </w:p>
        </w:tc>
        <w:tc>
          <w:tcPr>
            <w:tcW w:w="1001"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1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24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691.10</w:t>
            </w:r>
          </w:p>
        </w:tc>
        <w:tc>
          <w:tcPr>
            <w:tcW w:w="68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691.10</w:t>
            </w:r>
          </w:p>
        </w:tc>
        <w:tc>
          <w:tcPr>
            <w:tcW w:w="75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28" w:type="dxa"/>
            <w:left w:w="108" w:type="dxa"/>
            <w:bottom w:w="0" w:type="dxa"/>
            <w:right w:w="108" w:type="dxa"/>
          </w:tblCellMar>
        </w:tblPrEx>
        <w:trPr>
          <w:trHeight w:val="306" w:hRule="atLeast"/>
        </w:trPr>
        <w:tc>
          <w:tcPr>
            <w:tcW w:w="5000" w:type="pct"/>
            <w:gridSpan w:val="9"/>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588" w:right="1440" w:bottom="1797" w:left="964" w:header="720" w:footer="720" w:gutter="0"/>
          <w:pgNumType w:fmt="numberInDash"/>
          <w:cols w:space="720" w:num="1"/>
          <w:docGrid w:type="lines" w:linePitch="312" w:charSpace="0"/>
        </w:sectPr>
      </w:pPr>
    </w:p>
    <w:tbl>
      <w:tblPr>
        <w:tblStyle w:val="5"/>
        <w:tblW w:w="13140" w:type="dxa"/>
        <w:tblInd w:w="91" w:type="dxa"/>
        <w:tblLayout w:type="autofit"/>
        <w:tblCellMar>
          <w:top w:w="0" w:type="dxa"/>
          <w:left w:w="108" w:type="dxa"/>
          <w:bottom w:w="0" w:type="dxa"/>
          <w:right w:w="108" w:type="dxa"/>
        </w:tblCellMar>
      </w:tblPr>
      <w:tblGrid>
        <w:gridCol w:w="2970"/>
        <w:gridCol w:w="252"/>
        <w:gridCol w:w="252"/>
        <w:gridCol w:w="4491"/>
        <w:gridCol w:w="1486"/>
        <w:gridCol w:w="1487"/>
        <w:gridCol w:w="2202"/>
      </w:tblGrid>
      <w:tr>
        <w:tblPrEx>
          <w:tblCellMar>
            <w:top w:w="0" w:type="dxa"/>
            <w:left w:w="108" w:type="dxa"/>
            <w:bottom w:w="0" w:type="dxa"/>
            <w:right w:w="108" w:type="dxa"/>
          </w:tblCellMar>
        </w:tblPrEx>
        <w:trPr>
          <w:trHeight w:val="644" w:hRule="atLeast"/>
        </w:trPr>
        <w:tc>
          <w:tcPr>
            <w:tcW w:w="13140" w:type="dxa"/>
            <w:gridSpan w:val="7"/>
            <w:tcBorders>
              <w:top w:val="nil"/>
              <w:left w:val="nil"/>
              <w:bottom w:val="nil"/>
              <w:right w:val="nil"/>
            </w:tcBorders>
            <w:noWrap/>
            <w:vAlign w:val="bottom"/>
          </w:tcPr>
          <w:p>
            <w:pPr>
              <w:widowControl/>
              <w:tabs>
                <w:tab w:val="left" w:pos="2994"/>
              </w:tabs>
              <w:ind w:firstLine="3300" w:firstLineChars="1100"/>
              <w:textAlignment w:val="bottom"/>
              <w:rPr>
                <w:rFonts w:ascii="宋体" w:hAnsi="宋体" w:cs="宋体"/>
                <w:color w:val="000000"/>
                <w:sz w:val="30"/>
                <w:szCs w:val="30"/>
              </w:rPr>
            </w:pPr>
            <w:r>
              <w:rPr>
                <w:rFonts w:hint="eastAsia" w:ascii="宋体" w:hAnsi="宋体" w:cs="宋体"/>
                <w:color w:val="000000"/>
                <w:kern w:val="0"/>
                <w:sz w:val="30"/>
                <w:szCs w:val="30"/>
              </w:rPr>
              <w:tab/>
            </w:r>
            <w:r>
              <w:rPr>
                <w:rFonts w:hint="eastAsia" w:ascii="宋体" w:hAnsi="宋体" w:cs="宋体"/>
                <w:color w:val="000000"/>
                <w:kern w:val="0"/>
                <w:sz w:val="30"/>
                <w:szCs w:val="30"/>
              </w:rPr>
              <w:t xml:space="preserve">    一般公共预算财政拨款支出决算表</w:t>
            </w:r>
          </w:p>
        </w:tc>
      </w:tr>
      <w:tr>
        <w:tblPrEx>
          <w:tblCellMar>
            <w:top w:w="0" w:type="dxa"/>
            <w:left w:w="108" w:type="dxa"/>
            <w:bottom w:w="0" w:type="dxa"/>
            <w:right w:w="108" w:type="dxa"/>
          </w:tblCellMar>
        </w:tblPrEx>
        <w:trPr>
          <w:trHeight w:val="322"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322"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部门：许昌市防震减灾中心</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32"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84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28" w:hRule="atLeast"/>
        </w:trPr>
        <w:tc>
          <w:tcPr>
            <w:tcW w:w="3181"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791"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79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261"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3181"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9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9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6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28" w:hRule="atLeast"/>
        </w:trPr>
        <w:tc>
          <w:tcPr>
            <w:tcW w:w="3181"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9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9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6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32"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691.10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478.55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212.55</w:t>
            </w: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34.99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34.99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22.17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614.69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402.14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212.55</w:t>
            </w: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地震事务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614.69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402.14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212.55</w:t>
            </w: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394.67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394.67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地震事业机构</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2240599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其他地震事务支出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212.55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212.55</w:t>
            </w:r>
          </w:p>
        </w:tc>
      </w:tr>
      <w:tr>
        <w:tblPrEx>
          <w:tblCellMar>
            <w:top w:w="0" w:type="dxa"/>
            <w:left w:w="108" w:type="dxa"/>
            <w:bottom w:w="0" w:type="dxa"/>
            <w:right w:w="108" w:type="dxa"/>
          </w:tblCellMar>
        </w:tblPrEx>
        <w:trPr>
          <w:trHeight w:val="332" w:hRule="atLeast"/>
        </w:trPr>
        <w:tc>
          <w:tcPr>
            <w:tcW w:w="0" w:type="auto"/>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499" w:right="1100" w:bottom="1800" w:left="1440"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893"/>
        <w:gridCol w:w="2098"/>
        <w:gridCol w:w="1175"/>
        <w:gridCol w:w="1771"/>
        <w:gridCol w:w="1536"/>
        <w:gridCol w:w="1171"/>
        <w:gridCol w:w="1197"/>
        <w:gridCol w:w="2816"/>
        <w:gridCol w:w="1424"/>
      </w:tblGrid>
      <w:tr>
        <w:tblPrEx>
          <w:tblCellMar>
            <w:top w:w="0" w:type="dxa"/>
            <w:left w:w="108" w:type="dxa"/>
            <w:bottom w:w="0" w:type="dxa"/>
            <w:right w:w="108" w:type="dxa"/>
          </w:tblCellMar>
        </w:tblPrEx>
        <w:trPr>
          <w:trHeight w:val="438" w:hRule="atLeast"/>
        </w:trPr>
        <w:tc>
          <w:tcPr>
            <w:tcW w:w="14081"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tblPrEx>
          <w:tblCellMar>
            <w:top w:w="0" w:type="dxa"/>
            <w:left w:w="108" w:type="dxa"/>
            <w:bottom w:w="0" w:type="dxa"/>
            <w:right w:w="108" w:type="dxa"/>
          </w:tblCellMar>
        </w:tblPrEx>
        <w:trPr>
          <w:trHeight w:val="219" w:hRule="atLeast"/>
        </w:trPr>
        <w:tc>
          <w:tcPr>
            <w:tcW w:w="893" w:type="dxa"/>
            <w:tcBorders>
              <w:top w:val="nil"/>
              <w:left w:val="nil"/>
              <w:bottom w:val="nil"/>
              <w:right w:val="nil"/>
            </w:tcBorders>
            <w:noWrap/>
            <w:vAlign w:val="bottom"/>
          </w:tcPr>
          <w:p>
            <w:pPr>
              <w:rPr>
                <w:rFonts w:ascii="Arial" w:hAnsi="Arial" w:cs="Arial"/>
                <w:color w:val="000000"/>
                <w:sz w:val="20"/>
                <w:szCs w:val="20"/>
              </w:rPr>
            </w:pPr>
          </w:p>
        </w:tc>
        <w:tc>
          <w:tcPr>
            <w:tcW w:w="2098" w:type="dxa"/>
            <w:tcBorders>
              <w:top w:val="nil"/>
              <w:left w:val="nil"/>
              <w:bottom w:val="nil"/>
              <w:right w:val="nil"/>
            </w:tcBorders>
            <w:noWrap/>
            <w:vAlign w:val="bottom"/>
          </w:tcPr>
          <w:p>
            <w:pPr>
              <w:rPr>
                <w:rFonts w:ascii="Arial" w:hAnsi="Arial" w:cs="Arial"/>
                <w:color w:val="000000"/>
                <w:sz w:val="20"/>
                <w:szCs w:val="20"/>
              </w:rPr>
            </w:pPr>
          </w:p>
        </w:tc>
        <w:tc>
          <w:tcPr>
            <w:tcW w:w="1175" w:type="dxa"/>
            <w:tcBorders>
              <w:top w:val="nil"/>
              <w:left w:val="nil"/>
              <w:bottom w:val="nil"/>
              <w:right w:val="nil"/>
            </w:tcBorders>
            <w:noWrap/>
            <w:vAlign w:val="bottom"/>
          </w:tcPr>
          <w:p>
            <w:pPr>
              <w:rPr>
                <w:rFonts w:ascii="Arial" w:hAnsi="Arial" w:cs="Arial"/>
                <w:color w:val="000000"/>
                <w:sz w:val="20"/>
                <w:szCs w:val="20"/>
              </w:rPr>
            </w:pPr>
          </w:p>
        </w:tc>
        <w:tc>
          <w:tcPr>
            <w:tcW w:w="1771" w:type="dxa"/>
            <w:tcBorders>
              <w:top w:val="nil"/>
              <w:left w:val="nil"/>
              <w:bottom w:val="nil"/>
              <w:right w:val="nil"/>
            </w:tcBorders>
            <w:noWrap/>
            <w:vAlign w:val="bottom"/>
          </w:tcPr>
          <w:p>
            <w:pPr>
              <w:rPr>
                <w:rFonts w:ascii="Arial" w:hAnsi="Arial" w:cs="Arial"/>
                <w:color w:val="000000"/>
                <w:sz w:val="20"/>
                <w:szCs w:val="20"/>
              </w:rPr>
            </w:pPr>
          </w:p>
        </w:tc>
        <w:tc>
          <w:tcPr>
            <w:tcW w:w="1536" w:type="dxa"/>
            <w:tcBorders>
              <w:top w:val="nil"/>
              <w:left w:val="nil"/>
              <w:bottom w:val="nil"/>
              <w:right w:val="nil"/>
            </w:tcBorders>
            <w:noWrap/>
            <w:vAlign w:val="bottom"/>
          </w:tcPr>
          <w:p>
            <w:pPr>
              <w:rPr>
                <w:rFonts w:ascii="Arial" w:hAnsi="Arial" w:cs="Arial"/>
                <w:color w:val="000000"/>
                <w:sz w:val="20"/>
                <w:szCs w:val="20"/>
              </w:rPr>
            </w:pPr>
          </w:p>
        </w:tc>
        <w:tc>
          <w:tcPr>
            <w:tcW w:w="1171" w:type="dxa"/>
            <w:tcBorders>
              <w:top w:val="nil"/>
              <w:left w:val="nil"/>
              <w:bottom w:val="nil"/>
              <w:right w:val="nil"/>
            </w:tcBorders>
            <w:noWrap/>
            <w:vAlign w:val="bottom"/>
          </w:tcPr>
          <w:p>
            <w:pPr>
              <w:rPr>
                <w:rFonts w:ascii="Arial" w:hAnsi="Arial" w:cs="Arial"/>
                <w:color w:val="000000"/>
                <w:sz w:val="20"/>
                <w:szCs w:val="20"/>
              </w:rPr>
            </w:pPr>
          </w:p>
        </w:tc>
        <w:tc>
          <w:tcPr>
            <w:tcW w:w="1197" w:type="dxa"/>
            <w:tcBorders>
              <w:top w:val="nil"/>
              <w:left w:val="nil"/>
              <w:bottom w:val="nil"/>
              <w:right w:val="nil"/>
            </w:tcBorders>
            <w:noWrap/>
            <w:vAlign w:val="bottom"/>
          </w:tcPr>
          <w:p>
            <w:pPr>
              <w:rPr>
                <w:rFonts w:ascii="Arial" w:hAnsi="Arial" w:cs="Arial"/>
                <w:color w:val="000000"/>
                <w:sz w:val="20"/>
                <w:szCs w:val="20"/>
              </w:rPr>
            </w:pPr>
          </w:p>
        </w:tc>
        <w:tc>
          <w:tcPr>
            <w:tcW w:w="2816" w:type="dxa"/>
            <w:tcBorders>
              <w:top w:val="nil"/>
              <w:left w:val="nil"/>
              <w:bottom w:val="nil"/>
              <w:right w:val="nil"/>
            </w:tcBorders>
            <w:noWrap/>
            <w:vAlign w:val="bottom"/>
          </w:tcPr>
          <w:p>
            <w:pPr>
              <w:rPr>
                <w:rFonts w:ascii="Arial" w:hAnsi="Arial" w:cs="Arial"/>
                <w:color w:val="000000"/>
                <w:sz w:val="20"/>
                <w:szCs w:val="20"/>
              </w:rPr>
            </w:pPr>
          </w:p>
        </w:tc>
        <w:tc>
          <w:tcPr>
            <w:tcW w:w="1424"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219" w:hRule="atLeast"/>
        </w:trPr>
        <w:tc>
          <w:tcPr>
            <w:tcW w:w="5937" w:type="dxa"/>
            <w:gridSpan w:val="4"/>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rPr>
              <w:t>部门：许昌市防震减灾中心</w:t>
            </w:r>
          </w:p>
        </w:tc>
        <w:tc>
          <w:tcPr>
            <w:tcW w:w="1536" w:type="dxa"/>
            <w:tcBorders>
              <w:top w:val="nil"/>
              <w:left w:val="nil"/>
              <w:bottom w:val="nil"/>
              <w:right w:val="nil"/>
            </w:tcBorders>
            <w:noWrap/>
            <w:vAlign w:val="bottom"/>
          </w:tcPr>
          <w:p>
            <w:pPr>
              <w:rPr>
                <w:rFonts w:ascii="Arial" w:hAnsi="Arial" w:cs="Arial"/>
                <w:color w:val="000000"/>
                <w:sz w:val="20"/>
                <w:szCs w:val="20"/>
              </w:rPr>
            </w:pPr>
          </w:p>
        </w:tc>
        <w:tc>
          <w:tcPr>
            <w:tcW w:w="1171" w:type="dxa"/>
            <w:tcBorders>
              <w:top w:val="nil"/>
              <w:left w:val="nil"/>
              <w:bottom w:val="nil"/>
              <w:right w:val="nil"/>
            </w:tcBorders>
            <w:noWrap/>
            <w:vAlign w:val="bottom"/>
          </w:tcPr>
          <w:p>
            <w:pPr>
              <w:rPr>
                <w:rFonts w:ascii="Arial" w:hAnsi="Arial" w:cs="Arial"/>
                <w:color w:val="000000"/>
                <w:sz w:val="20"/>
                <w:szCs w:val="20"/>
              </w:rPr>
            </w:pPr>
          </w:p>
        </w:tc>
        <w:tc>
          <w:tcPr>
            <w:tcW w:w="1197" w:type="dxa"/>
            <w:tcBorders>
              <w:top w:val="nil"/>
              <w:left w:val="nil"/>
              <w:bottom w:val="nil"/>
              <w:right w:val="nil"/>
            </w:tcBorders>
            <w:noWrap/>
            <w:vAlign w:val="bottom"/>
          </w:tcPr>
          <w:p>
            <w:pPr>
              <w:rPr>
                <w:rFonts w:ascii="Arial" w:hAnsi="Arial" w:cs="Arial"/>
                <w:color w:val="000000"/>
                <w:sz w:val="20"/>
                <w:szCs w:val="20"/>
              </w:rPr>
            </w:pPr>
          </w:p>
        </w:tc>
        <w:tc>
          <w:tcPr>
            <w:tcW w:w="2816" w:type="dxa"/>
            <w:tcBorders>
              <w:top w:val="nil"/>
              <w:left w:val="nil"/>
              <w:bottom w:val="nil"/>
              <w:right w:val="nil"/>
            </w:tcBorders>
            <w:noWrap/>
            <w:vAlign w:val="bottom"/>
          </w:tcPr>
          <w:p>
            <w:pPr>
              <w:rPr>
                <w:rFonts w:ascii="Arial" w:hAnsi="Arial" w:cs="Arial"/>
                <w:color w:val="000000"/>
                <w:sz w:val="20"/>
                <w:szCs w:val="20"/>
              </w:rPr>
            </w:pPr>
          </w:p>
        </w:tc>
        <w:tc>
          <w:tcPr>
            <w:tcW w:w="1424"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226" w:hRule="atLeast"/>
        </w:trPr>
        <w:tc>
          <w:tcPr>
            <w:tcW w:w="416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9915"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89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09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771"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53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71"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19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81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42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89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09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7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7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53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7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9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81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42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379.78</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60.67</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14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0.02</w:t>
            </w: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102.97</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13.43</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14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0.02</w:t>
            </w: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68.73</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101.82</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14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w:t>
            </w: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19.00</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0.19</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14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w:t>
            </w: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24.89</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2.38</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2.31</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11.55</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1.78</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11.00</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0.12</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0.19</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9.47</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23.48</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16.15</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35.37</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0.09</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35.37</w:t>
            </w: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0.22</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0.03</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2"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9.16</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0.24</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0.05</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1.24</w:t>
            </w:r>
          </w:p>
        </w:tc>
        <w:tc>
          <w:tcPr>
            <w:tcW w:w="119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28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14.21</w:t>
            </w:r>
          </w:p>
        </w:tc>
        <w:tc>
          <w:tcPr>
            <w:tcW w:w="1197"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81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09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7"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81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26" w:hRule="atLeast"/>
        </w:trPr>
        <w:tc>
          <w:tcPr>
            <w:tcW w:w="89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8"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7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153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117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1.24</w:t>
            </w:r>
          </w:p>
        </w:tc>
        <w:tc>
          <w:tcPr>
            <w:tcW w:w="1197"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81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42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33" w:hRule="atLeast"/>
        </w:trPr>
        <w:tc>
          <w:tcPr>
            <w:tcW w:w="2991"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415.15</w:t>
            </w:r>
          </w:p>
        </w:tc>
        <w:tc>
          <w:tcPr>
            <w:tcW w:w="8491" w:type="dxa"/>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14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63.40</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部门：许昌市防震减灾中心</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1.46</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1.24</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1.24</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0.22</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1.46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1.24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1.24</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0.22</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部门：许昌市防震减灾中心</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26" w:type="dxa"/>
            <w:gridSpan w:val="2"/>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注：本表反映部门本年度政府性基金预算财政拨款收入、支出及结转和结余情况。</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说明：我部门没有政府性基金收入，也没有使用政府性基金安排的支出，故本表无数据。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jc w:val="center"/>
              <w:textAlignment w:val="center"/>
              <w:rPr>
                <w:rFonts w:ascii="宋体" w:hAnsi="宋体" w:cs="宋体"/>
                <w:color w:val="000000"/>
                <w:sz w:val="20"/>
                <w:szCs w:val="20"/>
              </w:rPr>
            </w:pP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rPr>
        <w:t>第三部分 2021年度部门决算情况说明</w:t>
      </w:r>
    </w:p>
    <w:p>
      <w:pPr>
        <w:widowControl/>
        <w:jc w:val="left"/>
        <w:rPr>
          <w:rFonts w:ascii="黑体" w:hAnsi="宋体" w:eastAsia="黑体" w:cs="宋体"/>
          <w:kern w:val="0"/>
          <w:sz w:val="28"/>
          <w:szCs w:val="28"/>
        </w:rPr>
      </w:pPr>
    </w:p>
    <w:p>
      <w:pPr>
        <w:widowControl/>
        <w:spacing w:line="590" w:lineRule="exact"/>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年度收、支总计均为693.50万元。与上年度相比，收、支总计各减少457.64万元，下降39.76%。主要原因是</w:t>
      </w:r>
      <w:r>
        <w:rPr>
          <w:rFonts w:hint="eastAsia" w:ascii="仿宋_GB2312" w:hAnsi="仿宋_GB2312" w:eastAsia="仿宋_GB2312" w:cs="仿宋_GB2312"/>
          <w:sz w:val="32"/>
          <w:szCs w:val="32"/>
          <w:lang w:val="en-US" w:eastAsia="zh-CN"/>
        </w:rPr>
        <w:t>减少项目</w:t>
      </w:r>
      <w:r>
        <w:rPr>
          <w:rFonts w:hint="eastAsia" w:ascii="仿宋_GB2312" w:hAnsi="仿宋_GB2312" w:eastAsia="仿宋_GB2312" w:cs="仿宋_GB2312"/>
          <w:sz w:val="32"/>
          <w:szCs w:val="32"/>
        </w:rPr>
        <w:t>了项目经费。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年度收入合计453.37万元，其中：财政拨款收入450.97万元，占99.47%；上级补助收入0万元；事业收入</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万元；经营收入</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万元；附属单位上缴收入</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万元；其他收入2.40万元，占0.53%。</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年度支出合计693.10万元，其中：基本支出478.55万元，占69.0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%；项目支出214.55万元，占30.96%；上缴上级支出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p>
    <w:p>
      <w:pPr>
        <w:widowControl/>
        <w:spacing w:line="590" w:lineRule="exact"/>
        <w:ind w:left="420" w:left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年度收、支总计均为69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0万元。与上年度相比，收、支总计各减少</w:t>
      </w:r>
      <w:r>
        <w:rPr>
          <w:rFonts w:hint="eastAsia" w:ascii="仿宋_GB2312" w:hAnsi="仿宋_GB2312" w:eastAsia="仿宋_GB2312" w:cs="仿宋_GB2312"/>
          <w:sz w:val="32"/>
          <w:szCs w:val="32"/>
          <w:lang w:val="en-US" w:eastAsia="zh-CN"/>
        </w:rPr>
        <w:t>460.04</w:t>
      </w:r>
      <w:r>
        <w:rPr>
          <w:rFonts w:hint="eastAsia" w:ascii="仿宋_GB2312" w:hAnsi="仿宋_GB2312" w:eastAsia="仿宋_GB2312" w:cs="仿宋_GB2312"/>
          <w:sz w:val="32"/>
          <w:szCs w:val="32"/>
        </w:rPr>
        <w:t>万元，下降39.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6%。主要原因是减少了项目经费</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pPr>
        <w:widowControl/>
        <w:spacing w:line="590" w:lineRule="exact"/>
        <w:ind w:firstLine="320" w:firstLineChars="1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年度一般公共预算财政拨款支出691.10万元，占支出合计的99.</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%。与上年度相比，一般公共预算财政拨款支出减少44.6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万元，下降6.07%。主要原因是减少项目支出。</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691.10万元，主要用于以下方面：一般公共服务（类）支出1.85万元，占0.27%；社会保障和就业（类）支出57.16万元，占8.27%；卫生健康（类）支出17.40万元，占2.52%；灾害防治及应急管理（类）支出614.69万元，占88.94%。</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年度一般公共预算财政拨款支出年初预算为399.99万元，支出决算为691.10万元，完成年初预算的172.78%。其中：</w:t>
      </w:r>
    </w:p>
    <w:p>
      <w:pPr>
        <w:widowControl/>
        <w:spacing w:line="59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1．一般公共服务（类）群众团体事务（款）工会事务（项）。</w:t>
      </w:r>
      <w:r>
        <w:rPr>
          <w:rFonts w:hint="eastAsia" w:ascii="仿宋_GB2312" w:hAnsi="仿宋_GB2312" w:eastAsia="仿宋_GB2312" w:cs="仿宋_GB2312"/>
          <w:sz w:val="32"/>
          <w:szCs w:val="32"/>
        </w:rPr>
        <w:t>年初预算为1.85万元，支出决算为1.85万元，完成年初预算的10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2．社会保障和就业（类）行政事业单位养老支出（款）行政单位离退休（项）。 </w:t>
      </w:r>
      <w:r>
        <w:rPr>
          <w:rFonts w:hint="eastAsia" w:ascii="仿宋_GB2312" w:hAnsi="仿宋_GB2312" w:eastAsia="仿宋_GB2312" w:cs="仿宋_GB2312"/>
          <w:sz w:val="32"/>
          <w:szCs w:val="32"/>
        </w:rPr>
        <w:t>年初预算为35.35万元，支出决算为34.99万元，完成年初预算98.98%，决算数与年初预算数存在差异的主要原因是根据规定继续使用上年资金支付相关支出。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3.社会保障和就业（类）行政事业单位养老支出（款）机关事业单位基本养老保险缴费支出（项）。</w:t>
      </w:r>
      <w:r>
        <w:rPr>
          <w:rFonts w:hint="eastAsia" w:ascii="仿宋_GB2312" w:hAnsi="仿宋_GB2312" w:eastAsia="仿宋_GB2312" w:cs="仿宋_GB2312"/>
          <w:sz w:val="32"/>
          <w:szCs w:val="32"/>
        </w:rPr>
        <w:t>年初预算为 22.17万元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，支出决算为22.17万元，完成预算的10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4.卫生健康支出（类）行政事业单位医疗（款）行政单位医疗（项）。</w:t>
      </w:r>
      <w:r>
        <w:rPr>
          <w:rFonts w:hint="eastAsia" w:ascii="仿宋_GB2312" w:hAnsi="仿宋_GB2312" w:eastAsia="仿宋_GB2312" w:cs="仿宋_GB2312"/>
          <w:sz w:val="32"/>
          <w:szCs w:val="32"/>
        </w:rPr>
        <w:t>年初预算为7.2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万元，支出决算为6.60万元，完成年初预算91.67%。决算数与年初预算数存在差异的主要原因是预算批复晚，部门根据规定继续使用上年资金支付相关支出。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5.卫生健康支出（类）行政事业单位医疗（款）事业单位医（项）</w:t>
      </w:r>
      <w:r>
        <w:rPr>
          <w:rFonts w:hint="eastAsia" w:ascii="仿宋_GB2312" w:hAnsi="仿宋_GB2312" w:eastAsia="仿宋_GB2312" w:cs="仿宋_GB2312"/>
          <w:sz w:val="32"/>
          <w:szCs w:val="32"/>
        </w:rPr>
        <w:t>年初预算为3.94万元，支出决算为3.94万元，完成预算的10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6.卫生健康支出（类）行政事业单位医疗（款）公务员医疗补助（项）</w:t>
      </w:r>
      <w:r>
        <w:rPr>
          <w:rFonts w:hint="eastAsia" w:ascii="仿宋_GB2312" w:hAnsi="仿宋_GB2312" w:eastAsia="仿宋_GB2312" w:cs="仿宋_GB2312"/>
          <w:sz w:val="32"/>
          <w:szCs w:val="32"/>
        </w:rPr>
        <w:t>年初预算为6.86万元，支出决算为6.86万元，完成年初预算10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7.灾害防治及应急管理支出（类）地震事务（款）行政运行（项）</w:t>
      </w:r>
      <w:r>
        <w:rPr>
          <w:rFonts w:hint="eastAsia" w:ascii="仿宋_GB2312" w:hAnsi="仿宋_GB2312" w:eastAsia="仿宋_GB2312" w:cs="仿宋_GB2312"/>
          <w:sz w:val="32"/>
          <w:szCs w:val="32"/>
        </w:rPr>
        <w:t>年初预算为315.15万元，支出决算为394.67万元，完成年初预算125.23%。决算数与年初预算数存在差异的主要原因是预算批复晚，部门根据规定继续使用上年结转资金支付相关</w:t>
      </w:r>
      <w:r>
        <w:rPr>
          <w:rFonts w:hint="eastAsia" w:ascii="仿宋_GB2312" w:hAnsi="仿宋_GB2312" w:eastAsia="仿宋_GB2312" w:cs="仿宋_GB2312"/>
          <w:sz w:val="32"/>
          <w:szCs w:val="32"/>
          <w:lang w:val="en-US" w:eastAsia="zh-CN"/>
        </w:rPr>
        <w:t>运行支出</w:t>
      </w:r>
      <w:r>
        <w:rPr>
          <w:rFonts w:hint="eastAsia" w:ascii="仿宋_GB2312" w:hAnsi="仿宋_GB2312" w:eastAsia="仿宋_GB2312" w:cs="仿宋_GB2312"/>
          <w:sz w:val="32"/>
          <w:szCs w:val="32"/>
        </w:rPr>
        <w:t>。</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8.灾害防治及应急管理支出（类）地震事务（款）其他事业机构（项）</w:t>
      </w:r>
      <w:r>
        <w:rPr>
          <w:rFonts w:hint="eastAsia" w:ascii="仿宋_GB2312" w:hAnsi="仿宋_GB2312" w:eastAsia="仿宋_GB2312" w:cs="仿宋_GB2312"/>
          <w:sz w:val="32"/>
          <w:szCs w:val="32"/>
        </w:rPr>
        <w:t>年初预算为7.47万元，支出决算为7.47万元，完成年初预算10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9.灾害防治及应急管理支出（类）地震事务（款）其他地震事务支出（项）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支出决算为212.55万元。决算数与年初预算数存在差异的主要原因是上年年底拨入项目经费，上年年底部门项目支出没有验收完成，无法完成支付。当年根据规定继续使用上年结转资金支付未完成的项目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ascii="仿宋_GB2312" w:hAnsi="仿宋_GB2312" w:eastAsia="仿宋_GB2312" w:cs="仿宋_GB2312"/>
          <w:sz w:val="32"/>
          <w:szCs w:val="32"/>
        </w:rPr>
        <w:t>478.55</w:t>
      </w:r>
      <w:r>
        <w:rPr>
          <w:rFonts w:hint="eastAsia" w:ascii="仿宋_GB2312" w:hAnsi="仿宋_GB2312" w:eastAsia="仿宋_GB2312" w:cs="仿宋_GB2312"/>
          <w:sz w:val="32"/>
          <w:szCs w:val="32"/>
        </w:rPr>
        <w:t>万元。其中：人员经费</w:t>
      </w:r>
      <w:r>
        <w:rPr>
          <w:rFonts w:ascii="仿宋_GB2312" w:hAnsi="仿宋_GB2312" w:eastAsia="仿宋_GB2312" w:cs="仿宋_GB2312"/>
          <w:sz w:val="32"/>
          <w:szCs w:val="32"/>
        </w:rPr>
        <w:t>415.15</w:t>
      </w:r>
      <w:r>
        <w:rPr>
          <w:rFonts w:hint="eastAsia" w:ascii="仿宋_GB2312" w:hAnsi="仿宋_GB2312" w:eastAsia="仿宋_GB2312" w:cs="仿宋_GB2312"/>
          <w:sz w:val="32"/>
          <w:szCs w:val="32"/>
        </w:rPr>
        <w:t>万元，主要包括：基本工资、津贴补贴、</w:t>
      </w:r>
      <w:r>
        <w:rPr>
          <w:rFonts w:hint="eastAsia" w:ascii="仿宋_GB2312" w:hAnsi="仿宋_GB2312" w:eastAsia="仿宋_GB2312" w:cs="仿宋_GB2312"/>
          <w:sz w:val="32"/>
          <w:szCs w:val="32"/>
          <w:lang w:val="en-US" w:eastAsia="zh-CN"/>
        </w:rPr>
        <w:t>职工基本医疗奖金、</w:t>
      </w:r>
      <w:r>
        <w:rPr>
          <w:rFonts w:hint="eastAsia" w:ascii="仿宋_GB2312" w:hAnsi="仿宋_GB2312" w:eastAsia="仿宋_GB2312" w:cs="仿宋_GB2312"/>
          <w:sz w:val="32"/>
          <w:szCs w:val="32"/>
        </w:rPr>
        <w:t>绩效工资、机关事业单位基本养老保险缴费、</w:t>
      </w:r>
      <w:r>
        <w:rPr>
          <w:rFonts w:hint="eastAsia" w:ascii="仿宋_GB2312" w:hAnsi="仿宋_GB2312" w:eastAsia="仿宋_GB2312" w:cs="仿宋_GB2312"/>
          <w:sz w:val="32"/>
          <w:szCs w:val="32"/>
          <w:lang w:val="en-US" w:eastAsia="zh-CN"/>
        </w:rPr>
        <w:t>职工基本医疗保险缴费、公务员医疗补助缴费、</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对个人和家庭的补助、</w:t>
      </w:r>
      <w:r>
        <w:rPr>
          <w:rFonts w:hint="eastAsia" w:ascii="仿宋_GB2312" w:hAnsi="仿宋_GB2312" w:eastAsia="仿宋_GB2312" w:cs="仿宋_GB2312"/>
          <w:sz w:val="32"/>
          <w:szCs w:val="32"/>
        </w:rPr>
        <w:t>其他工资福利支出、退休费、住房公积金；公用经费63.40万元，主要包括：办公费、水费、电费、邮电费、取暖费、物业管理费、差旅费、维修（护）费、会议费、公务接待费、劳务费、委托业务费、工会经费、福利费、公务用车运行维护费、其他交通费用、其他商品和服务支出、</w:t>
      </w:r>
      <w:r>
        <w:rPr>
          <w:rFonts w:hint="eastAsia" w:ascii="仿宋_GB2312" w:hAnsi="仿宋_GB2312" w:eastAsia="仿宋_GB2312" w:cs="仿宋_GB2312"/>
          <w:sz w:val="32"/>
          <w:szCs w:val="32"/>
          <w:lang w:val="en-US" w:eastAsia="zh-CN"/>
        </w:rPr>
        <w:t>债务利息及费用支出、</w:t>
      </w:r>
      <w:r>
        <w:rPr>
          <w:rFonts w:hint="eastAsia" w:ascii="仿宋_GB2312" w:hAnsi="仿宋_GB2312" w:eastAsia="仿宋_GB2312" w:cs="仿宋_GB2312"/>
          <w:sz w:val="32"/>
          <w:szCs w:val="32"/>
        </w:rPr>
        <w:t>办公设备购置等。</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年度“三公”经费财政拨款支出预算为1.46万元，支出决算为1.46万元，完成预算的10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%；公务用车购置及运行费支出决算1.24万元，完成预算的10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4.93%；公务接待费支出决算0.22万元，完成预算的10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5.07%。具体情况如下：</w:t>
      </w:r>
    </w:p>
    <w:p>
      <w:pPr>
        <w:spacing w:line="590" w:lineRule="exact"/>
        <w:ind w:firstLine="640"/>
        <w:rPr>
          <w:rFonts w:eastAsia="Times New Roman"/>
          <w:kern w:val="0"/>
          <w:sz w:val="18"/>
          <w:szCs w:val="24"/>
          <w:lang w:val="zh-CN"/>
        </w:rPr>
      </w:pPr>
      <w:r>
        <w:rPr>
          <w:rFonts w:hint="eastAsia" w:ascii="仿宋_GB2312" w:hAnsi="仿宋_GB2312" w:eastAsia="仿宋_GB2312"/>
          <w:b/>
          <w:sz w:val="32"/>
          <w:szCs w:val="24"/>
        </w:rPr>
        <w:t>1．因公出国（境）费</w:t>
      </w:r>
      <w:r>
        <w:rPr>
          <w:rFonts w:hint="eastAsia" w:ascii="仿宋_GB2312" w:hAnsi="仿宋_GB2312" w:eastAsia="仿宋_GB2312"/>
          <w:sz w:val="32"/>
          <w:szCs w:val="24"/>
        </w:rPr>
        <w:t>预算为</w:t>
      </w:r>
      <w:r>
        <w:rPr>
          <w:rFonts w:hint="eastAsia" w:ascii="仿宋_GB2312" w:hAnsi="仿宋_GB2312" w:eastAsia="仿宋_GB2312"/>
          <w:sz w:val="32"/>
          <w:szCs w:val="24"/>
          <w:lang w:eastAsia="zh-CN"/>
        </w:rPr>
        <w:t>0</w:t>
      </w:r>
      <w:r>
        <w:rPr>
          <w:rFonts w:hint="eastAsia" w:ascii="仿宋_GB2312" w:hAnsi="仿宋_GB2312" w:eastAsia="仿宋_GB2312"/>
          <w:sz w:val="32"/>
          <w:szCs w:val="24"/>
        </w:rPr>
        <w:t>万元，支出决算为</w:t>
      </w:r>
      <w:r>
        <w:rPr>
          <w:rFonts w:hint="eastAsia" w:ascii="仿宋_GB2312" w:hAnsi="仿宋_GB2312" w:eastAsia="仿宋_GB2312"/>
          <w:sz w:val="32"/>
          <w:szCs w:val="24"/>
          <w:lang w:eastAsia="zh-CN"/>
        </w:rPr>
        <w:t>0</w:t>
      </w:r>
      <w:r>
        <w:rPr>
          <w:rFonts w:hint="eastAsia" w:ascii="仿宋_GB2312" w:hAnsi="仿宋_GB2312" w:eastAsia="仿宋_GB2312"/>
          <w:sz w:val="32"/>
          <w:szCs w:val="24"/>
        </w:rPr>
        <w:t>万元。决算数与预算数不存在差异。因公出国（境）团组数0个，因公出国（境）人次数0人。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预算为1.24万元，支出决算为1.24万元，完成预算的10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%。决算数与预算数不存在差异。其中：</w:t>
      </w:r>
    </w:p>
    <w:p>
      <w:pPr>
        <w:spacing w:line="590" w:lineRule="exact"/>
        <w:ind w:firstLine="640"/>
        <w:rPr>
          <w:rFonts w:eastAsia="Times New Roman"/>
          <w:kern w:val="0"/>
          <w:sz w:val="18"/>
          <w:szCs w:val="24"/>
          <w:lang w:val="zh-CN"/>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sz w:val="32"/>
          <w:szCs w:val="24"/>
        </w:rPr>
        <w:t>预算为</w:t>
      </w:r>
      <w:r>
        <w:rPr>
          <w:rFonts w:hint="eastAsia" w:ascii="仿宋_GB2312" w:hAnsi="仿宋_GB2312" w:eastAsia="仿宋_GB2312"/>
          <w:sz w:val="32"/>
          <w:szCs w:val="24"/>
          <w:lang w:eastAsia="zh-CN"/>
        </w:rPr>
        <w:t>0</w:t>
      </w:r>
      <w:r>
        <w:rPr>
          <w:rFonts w:hint="eastAsia" w:ascii="仿宋_GB2312" w:hAnsi="仿宋_GB2312" w:eastAsia="仿宋_GB2312"/>
          <w:sz w:val="32"/>
          <w:szCs w:val="24"/>
        </w:rPr>
        <w:t>万元，</w:t>
      </w:r>
      <w:r>
        <w:rPr>
          <w:rFonts w:hint="eastAsia" w:ascii="仿宋_GB2312" w:hAnsi="仿宋_GB2312" w:eastAsia="仿宋_GB2312"/>
          <w:sz w:val="32"/>
          <w:szCs w:val="24"/>
          <w:lang w:val="en-US" w:eastAsia="zh-CN"/>
        </w:rPr>
        <w:t>主要用于公务用车购置等，2021年</w:t>
      </w:r>
      <w:r>
        <w:rPr>
          <w:rFonts w:hint="eastAsia" w:ascii="仿宋_GB2312" w:hAnsi="仿宋_GB2312" w:eastAsia="仿宋_GB2312"/>
          <w:sz w:val="32"/>
          <w:szCs w:val="24"/>
        </w:rPr>
        <w:t>购置车辆</w:t>
      </w:r>
      <w:r>
        <w:rPr>
          <w:rFonts w:hint="eastAsia" w:ascii="仿宋_GB2312" w:hAnsi="仿宋_GB2312" w:eastAsia="仿宋_GB2312"/>
          <w:sz w:val="32"/>
          <w:szCs w:val="24"/>
          <w:lang w:eastAsia="zh-CN"/>
        </w:rPr>
        <w:t>0</w:t>
      </w:r>
      <w:r>
        <w:rPr>
          <w:rFonts w:hint="eastAsia" w:ascii="仿宋_GB2312" w:hAnsi="仿宋_GB2312" w:eastAsia="仿宋_GB2312"/>
          <w:sz w:val="32"/>
          <w:szCs w:val="24"/>
        </w:rPr>
        <w:t>台，其中应急车辆0台，其他公务用车0台。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1.24万元。主要用于公车运行及维护费等。</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预算为0.22万元，支出决算为0.22万元，完成预算的10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%。决算数与预算数不存在差异。其中：</w:t>
      </w:r>
    </w:p>
    <w:p>
      <w:pPr>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sz w:val="32"/>
          <w:szCs w:val="24"/>
        </w:rPr>
        <w:t>预算为</w:t>
      </w:r>
      <w:r>
        <w:rPr>
          <w:rFonts w:hint="eastAsia" w:ascii="仿宋_GB2312" w:hAnsi="仿宋_GB2312" w:eastAsia="仿宋_GB2312"/>
          <w:sz w:val="32"/>
          <w:szCs w:val="24"/>
          <w:lang w:eastAsia="zh-CN"/>
        </w:rPr>
        <w:t>0</w:t>
      </w:r>
      <w:r>
        <w:rPr>
          <w:rFonts w:hint="eastAsia" w:ascii="仿宋_GB2312" w:hAnsi="仿宋_GB2312" w:eastAsia="仿宋_GB2312"/>
          <w:sz w:val="32"/>
          <w:szCs w:val="24"/>
        </w:rPr>
        <w:t>万元，</w:t>
      </w:r>
      <w:r>
        <w:rPr>
          <w:rFonts w:hint="eastAsia" w:ascii="仿宋_GB2312" w:hAnsi="仿宋_GB2312" w:eastAsia="仿宋_GB2312" w:cs="仿宋_GB2312"/>
          <w:sz w:val="32"/>
          <w:szCs w:val="32"/>
        </w:rPr>
        <w:t>主要用于接待外宾等相关支出。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0.22万元。完成预算的100%，主要用于部门公务接待支出。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年共接待国内来访团组5个、来宾18人次（不包括陪同人员）。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ind w:firstLine="640" w:firstLineChars="200"/>
        <w:jc w:val="left"/>
        <w:textAlignment w:val="center"/>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年度机关运行经费年初预算为49.18万元，支出决算为63.40万元，完成年初预算的128.91%。决算数与年初预算数存在差异的主要原因是因预算批复晚，部门根据规定继续使用上年结转资金支付公务支出。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辆、其他用车1辆；单位价值50万元以上通用设备</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我部门按照《中共许昌市委 许昌市人民政府关于全面实施预算绩效管理的实施意见》（许发〔2021〕13号）文件要求，对本部门整体支出和项目支出开展全过程预算绩效管理。2020年我部门纳入预算绩效管理的支出总额为399.99万元，其中：基本支出399.99万元；支出项目0个，支出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万元。开展项目绩效自评项目</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个，自评金额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万元；纳入重点绩效评价</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个，评价金额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部门对本部门整体绩效目标和项目支出绩效目标进行了自评。一是部门整体绩效自评情况较好，各项工作取得较好成效。年初预算所设立的整体绩效目标，符合客观实际，符合国家法律法规，符合部门“三定”方案确定的职责，同时，我部门依据整体绩效目标所设定的绩效指标清晰、细化、可衡量；二是项目绩效自评情况。我部门共有</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个项目批复了绩效目标。</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黑体" w:hAnsi="宋体" w:eastAsia="黑体" w:cs="宋体"/>
          <w:kern w:val="0"/>
          <w:sz w:val="28"/>
          <w:szCs w:val="28"/>
        </w:rPr>
      </w:pPr>
      <w:r>
        <w:rPr>
          <w:rFonts w:hint="eastAsia" w:ascii="仿宋_GB2312" w:hAnsi="仿宋_GB2312" w:eastAsia="仿宋_GB2312" w:cs="仿宋_GB2312"/>
          <w:sz w:val="32"/>
          <w:szCs w:val="32"/>
        </w:rPr>
        <w:t>我部门</w:t>
      </w:r>
      <w:r>
        <w:rPr>
          <w:rFonts w:hint="eastAsia" w:ascii="仿宋_GB2312" w:hAnsi="仿宋_GB2312" w:eastAsia="仿宋_GB2312" w:cs="仿宋_GB2312"/>
          <w:sz w:val="32"/>
          <w:szCs w:val="32"/>
          <w:lang w:val="en-US" w:eastAsia="zh-CN"/>
        </w:rPr>
        <w:t>没有开展重点绩效评价的项目</w:t>
      </w:r>
      <w:r>
        <w:rPr>
          <w:rFonts w:hint="eastAsia" w:ascii="仿宋_GB2312" w:hAnsi="仿宋_GB2312" w:eastAsia="仿宋_GB2312" w:cs="仿宋_GB2312"/>
          <w:sz w:val="32"/>
          <w:szCs w:val="32"/>
        </w:rPr>
        <w:t>。</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mEzMzc4Y2YyYzRlM2M4MTE1NGEwYmIzMjc3NzUifQ=="/>
  </w:docVars>
  <w:rsids>
    <w:rsidRoot w:val="000270E8"/>
    <w:rsid w:val="000270E8"/>
    <w:rsid w:val="000335B5"/>
    <w:rsid w:val="00057AFD"/>
    <w:rsid w:val="00065F66"/>
    <w:rsid w:val="00076410"/>
    <w:rsid w:val="00081835"/>
    <w:rsid w:val="000904B3"/>
    <w:rsid w:val="000C073B"/>
    <w:rsid w:val="000C1142"/>
    <w:rsid w:val="000C56CA"/>
    <w:rsid w:val="001003F8"/>
    <w:rsid w:val="001152F3"/>
    <w:rsid w:val="00144159"/>
    <w:rsid w:val="001718A8"/>
    <w:rsid w:val="00180727"/>
    <w:rsid w:val="00182842"/>
    <w:rsid w:val="00184D53"/>
    <w:rsid w:val="001905F2"/>
    <w:rsid w:val="00197592"/>
    <w:rsid w:val="001C32F0"/>
    <w:rsid w:val="001D61B1"/>
    <w:rsid w:val="001F5040"/>
    <w:rsid w:val="001F6994"/>
    <w:rsid w:val="002006EB"/>
    <w:rsid w:val="00201C78"/>
    <w:rsid w:val="00214AE1"/>
    <w:rsid w:val="00256A63"/>
    <w:rsid w:val="00260D70"/>
    <w:rsid w:val="00281114"/>
    <w:rsid w:val="00282C7F"/>
    <w:rsid w:val="00287811"/>
    <w:rsid w:val="00292B4B"/>
    <w:rsid w:val="002A6352"/>
    <w:rsid w:val="002B3F94"/>
    <w:rsid w:val="002C171D"/>
    <w:rsid w:val="002E6A86"/>
    <w:rsid w:val="00304D04"/>
    <w:rsid w:val="00305B88"/>
    <w:rsid w:val="00315FEB"/>
    <w:rsid w:val="00405396"/>
    <w:rsid w:val="0041489C"/>
    <w:rsid w:val="0042585F"/>
    <w:rsid w:val="00445CAC"/>
    <w:rsid w:val="00472E19"/>
    <w:rsid w:val="00487869"/>
    <w:rsid w:val="004D5275"/>
    <w:rsid w:val="004E6E0E"/>
    <w:rsid w:val="004F63DB"/>
    <w:rsid w:val="00505190"/>
    <w:rsid w:val="00507364"/>
    <w:rsid w:val="00546F7C"/>
    <w:rsid w:val="00560053"/>
    <w:rsid w:val="005A0C2F"/>
    <w:rsid w:val="005B1AE2"/>
    <w:rsid w:val="005E3397"/>
    <w:rsid w:val="00607D67"/>
    <w:rsid w:val="0061210B"/>
    <w:rsid w:val="006228C4"/>
    <w:rsid w:val="00636C37"/>
    <w:rsid w:val="006512DD"/>
    <w:rsid w:val="00656BEF"/>
    <w:rsid w:val="00656D75"/>
    <w:rsid w:val="00657E86"/>
    <w:rsid w:val="00667E87"/>
    <w:rsid w:val="00673EF7"/>
    <w:rsid w:val="006841E9"/>
    <w:rsid w:val="0069449E"/>
    <w:rsid w:val="006C07F0"/>
    <w:rsid w:val="006C644A"/>
    <w:rsid w:val="006C7D84"/>
    <w:rsid w:val="006F077E"/>
    <w:rsid w:val="007148E8"/>
    <w:rsid w:val="00733DAA"/>
    <w:rsid w:val="00735493"/>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A2281"/>
    <w:rsid w:val="008B5427"/>
    <w:rsid w:val="008C38F4"/>
    <w:rsid w:val="008C7CD0"/>
    <w:rsid w:val="00902A19"/>
    <w:rsid w:val="00903F6B"/>
    <w:rsid w:val="00906BE4"/>
    <w:rsid w:val="009173F9"/>
    <w:rsid w:val="009303AC"/>
    <w:rsid w:val="009308CB"/>
    <w:rsid w:val="00936B0F"/>
    <w:rsid w:val="00950270"/>
    <w:rsid w:val="00962F58"/>
    <w:rsid w:val="00975A04"/>
    <w:rsid w:val="00987E71"/>
    <w:rsid w:val="009C1592"/>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505FB"/>
    <w:rsid w:val="00B649BE"/>
    <w:rsid w:val="00B653A5"/>
    <w:rsid w:val="00B710DD"/>
    <w:rsid w:val="00B77B39"/>
    <w:rsid w:val="00BE5A85"/>
    <w:rsid w:val="00BF4E6A"/>
    <w:rsid w:val="00BF5718"/>
    <w:rsid w:val="00C13474"/>
    <w:rsid w:val="00C3106E"/>
    <w:rsid w:val="00C60609"/>
    <w:rsid w:val="00C77048"/>
    <w:rsid w:val="00C84CD4"/>
    <w:rsid w:val="00C95CC1"/>
    <w:rsid w:val="00CA3F44"/>
    <w:rsid w:val="00CB03ED"/>
    <w:rsid w:val="00CE212D"/>
    <w:rsid w:val="00CE4B38"/>
    <w:rsid w:val="00D1321A"/>
    <w:rsid w:val="00D30ADF"/>
    <w:rsid w:val="00D33CF8"/>
    <w:rsid w:val="00D375D5"/>
    <w:rsid w:val="00D60A93"/>
    <w:rsid w:val="00D6315E"/>
    <w:rsid w:val="00D652C2"/>
    <w:rsid w:val="00D74EE2"/>
    <w:rsid w:val="00D83E19"/>
    <w:rsid w:val="00D86CAD"/>
    <w:rsid w:val="00DA00C9"/>
    <w:rsid w:val="00DA4B7C"/>
    <w:rsid w:val="00DB200E"/>
    <w:rsid w:val="00DB65F5"/>
    <w:rsid w:val="00DF2960"/>
    <w:rsid w:val="00E01C3E"/>
    <w:rsid w:val="00E02EB5"/>
    <w:rsid w:val="00E13099"/>
    <w:rsid w:val="00E178BA"/>
    <w:rsid w:val="00E4339F"/>
    <w:rsid w:val="00E53BC4"/>
    <w:rsid w:val="00E60B05"/>
    <w:rsid w:val="00E629EA"/>
    <w:rsid w:val="00E6777C"/>
    <w:rsid w:val="00EB05A3"/>
    <w:rsid w:val="00ED38B7"/>
    <w:rsid w:val="00EE051D"/>
    <w:rsid w:val="00F0131A"/>
    <w:rsid w:val="00F04971"/>
    <w:rsid w:val="00F14C17"/>
    <w:rsid w:val="00F17041"/>
    <w:rsid w:val="00F218CF"/>
    <w:rsid w:val="00F44937"/>
    <w:rsid w:val="00F61A47"/>
    <w:rsid w:val="00F84422"/>
    <w:rsid w:val="00F95455"/>
    <w:rsid w:val="00FA574D"/>
    <w:rsid w:val="00FC2588"/>
    <w:rsid w:val="00FC7121"/>
    <w:rsid w:val="00FE7AD9"/>
    <w:rsid w:val="01322275"/>
    <w:rsid w:val="01DC6F05"/>
    <w:rsid w:val="02A3489A"/>
    <w:rsid w:val="02CA138D"/>
    <w:rsid w:val="033646FC"/>
    <w:rsid w:val="03C75F80"/>
    <w:rsid w:val="0478364D"/>
    <w:rsid w:val="053D4C0D"/>
    <w:rsid w:val="0557532E"/>
    <w:rsid w:val="0799329C"/>
    <w:rsid w:val="07AB5916"/>
    <w:rsid w:val="08397436"/>
    <w:rsid w:val="086F16A7"/>
    <w:rsid w:val="098D42FA"/>
    <w:rsid w:val="0A0F7225"/>
    <w:rsid w:val="0A2B7D82"/>
    <w:rsid w:val="0ADC40E9"/>
    <w:rsid w:val="0AE607F4"/>
    <w:rsid w:val="0B386127"/>
    <w:rsid w:val="0B451598"/>
    <w:rsid w:val="0BEC73F4"/>
    <w:rsid w:val="0C392698"/>
    <w:rsid w:val="0CDB3252"/>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870459"/>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855015"/>
    <w:rsid w:val="2DEF21BB"/>
    <w:rsid w:val="2E4A2F05"/>
    <w:rsid w:val="2ECC1061"/>
    <w:rsid w:val="2FA476AD"/>
    <w:rsid w:val="303906B6"/>
    <w:rsid w:val="303F7540"/>
    <w:rsid w:val="307A24E3"/>
    <w:rsid w:val="31DD00BF"/>
    <w:rsid w:val="3293174C"/>
    <w:rsid w:val="32BB38D4"/>
    <w:rsid w:val="32C9376D"/>
    <w:rsid w:val="33780472"/>
    <w:rsid w:val="33AF0905"/>
    <w:rsid w:val="355932F4"/>
    <w:rsid w:val="35611882"/>
    <w:rsid w:val="36746FC3"/>
    <w:rsid w:val="368763AE"/>
    <w:rsid w:val="395D59E7"/>
    <w:rsid w:val="39A93932"/>
    <w:rsid w:val="3A3D572A"/>
    <w:rsid w:val="3A427736"/>
    <w:rsid w:val="3A915562"/>
    <w:rsid w:val="3B8D4765"/>
    <w:rsid w:val="3C000DBA"/>
    <w:rsid w:val="3CDB69FF"/>
    <w:rsid w:val="3DC045D3"/>
    <w:rsid w:val="3E504FFB"/>
    <w:rsid w:val="3E615CD0"/>
    <w:rsid w:val="3E9C47F6"/>
    <w:rsid w:val="3F8B0112"/>
    <w:rsid w:val="3FAB3095"/>
    <w:rsid w:val="3FE45947"/>
    <w:rsid w:val="41242965"/>
    <w:rsid w:val="435671EA"/>
    <w:rsid w:val="440809E9"/>
    <w:rsid w:val="442407A6"/>
    <w:rsid w:val="44805EA1"/>
    <w:rsid w:val="45710696"/>
    <w:rsid w:val="45907CCF"/>
    <w:rsid w:val="46142B1B"/>
    <w:rsid w:val="47E60DD0"/>
    <w:rsid w:val="48735039"/>
    <w:rsid w:val="492C684B"/>
    <w:rsid w:val="49500594"/>
    <w:rsid w:val="49E7604E"/>
    <w:rsid w:val="4BF67CDD"/>
    <w:rsid w:val="4D173441"/>
    <w:rsid w:val="4D603DD6"/>
    <w:rsid w:val="4DA90454"/>
    <w:rsid w:val="4E4A12EF"/>
    <w:rsid w:val="4EBF010F"/>
    <w:rsid w:val="4F471EB0"/>
    <w:rsid w:val="51331326"/>
    <w:rsid w:val="51740A7F"/>
    <w:rsid w:val="51A5541E"/>
    <w:rsid w:val="51C96242"/>
    <w:rsid w:val="51CA7F13"/>
    <w:rsid w:val="53906AE1"/>
    <w:rsid w:val="54F46F60"/>
    <w:rsid w:val="55A37BEA"/>
    <w:rsid w:val="56362CD2"/>
    <w:rsid w:val="5784687B"/>
    <w:rsid w:val="57846959"/>
    <w:rsid w:val="578E6A87"/>
    <w:rsid w:val="58993856"/>
    <w:rsid w:val="5AC2203A"/>
    <w:rsid w:val="5CBB3334"/>
    <w:rsid w:val="5D115FAF"/>
    <w:rsid w:val="62811722"/>
    <w:rsid w:val="62E75A72"/>
    <w:rsid w:val="64571880"/>
    <w:rsid w:val="649125B6"/>
    <w:rsid w:val="6502071E"/>
    <w:rsid w:val="652F4C1A"/>
    <w:rsid w:val="65AC6030"/>
    <w:rsid w:val="666D37F1"/>
    <w:rsid w:val="66C37A39"/>
    <w:rsid w:val="67087D8F"/>
    <w:rsid w:val="671F687E"/>
    <w:rsid w:val="678229A5"/>
    <w:rsid w:val="67F415F8"/>
    <w:rsid w:val="682640D1"/>
    <w:rsid w:val="684B73E5"/>
    <w:rsid w:val="696763D6"/>
    <w:rsid w:val="6A047A2A"/>
    <w:rsid w:val="6EAE4E9B"/>
    <w:rsid w:val="6EFB7548"/>
    <w:rsid w:val="6F3831C3"/>
    <w:rsid w:val="6F8B71C1"/>
    <w:rsid w:val="70753482"/>
    <w:rsid w:val="707B522A"/>
    <w:rsid w:val="70D35332"/>
    <w:rsid w:val="73194D05"/>
    <w:rsid w:val="73A83B0E"/>
    <w:rsid w:val="744D3EF9"/>
    <w:rsid w:val="74794411"/>
    <w:rsid w:val="75867C40"/>
    <w:rsid w:val="75B10B26"/>
    <w:rsid w:val="76432199"/>
    <w:rsid w:val="76F44829"/>
    <w:rsid w:val="77A267C0"/>
    <w:rsid w:val="78882278"/>
    <w:rsid w:val="78B118A6"/>
    <w:rsid w:val="79135044"/>
    <w:rsid w:val="7A7D0F99"/>
    <w:rsid w:val="7C0C5586"/>
    <w:rsid w:val="7CF855ED"/>
    <w:rsid w:val="7E4A0E7C"/>
    <w:rsid w:val="7EFD449D"/>
    <w:rsid w:val="7F497188"/>
    <w:rsid w:val="7FDC1E3F"/>
    <w:rsid w:val="F6B9C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29</Pages>
  <Words>8490</Words>
  <Characters>10337</Characters>
  <Lines>90</Lines>
  <Paragraphs>25</Paragraphs>
  <TotalTime>51</TotalTime>
  <ScaleCrop>false</ScaleCrop>
  <LinksUpToDate>false</LinksUpToDate>
  <CharactersWithSpaces>10585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2023-04-03T15:56:00Z</dcterms:created>
  <dc:creator>管理者</dc:creator>
  <cp:lastModifiedBy>huanghe</cp:lastModifiedBy>
  <cp:lastPrinted>2018-07-24T18:50:00Z</cp:lastPrinted>
  <dcterms:modified xsi:type="dcterms:W3CDTF">2023-05-11T17:12:38Z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CF079FA1BFE64E74B0F029A6D83E0B92_13</vt:lpwstr>
  </property>
</Properties>
</file>