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许昌市财政局</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bookmarkStart w:id="0" w:name="_GoBack"/>
      <w:bookmarkEnd w:id="0"/>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许昌市财政局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许昌市财政局（汇总）</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拟订和执行全市财税发展战略、规划、政策和改革方案并组织实施。研究提出建立完善现代财政制度,运用财政政策促进经济、政治、文化、社会、生态建设的政策措施。</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贯彻执行国家、省制定的财政、税收、财务、会计管理等方面的法律、法规、规章制度。在政府统一领导下,牵头建立政府购买服务工作机制,会同有关部门研究提出相关政策。</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全市财政收支管理工作,承担市级财政收支管理责任。负责编审年度市级财政预算草案并组织执行,受市政府委托向市人民代表大会报告全市和市级财政预算及其执行情况;负责编制全市年度财政决算草案并向市人大常委会报告。组织制定经费开支标准、定额,负责审核批复部门(单位)的年度预决算。建立全面规范、公开透明的预算制度。建立跨年度预算平衡机制。全面推进预算绩效管理工作。</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研究提出完善市县乡级政府之间事权、支出责任、财政收入划分方案的建议,完善转移支付制度。</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负责政府非税收入和政府性基金管理;编制年度市级政府性基金预算草案,汇总年度全市政府性基金预算。按规定管理财政票据;贯彻执行彩票管理政策,按规定管理彩票资金。贯彻执行政府非税收入管理制度。</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组织制定全市财政国库管理制度、国库集中收付制度,指导和监督市级国库业务,按规定开展国库现金管理工作。负责建立权责发生制的政府综合财务报告制度。负责制定政府采购制度,编制市级政府采购预算并监督管理。</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负责管理和监督市级财政行政、政法、教育、科学、文化、体育等支出,研究提出相关财政政策建议;贯彻执行行政事业单位财务管理制度,拟订行政事业单位公务支出标准。</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负责管理和监督市级财政农业、林业、水利、扶贫等支出,研究提出相关财政政策建议;贯彻执行农业综合开发政策和项目、资金、财务管理工作。</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负责监督管理市级财政经济发展支出和环境资源支出,研究提出相关财政政策建议;贯彻执行基本建设财务制度;承担财政投资评审管理工作。</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负责管理和监督市级财政社会保障、就业及医疗卫生支出,贯彻执行社会保障资金(基金)财务管理制度,编制市级社会保障预决算草案。</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负责管理和监督市级财政服务业发展、商业流通、粮食等支出,研究提出相关财政政策建议。贯彻执行商业流通、旅游、粮食、物资、供销企业的财务管理制度;承担有关政策性补贴和专项储备资金财政管理工作。</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在国家规定的权限内,提出地方性税目税率调整和对全市财政影响较大的临时特案减免税的建议。在国家税制改革统一框架下,提出加强地方税体系建设相关建议。</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制定行政事业单位国有资产管理制度,并对执行情况进行监督检查。管理行政事业单位国有资产,制定资产配置标准和相关费用标准,编制市级行政事业单位国有资产购置预算;负责市级事业单位对外投资的审批和监督管理。</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贯彻执行国有资本经营预算制度,编制市级国有资本经营预算,审核和汇总编制全市国有资本经营预决算草案,收取市本级企业国有资本收益,组织实施全市企业财务制度,参与拟订企业国有资产管理相关制度,按规定管理资产评估工作;监督管理公物拍卖。</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承担地方金融类企业国有资产管理的有关工作,贯彻执行地方金融类企业财务管理制度,按规定管理政策性金融业务。贯彻执行地方政策性保险有关政策。代表政府履行出资人对地方金融类企业资产、财务的监管职责。</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贯彻执行国家政府性债务管理政策和制度,建立规范合理的政府债务管理及相关风险预警机制。</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负责管理全市会计工作,监督和规范会计行为,组织实施国家统一的会计制度,指导和监督注册会计师、会计师事务所的业务,指导和管理社会审计工作。</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监督检查财税法规、政策的执行情况,依法查处违法违规行为;反映财政收支管理中的重大问题,提出加强财政管理的政策建议。</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根据市政府授权,依照《中华人民共和国公司法》等法律、法规履行出资人职责,监管市属企业的国有资产,加强国有资产的管理工作。</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承担监督所监管企业国有资产保值增值的责任。建立和完善国有资产保值增值指标体系,通过统计、稽核对所监管企业国有资产的保值增值情况进行监管;负责所监管企业工资分配管理工作,制定所监管企业负责人收入分配办法并组织实施。</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指导推进全市国有企业改革和重组。推进国有企业的现代企业制度建设,完善公司治理结构,推动国有经济布局和结构的战略性调整。</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按照有关规定和出资人职责向所监管企业派出监事会,负责监事会的日常工作。</w:t>
      </w:r>
    </w:p>
    <w:p>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负责企业国有资产基础管理、依法对市国有资产监督管理工作进行指导监督。</w:t>
      </w:r>
    </w:p>
    <w:p>
      <w:pPr>
        <w:numPr>
          <w:ilvl w:val="0"/>
          <w:numId w:val="0"/>
        </w:num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承办市政府交办的其他事项。</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numPr>
          <w:ilvl w:val="0"/>
          <w:numId w:val="0"/>
        </w:num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许昌市财政局内设机构27个，包括：</w:t>
      </w:r>
      <w:r>
        <w:rPr>
          <w:rFonts w:hint="eastAsia" w:ascii="仿宋_GB2312" w:hAnsi="仿宋_GB2312" w:eastAsia="仿宋_GB2312" w:cs="仿宋_GB2312"/>
          <w:sz w:val="32"/>
          <w:szCs w:val="32"/>
        </w:rPr>
        <w:t>办公室、机关党委、人事教育科、综合科(清理规范津贴补贴办公室)、预算科、国库科、行政群团科，政法科、教科文科、经济建设科、农业农村科、社会保障科、政府采购监督管理办公室、税政科(条法科)、债务科、企业科、金融贸易科、会计科、行政事业资产管理科、财政监督科、生态环境科、基层财政管理科、综合治税办公室、国有资产监督管理办公室、产权管理科、政务服务科，离退休干部工作科。</w:t>
      </w:r>
    </w:p>
    <w:p>
      <w:pPr>
        <w:numPr>
          <w:ilvl w:val="0"/>
          <w:numId w:val="0"/>
        </w:numPr>
        <w:adjustRightInd w:val="0"/>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从决算单位构成看，许昌市财政局部门决算包括：本级决算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、所属单位决算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8个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numPr>
          <w:ilvl w:val="0"/>
          <w:numId w:val="0"/>
        </w:numPr>
        <w:adjustRightInd w:val="0"/>
        <w:snapToGrid w:val="0"/>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本决算为汇总决算，纳入本部门202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年度部门决算编制范围的单位共9个，其中二级预算单位</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个，具体是：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1.许昌市财政局（本级）</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szCs w:val="32"/>
        </w:rPr>
        <w:t>许昌市财政局机关服务中心</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sz w:val="32"/>
          <w:szCs w:val="32"/>
        </w:rPr>
        <w:t>许昌市会计委派管理中心</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sz w:val="32"/>
          <w:szCs w:val="32"/>
        </w:rPr>
        <w:t>许昌市非税收入管理处</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5.许昌市</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财政国库支付中心</w:t>
      </w:r>
    </w:p>
    <w:p>
      <w:pPr>
        <w:pStyle w:val="2"/>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许昌市财政干部教育中心</w:t>
      </w:r>
    </w:p>
    <w:p>
      <w:pPr>
        <w:pStyle w:val="2"/>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许昌市财政投资评审中心</w:t>
      </w:r>
    </w:p>
    <w:p>
      <w:pPr>
        <w:pStyle w:val="2"/>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许昌市注册会计师协会</w:t>
      </w:r>
    </w:p>
    <w:p>
      <w:pPr>
        <w:pStyle w:val="2"/>
        <w:numPr>
          <w:ilvl w:val="0"/>
          <w:numId w:val="0"/>
        </w:numPr>
        <w:ind w:firstLine="640" w:firstLineChars="200"/>
        <w:rPr>
          <w:rFonts w:hint="eastAsia" w:ascii="仿宋_GB2312" w:hAnsi="仿宋_GB2312" w:eastAsia="仿宋_GB2312" w:cs="仿宋_GB2312"/>
          <w:sz w:val="32"/>
          <w:szCs w:val="32"/>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许昌市财政信息中心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8"/>
        <w:gridCol w:w="849"/>
        <w:gridCol w:w="1542"/>
        <w:gridCol w:w="4553"/>
        <w:gridCol w:w="850"/>
        <w:gridCol w:w="1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174" w:type="dxa"/>
            <w:gridSpan w:val="6"/>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838" w:type="dxa"/>
            <w:tcBorders>
              <w:top w:val="nil"/>
              <w:left w:val="nil"/>
              <w:bottom w:val="nil"/>
              <w:right w:val="nil"/>
            </w:tcBorders>
            <w:noWrap w:val="0"/>
            <w:vAlign w:val="bottom"/>
          </w:tcPr>
          <w:p>
            <w:pPr>
              <w:rPr>
                <w:rFonts w:hint="eastAsia" w:ascii="Arial" w:hAnsi="Arial" w:cs="Arial"/>
                <w:i w:val="0"/>
                <w:color w:val="000000"/>
                <w:sz w:val="20"/>
                <w:szCs w:val="20"/>
                <w:u w:val="none"/>
              </w:rPr>
            </w:pPr>
          </w:p>
        </w:tc>
        <w:tc>
          <w:tcPr>
            <w:tcW w:w="849"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542"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6945"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838" w:type="dxa"/>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部门：许昌市财政局</w:t>
            </w:r>
          </w:p>
        </w:tc>
        <w:tc>
          <w:tcPr>
            <w:tcW w:w="849"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542"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6945"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694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54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54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49"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4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4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4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3,745.03</w:t>
            </w: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54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54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54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0"/>
                <w:szCs w:val="20"/>
                <w:u w:val="none"/>
              </w:rPr>
            </w:pP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0"/>
                <w:szCs w:val="20"/>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54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3,745.03</w:t>
            </w: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54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54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1,052.66</w:t>
            </w: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4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542"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4553"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542"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3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49"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54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4,797.69</w:t>
            </w:r>
          </w:p>
        </w:tc>
        <w:tc>
          <w:tcPr>
            <w:tcW w:w="455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542"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6"/>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567" w:right="1440" w:bottom="283" w:left="1440" w:header="720" w:footer="720" w:gutter="0"/>
          <w:paperSrc/>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9"/>
        <w:gridCol w:w="408"/>
        <w:gridCol w:w="611"/>
        <w:gridCol w:w="4641"/>
        <w:gridCol w:w="1658"/>
        <w:gridCol w:w="1658"/>
        <w:gridCol w:w="958"/>
        <w:gridCol w:w="958"/>
        <w:gridCol w:w="958"/>
        <w:gridCol w:w="959"/>
        <w:gridCol w:w="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174" w:type="dxa"/>
            <w:gridSpan w:val="11"/>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9" w:type="dxa"/>
            <w:tcBorders>
              <w:top w:val="nil"/>
              <w:left w:val="nil"/>
              <w:bottom w:val="nil"/>
              <w:right w:val="nil"/>
            </w:tcBorders>
            <w:noWrap w:val="0"/>
            <w:vAlign w:val="bottom"/>
          </w:tcPr>
          <w:p>
            <w:pPr>
              <w:rPr>
                <w:rFonts w:hint="eastAsia" w:ascii="Arial" w:hAnsi="Arial" w:cs="Arial"/>
                <w:i w:val="0"/>
                <w:color w:val="000000"/>
                <w:sz w:val="20"/>
                <w:szCs w:val="20"/>
                <w:u w:val="none"/>
              </w:rPr>
            </w:pPr>
          </w:p>
        </w:tc>
        <w:tc>
          <w:tcPr>
            <w:tcW w:w="408"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611"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4641"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658"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658"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958"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3831"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727" w:type="dxa"/>
            <w:gridSpan w:val="5"/>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部门：许昌市财政局</w:t>
            </w:r>
          </w:p>
        </w:tc>
        <w:tc>
          <w:tcPr>
            <w:tcW w:w="1658"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958"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3831"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6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5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65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95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95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95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95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95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6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6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6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5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95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69"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69"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3,745.03</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3,745.03</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3,052.37</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3,052.37</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3,037.77</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3,037.77</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2,351.50</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2,351.50</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2010602</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28.82</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28.82</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2010603</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机关服务</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128.84</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128.84</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2010607</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信息化建设</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79.20</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79.20</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2010650</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449.40</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449.40</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551.82</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551.82</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511.05</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511.05</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352.26</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352.26</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14.09</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14.09</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144.71</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144.71</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40.76</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40.76</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40.76</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40.76</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140.84</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140.84</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140.84</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140.84</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59.32</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59.32</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16.40</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16.40</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8"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65.12</w:t>
            </w:r>
          </w:p>
        </w:tc>
        <w:tc>
          <w:tcPr>
            <w:tcW w:w="16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65.12</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1"/>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567" w:right="1440" w:bottom="0" w:left="1440" w:header="720" w:footer="720" w:gutter="0"/>
          <w:paperSrc/>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6"/>
        <w:gridCol w:w="406"/>
        <w:gridCol w:w="415"/>
        <w:gridCol w:w="4828"/>
        <w:gridCol w:w="1628"/>
        <w:gridCol w:w="1628"/>
        <w:gridCol w:w="1525"/>
        <w:gridCol w:w="1110"/>
        <w:gridCol w:w="1110"/>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174" w:type="dxa"/>
            <w:gridSpan w:val="10"/>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6" w:type="dxa"/>
            <w:tcBorders>
              <w:top w:val="nil"/>
              <w:left w:val="nil"/>
              <w:bottom w:val="nil"/>
              <w:right w:val="nil"/>
            </w:tcBorders>
            <w:noWrap w:val="0"/>
            <w:vAlign w:val="bottom"/>
          </w:tcPr>
          <w:p>
            <w:pPr>
              <w:rPr>
                <w:rFonts w:hint="eastAsia" w:ascii="Arial" w:hAnsi="Arial" w:cs="Arial"/>
                <w:i w:val="0"/>
                <w:color w:val="000000"/>
                <w:sz w:val="20"/>
                <w:szCs w:val="20"/>
                <w:u w:val="none"/>
              </w:rPr>
            </w:pPr>
          </w:p>
        </w:tc>
        <w:tc>
          <w:tcPr>
            <w:tcW w:w="406"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415"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4828"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628"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628"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4863"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311" w:type="dxa"/>
            <w:gridSpan w:val="6"/>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部门：许昌市财政局</w:t>
            </w:r>
          </w:p>
        </w:tc>
        <w:tc>
          <w:tcPr>
            <w:tcW w:w="4863"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5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2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62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5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1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1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11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8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8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48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2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5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1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5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55"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4,797.69</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4,155.65</w:t>
            </w:r>
          </w:p>
        </w:tc>
        <w:tc>
          <w:tcPr>
            <w:tcW w:w="15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642.03</w:t>
            </w: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4,062.24</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3,420.21</w:t>
            </w:r>
          </w:p>
        </w:tc>
        <w:tc>
          <w:tcPr>
            <w:tcW w:w="15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642.03</w:t>
            </w: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4,047.64</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3,405.61</w:t>
            </w:r>
          </w:p>
        </w:tc>
        <w:tc>
          <w:tcPr>
            <w:tcW w:w="15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642.03</w:t>
            </w: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2,704.46</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2,704.46</w:t>
            </w:r>
          </w:p>
        </w:tc>
        <w:tc>
          <w:tcPr>
            <w:tcW w:w="15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2010602</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259.14</w:t>
            </w:r>
          </w:p>
        </w:tc>
        <w:tc>
          <w:tcPr>
            <w:tcW w:w="16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259.14</w:t>
            </w: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2010603</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机关服务</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149.20</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149.20</w:t>
            </w:r>
          </w:p>
        </w:tc>
        <w:tc>
          <w:tcPr>
            <w:tcW w:w="15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2010607</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信息化建设</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148.47</w:t>
            </w:r>
          </w:p>
        </w:tc>
        <w:tc>
          <w:tcPr>
            <w:tcW w:w="16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148.47</w:t>
            </w: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2010650</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551.95</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551.95</w:t>
            </w:r>
          </w:p>
        </w:tc>
        <w:tc>
          <w:tcPr>
            <w:tcW w:w="15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2010699</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234.42</w:t>
            </w:r>
          </w:p>
        </w:tc>
        <w:tc>
          <w:tcPr>
            <w:tcW w:w="16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52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234.42</w:t>
            </w: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w:t>
            </w:r>
          </w:p>
        </w:tc>
        <w:tc>
          <w:tcPr>
            <w:tcW w:w="15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w:t>
            </w:r>
          </w:p>
        </w:tc>
        <w:tc>
          <w:tcPr>
            <w:tcW w:w="15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577.41</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577.41</w:t>
            </w:r>
          </w:p>
        </w:tc>
        <w:tc>
          <w:tcPr>
            <w:tcW w:w="15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536.15</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536.15</w:t>
            </w:r>
          </w:p>
        </w:tc>
        <w:tc>
          <w:tcPr>
            <w:tcW w:w="15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354.55</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354.55</w:t>
            </w:r>
          </w:p>
        </w:tc>
        <w:tc>
          <w:tcPr>
            <w:tcW w:w="15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14.73</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14.73</w:t>
            </w:r>
          </w:p>
        </w:tc>
        <w:tc>
          <w:tcPr>
            <w:tcW w:w="15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166.87</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166.87</w:t>
            </w:r>
          </w:p>
        </w:tc>
        <w:tc>
          <w:tcPr>
            <w:tcW w:w="15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41.26</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41.26</w:t>
            </w:r>
          </w:p>
        </w:tc>
        <w:tc>
          <w:tcPr>
            <w:tcW w:w="15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41.26</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41.26</w:t>
            </w:r>
          </w:p>
        </w:tc>
        <w:tc>
          <w:tcPr>
            <w:tcW w:w="15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158.04</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158.04</w:t>
            </w:r>
          </w:p>
        </w:tc>
        <w:tc>
          <w:tcPr>
            <w:tcW w:w="15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158.04</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158.04</w:t>
            </w:r>
          </w:p>
        </w:tc>
        <w:tc>
          <w:tcPr>
            <w:tcW w:w="15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63.83</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63.83</w:t>
            </w:r>
          </w:p>
        </w:tc>
        <w:tc>
          <w:tcPr>
            <w:tcW w:w="15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19.86</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19.86</w:t>
            </w:r>
          </w:p>
        </w:tc>
        <w:tc>
          <w:tcPr>
            <w:tcW w:w="15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482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74.36</w:t>
            </w:r>
          </w:p>
        </w:tc>
        <w:tc>
          <w:tcPr>
            <w:tcW w:w="162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74.36</w:t>
            </w:r>
          </w:p>
        </w:tc>
        <w:tc>
          <w:tcPr>
            <w:tcW w:w="152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1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0"/>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567" w:right="1440" w:bottom="283" w:left="1440" w:header="720" w:footer="720" w:gutter="0"/>
          <w:paperSrc/>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18"/>
        <w:gridCol w:w="601"/>
        <w:gridCol w:w="1191"/>
        <w:gridCol w:w="3983"/>
        <w:gridCol w:w="601"/>
        <w:gridCol w:w="1191"/>
        <w:gridCol w:w="1191"/>
        <w:gridCol w:w="845"/>
        <w:gridCol w:w="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174"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18" w:type="dxa"/>
            <w:tcBorders>
              <w:top w:val="nil"/>
              <w:left w:val="nil"/>
              <w:bottom w:val="nil"/>
              <w:right w:val="nil"/>
            </w:tcBorders>
            <w:noWrap w:val="0"/>
            <w:vAlign w:val="bottom"/>
          </w:tcPr>
          <w:p>
            <w:pPr>
              <w:rPr>
                <w:rFonts w:hint="eastAsia" w:ascii="Arial" w:hAnsi="Arial" w:cs="Arial"/>
                <w:i w:val="0"/>
                <w:color w:val="000000"/>
                <w:sz w:val="20"/>
                <w:szCs w:val="20"/>
                <w:u w:val="none"/>
              </w:rPr>
            </w:pPr>
          </w:p>
        </w:tc>
        <w:tc>
          <w:tcPr>
            <w:tcW w:w="601"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191"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3983"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601"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4080"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493" w:type="dxa"/>
            <w:gridSpan w:val="4"/>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部门：许昌市财政局</w:t>
            </w:r>
          </w:p>
        </w:tc>
        <w:tc>
          <w:tcPr>
            <w:tcW w:w="601"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4080"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1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664"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71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0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19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9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0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19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9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8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85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71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60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39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60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8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85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01"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01"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5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3,745.03</w:t>
            </w: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4,062.17</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4,062.17</w:t>
            </w: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三、国有资本经营财政拨款</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577.41</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577.41</w:t>
            </w: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158.04</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158.04</w:t>
            </w: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0"/>
                <w:szCs w:val="20"/>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3,745.03</w:t>
            </w: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4,797.61</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4,797.61</w:t>
            </w: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1,052.58</w:t>
            </w: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1,052.58</w:t>
            </w:r>
          </w:p>
        </w:tc>
        <w:tc>
          <w:tcPr>
            <w:tcW w:w="3983"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3983"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1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1" w:type="dxa"/>
            <w:tcBorders>
              <w:top w:val="nil"/>
              <w:left w:val="nil"/>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4,797.61</w:t>
            </w:r>
          </w:p>
        </w:tc>
        <w:tc>
          <w:tcPr>
            <w:tcW w:w="3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4,797.61</w:t>
            </w:r>
          </w:p>
        </w:tc>
        <w:tc>
          <w:tcPr>
            <w:tcW w:w="119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4,797.61</w:t>
            </w:r>
          </w:p>
        </w:tc>
        <w:tc>
          <w:tcPr>
            <w:tcW w:w="8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853"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74"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567" w:right="1440" w:bottom="283" w:left="1440" w:header="720" w:footer="720" w:gutter="0"/>
          <w:paperSrc/>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7"/>
        <w:gridCol w:w="407"/>
        <w:gridCol w:w="413"/>
        <w:gridCol w:w="5983"/>
        <w:gridCol w:w="2361"/>
        <w:gridCol w:w="2358"/>
        <w:gridCol w:w="2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174" w:type="dxa"/>
            <w:gridSpan w:val="7"/>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7" w:type="dxa"/>
            <w:tcBorders>
              <w:top w:val="nil"/>
              <w:left w:val="nil"/>
              <w:bottom w:val="nil"/>
              <w:right w:val="nil"/>
            </w:tcBorders>
            <w:noWrap w:val="0"/>
            <w:vAlign w:val="bottom"/>
          </w:tcPr>
          <w:p>
            <w:pPr>
              <w:rPr>
                <w:rFonts w:hint="eastAsia" w:ascii="Arial" w:hAnsi="Arial" w:cs="Arial"/>
                <w:i w:val="0"/>
                <w:color w:val="000000"/>
                <w:sz w:val="20"/>
                <w:szCs w:val="20"/>
                <w:u w:val="none"/>
              </w:rPr>
            </w:pPr>
          </w:p>
        </w:tc>
        <w:tc>
          <w:tcPr>
            <w:tcW w:w="407"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413"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5983"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2361"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4603"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571" w:type="dxa"/>
            <w:gridSpan w:val="5"/>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部门：许昌市财政局</w:t>
            </w:r>
          </w:p>
        </w:tc>
        <w:tc>
          <w:tcPr>
            <w:tcW w:w="4603"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964"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59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6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35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2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22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9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3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35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2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59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3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35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2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10"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4,797.61</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4,155.58</w:t>
            </w:r>
          </w:p>
        </w:tc>
        <w:tc>
          <w:tcPr>
            <w:tcW w:w="2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642.03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4,062.17</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3,420.13</w:t>
            </w:r>
          </w:p>
        </w:tc>
        <w:tc>
          <w:tcPr>
            <w:tcW w:w="2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4,047.57</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3,405.53</w:t>
            </w:r>
          </w:p>
        </w:tc>
        <w:tc>
          <w:tcPr>
            <w:tcW w:w="2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2,704.39</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2,704.39</w:t>
            </w:r>
          </w:p>
        </w:tc>
        <w:tc>
          <w:tcPr>
            <w:tcW w:w="2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2010602</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259.14</w:t>
            </w:r>
          </w:p>
        </w:tc>
        <w:tc>
          <w:tcPr>
            <w:tcW w:w="23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2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2010603</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机关服务</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149.20</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149.20</w:t>
            </w:r>
          </w:p>
        </w:tc>
        <w:tc>
          <w:tcPr>
            <w:tcW w:w="2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2010607</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信息化建设</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148.47</w:t>
            </w:r>
          </w:p>
        </w:tc>
        <w:tc>
          <w:tcPr>
            <w:tcW w:w="23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2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2010650</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事业运行</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551.95</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551.95</w:t>
            </w:r>
          </w:p>
        </w:tc>
        <w:tc>
          <w:tcPr>
            <w:tcW w:w="2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2010699</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其他财政事务支出</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234.42</w:t>
            </w:r>
          </w:p>
        </w:tc>
        <w:tc>
          <w:tcPr>
            <w:tcW w:w="235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2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w:t>
            </w:r>
          </w:p>
        </w:tc>
        <w:tc>
          <w:tcPr>
            <w:tcW w:w="2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14.60</w:t>
            </w:r>
          </w:p>
        </w:tc>
        <w:tc>
          <w:tcPr>
            <w:tcW w:w="2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577.41</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577.41</w:t>
            </w:r>
          </w:p>
        </w:tc>
        <w:tc>
          <w:tcPr>
            <w:tcW w:w="2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536.15</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536.15</w:t>
            </w:r>
          </w:p>
        </w:tc>
        <w:tc>
          <w:tcPr>
            <w:tcW w:w="2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354.55</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354.55</w:t>
            </w:r>
          </w:p>
        </w:tc>
        <w:tc>
          <w:tcPr>
            <w:tcW w:w="2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14.73</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14.73</w:t>
            </w:r>
          </w:p>
        </w:tc>
        <w:tc>
          <w:tcPr>
            <w:tcW w:w="2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166.87</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166.87</w:t>
            </w:r>
          </w:p>
        </w:tc>
        <w:tc>
          <w:tcPr>
            <w:tcW w:w="2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41.26</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41.26</w:t>
            </w:r>
          </w:p>
        </w:tc>
        <w:tc>
          <w:tcPr>
            <w:tcW w:w="2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死亡抚恤</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41.26</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41.26</w:t>
            </w:r>
          </w:p>
        </w:tc>
        <w:tc>
          <w:tcPr>
            <w:tcW w:w="2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158.04</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158.04</w:t>
            </w:r>
          </w:p>
        </w:tc>
        <w:tc>
          <w:tcPr>
            <w:tcW w:w="2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158.04</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158.04</w:t>
            </w:r>
          </w:p>
        </w:tc>
        <w:tc>
          <w:tcPr>
            <w:tcW w:w="2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63.83</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63.83</w:t>
            </w:r>
          </w:p>
        </w:tc>
        <w:tc>
          <w:tcPr>
            <w:tcW w:w="2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19.86</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19.86</w:t>
            </w:r>
          </w:p>
        </w:tc>
        <w:tc>
          <w:tcPr>
            <w:tcW w:w="2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5983"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361"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74.36</w:t>
            </w:r>
          </w:p>
        </w:tc>
        <w:tc>
          <w:tcPr>
            <w:tcW w:w="2358"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74.36</w:t>
            </w:r>
          </w:p>
        </w:tc>
        <w:tc>
          <w:tcPr>
            <w:tcW w:w="224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7"/>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567" w:right="1440" w:bottom="283" w:left="1440" w:header="720" w:footer="720" w:gutter="0"/>
          <w:paperSrc/>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2508"/>
        <w:gridCol w:w="1355"/>
        <w:gridCol w:w="861"/>
        <w:gridCol w:w="1"/>
        <w:gridCol w:w="2508"/>
        <w:gridCol w:w="1"/>
        <w:gridCol w:w="1353"/>
        <w:gridCol w:w="1"/>
        <w:gridCol w:w="861"/>
        <w:gridCol w:w="1"/>
        <w:gridCol w:w="2508"/>
        <w:gridCol w:w="13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174" w:type="dxa"/>
            <w:gridSpan w:val="13"/>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62" w:type="dxa"/>
            <w:tcBorders>
              <w:top w:val="nil"/>
              <w:left w:val="nil"/>
              <w:bottom w:val="nil"/>
              <w:right w:val="nil"/>
            </w:tcBorders>
            <w:noWrap w:val="0"/>
            <w:vAlign w:val="bottom"/>
          </w:tcPr>
          <w:p>
            <w:pPr>
              <w:rPr>
                <w:rFonts w:hint="eastAsia" w:ascii="Arial" w:hAnsi="Arial" w:cs="Arial"/>
                <w:i w:val="0"/>
                <w:color w:val="000000"/>
                <w:sz w:val="20"/>
                <w:szCs w:val="20"/>
                <w:u w:val="none"/>
              </w:rPr>
            </w:pPr>
          </w:p>
        </w:tc>
        <w:tc>
          <w:tcPr>
            <w:tcW w:w="2508"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355"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861"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2509" w:type="dxa"/>
            <w:gridSpan w:val="2"/>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354" w:type="dxa"/>
            <w:gridSpan w:val="2"/>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862" w:type="dxa"/>
            <w:gridSpan w:val="2"/>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3863"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25" w:type="dxa"/>
            <w:gridSpan w:val="3"/>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部门：许昌市财政局</w:t>
            </w:r>
          </w:p>
        </w:tc>
        <w:tc>
          <w:tcPr>
            <w:tcW w:w="861"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2509" w:type="dxa"/>
            <w:gridSpan w:val="2"/>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354" w:type="dxa"/>
            <w:gridSpan w:val="2"/>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862" w:type="dxa"/>
            <w:gridSpan w:val="2"/>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3863"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9449" w:type="dxa"/>
            <w:gridSpan w:val="10"/>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5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862"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509"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54"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862"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50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5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5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862"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509"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54"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862"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50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35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工资福利支出</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3,291.72</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商品和服务支出</w:t>
            </w:r>
          </w:p>
        </w:tc>
        <w:tc>
          <w:tcPr>
            <w:tcW w:w="13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433.33</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债务利息及费用支出</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860.76</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13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63.36</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30701</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国内债务付息</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764.93</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印刷费</w:t>
            </w:r>
          </w:p>
        </w:tc>
        <w:tc>
          <w:tcPr>
            <w:tcW w:w="13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17.91</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30702</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国外债务付息</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947.76</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30203</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咨询费</w:t>
            </w:r>
          </w:p>
        </w:tc>
        <w:tc>
          <w:tcPr>
            <w:tcW w:w="13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资本性支出</w:t>
            </w:r>
          </w:p>
        </w:tc>
        <w:tc>
          <w:tcPr>
            <w:tcW w:w="13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30106</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伙食补助费</w:t>
            </w:r>
          </w:p>
        </w:tc>
        <w:tc>
          <w:tcPr>
            <w:tcW w:w="13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30204</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手续费</w:t>
            </w:r>
          </w:p>
        </w:tc>
        <w:tc>
          <w:tcPr>
            <w:tcW w:w="1354"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31001</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11.74</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水费</w:t>
            </w:r>
          </w:p>
        </w:tc>
        <w:tc>
          <w:tcPr>
            <w:tcW w:w="1354"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办公设备购置</w:t>
            </w:r>
          </w:p>
        </w:tc>
        <w:tc>
          <w:tcPr>
            <w:tcW w:w="13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171.81</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电费</w:t>
            </w:r>
          </w:p>
        </w:tc>
        <w:tc>
          <w:tcPr>
            <w:tcW w:w="1354"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31003</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专用设备购置</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职业年金缴费</w:t>
            </w:r>
          </w:p>
        </w:tc>
        <w:tc>
          <w:tcPr>
            <w:tcW w:w="13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邮电费</w:t>
            </w:r>
          </w:p>
        </w:tc>
        <w:tc>
          <w:tcPr>
            <w:tcW w:w="13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7.71</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31005</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基础设施建设</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30110</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职工基本医疗保险缴费</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83.72</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30208</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取暖费</w:t>
            </w:r>
          </w:p>
        </w:tc>
        <w:tc>
          <w:tcPr>
            <w:tcW w:w="13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19.71</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31006</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大型修缮</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30111</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公务员医疗补助缴费</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72.22</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30209</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物业管理费</w:t>
            </w:r>
          </w:p>
        </w:tc>
        <w:tc>
          <w:tcPr>
            <w:tcW w:w="13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86.03</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31007</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30112</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2.27</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差旅费</w:t>
            </w:r>
          </w:p>
        </w:tc>
        <w:tc>
          <w:tcPr>
            <w:tcW w:w="13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30.18</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31008</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物资储备</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30113</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217.04</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30212</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因公出国（境）费用</w:t>
            </w:r>
          </w:p>
        </w:tc>
        <w:tc>
          <w:tcPr>
            <w:tcW w:w="1354"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31009</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土地补偿</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30114</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医疗费</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维修（护）费</w:t>
            </w:r>
          </w:p>
        </w:tc>
        <w:tc>
          <w:tcPr>
            <w:tcW w:w="13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13.54</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安置补助</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149.47</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30214</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租赁费</w:t>
            </w:r>
          </w:p>
        </w:tc>
        <w:tc>
          <w:tcPr>
            <w:tcW w:w="1354"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31011</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地上附着物和青苗补偿</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对个人和家庭的补助</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410.58</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会议费</w:t>
            </w:r>
          </w:p>
        </w:tc>
        <w:tc>
          <w:tcPr>
            <w:tcW w:w="13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0.51</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31012</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拆迁补偿</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30301</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离休费</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56.16</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培训费</w:t>
            </w:r>
          </w:p>
        </w:tc>
        <w:tc>
          <w:tcPr>
            <w:tcW w:w="13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31013</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公务用车购置</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退休费</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301.06</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13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0.49</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31019</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30303</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退职（役）费</w:t>
            </w:r>
          </w:p>
        </w:tc>
        <w:tc>
          <w:tcPr>
            <w:tcW w:w="13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30218</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专用材料费</w:t>
            </w:r>
          </w:p>
        </w:tc>
        <w:tc>
          <w:tcPr>
            <w:tcW w:w="1354"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31021</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文物和陈列品购置</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30304</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抚恤金</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40.76</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30224</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被装购置费</w:t>
            </w:r>
          </w:p>
        </w:tc>
        <w:tc>
          <w:tcPr>
            <w:tcW w:w="1354"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31022</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无形资产购置</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30305</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生活补助</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4.62</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30225</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专用燃料费</w:t>
            </w:r>
          </w:p>
        </w:tc>
        <w:tc>
          <w:tcPr>
            <w:tcW w:w="1354"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31099</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其他资本性支出</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30306</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救济费</w:t>
            </w:r>
          </w:p>
        </w:tc>
        <w:tc>
          <w:tcPr>
            <w:tcW w:w="13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30226</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劳务费</w:t>
            </w:r>
          </w:p>
        </w:tc>
        <w:tc>
          <w:tcPr>
            <w:tcW w:w="13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4.49</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30307</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医疗费补助</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7.92</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委托业务费</w:t>
            </w:r>
          </w:p>
        </w:tc>
        <w:tc>
          <w:tcPr>
            <w:tcW w:w="1354"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39906</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赠与</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30308</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助学金</w:t>
            </w:r>
          </w:p>
        </w:tc>
        <w:tc>
          <w:tcPr>
            <w:tcW w:w="13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13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14.60</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39907</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国家赔偿费用支出</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奖励金</w:t>
            </w:r>
          </w:p>
        </w:tc>
        <w:tc>
          <w:tcPr>
            <w:tcW w:w="13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13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22.07</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39908</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对民间非营利组织和群众性自治组织补贴</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30310</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个人农业生产补贴</w:t>
            </w:r>
          </w:p>
        </w:tc>
        <w:tc>
          <w:tcPr>
            <w:tcW w:w="13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30231</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13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12.86</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39999</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其他支出</w:t>
            </w: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30311</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代缴社会保险费</w:t>
            </w:r>
          </w:p>
        </w:tc>
        <w:tc>
          <w:tcPr>
            <w:tcW w:w="13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30239</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其他交通费用</w:t>
            </w:r>
          </w:p>
        </w:tc>
        <w:tc>
          <w:tcPr>
            <w:tcW w:w="13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122.19</w:t>
            </w:r>
          </w:p>
        </w:tc>
        <w:tc>
          <w:tcPr>
            <w:tcW w:w="862" w:type="dxa"/>
            <w:gridSpan w:val="2"/>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250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2508"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其他对个人和家庭的补助</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0.06</w:t>
            </w: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30240</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税金及附加费用</w:t>
            </w:r>
          </w:p>
        </w:tc>
        <w:tc>
          <w:tcPr>
            <w:tcW w:w="1354" w:type="dxa"/>
            <w:gridSpan w:val="2"/>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c>
          <w:tcPr>
            <w:tcW w:w="862" w:type="dxa"/>
            <w:gridSpan w:val="2"/>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250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2"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250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1355"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c>
          <w:tcPr>
            <w:tcW w:w="862"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2509"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135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11.68</w:t>
            </w:r>
          </w:p>
        </w:tc>
        <w:tc>
          <w:tcPr>
            <w:tcW w:w="862" w:type="dxa"/>
            <w:gridSpan w:val="2"/>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2508"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u w:val="none"/>
              </w:rPr>
            </w:pPr>
          </w:p>
        </w:tc>
        <w:tc>
          <w:tcPr>
            <w:tcW w:w="135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70"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人员经费合计</w:t>
            </w:r>
          </w:p>
        </w:tc>
        <w:tc>
          <w:tcPr>
            <w:tcW w:w="1355"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3,702.31</w:t>
            </w:r>
          </w:p>
        </w:tc>
        <w:tc>
          <w:tcPr>
            <w:tcW w:w="8095" w:type="dxa"/>
            <w:gridSpan w:val="9"/>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公用经费合计</w:t>
            </w:r>
          </w:p>
        </w:tc>
        <w:tc>
          <w:tcPr>
            <w:tcW w:w="1354" w:type="dxa"/>
            <w:tcBorders>
              <w:top w:val="nil"/>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567" w:right="1440" w:bottom="283" w:left="1440" w:header="720" w:footer="720" w:gutter="0"/>
          <w:paperSrc/>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4"/>
        <w:gridCol w:w="1164"/>
        <w:gridCol w:w="1164"/>
        <w:gridCol w:w="1170"/>
        <w:gridCol w:w="1164"/>
        <w:gridCol w:w="1167"/>
        <w:gridCol w:w="1164"/>
        <w:gridCol w:w="1164"/>
        <w:gridCol w:w="1164"/>
        <w:gridCol w:w="1164"/>
        <w:gridCol w:w="1168"/>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93" w:type="dxa"/>
            <w:gridSpan w:val="12"/>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64" w:type="dxa"/>
            <w:tcBorders>
              <w:top w:val="nil"/>
              <w:left w:val="nil"/>
              <w:bottom w:val="nil"/>
              <w:right w:val="nil"/>
            </w:tcBorders>
            <w:noWrap w:val="0"/>
            <w:vAlign w:val="bottom"/>
          </w:tcPr>
          <w:p>
            <w:pPr>
              <w:rPr>
                <w:rFonts w:hint="eastAsia" w:ascii="Arial" w:hAnsi="Arial" w:cs="Arial"/>
                <w:i w:val="0"/>
                <w:color w:val="000000"/>
                <w:sz w:val="20"/>
                <w:szCs w:val="20"/>
                <w:u w:val="none"/>
              </w:rPr>
            </w:pPr>
          </w:p>
        </w:tc>
        <w:tc>
          <w:tcPr>
            <w:tcW w:w="1164"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164"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170"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164"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167"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164"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164"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164"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3508"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62" w:type="dxa"/>
            <w:gridSpan w:val="4"/>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部门：许昌市财政局</w:t>
            </w:r>
          </w:p>
        </w:tc>
        <w:tc>
          <w:tcPr>
            <w:tcW w:w="1164"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167"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164"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164"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4672" w:type="dxa"/>
            <w:gridSpan w:val="4"/>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9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00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49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16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1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6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496"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1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6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1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6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1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1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64"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19.25</w:t>
            </w:r>
          </w:p>
        </w:tc>
        <w:tc>
          <w:tcPr>
            <w:tcW w:w="1164"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1170"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11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w:t>
            </w: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13.35</w:t>
            </w:r>
          </w:p>
        </w:tc>
        <w:tc>
          <w:tcPr>
            <w:tcW w:w="1164"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12.86</w:t>
            </w:r>
          </w:p>
        </w:tc>
        <w:tc>
          <w:tcPr>
            <w:tcW w:w="1164" w:type="dxa"/>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16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12.86</w:t>
            </w:r>
          </w:p>
        </w:tc>
        <w:tc>
          <w:tcPr>
            <w:tcW w:w="117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93"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0"/>
        <w:gridCol w:w="587"/>
        <w:gridCol w:w="907"/>
        <w:gridCol w:w="2234"/>
        <w:gridCol w:w="1641"/>
        <w:gridCol w:w="1639"/>
        <w:gridCol w:w="1639"/>
        <w:gridCol w:w="1639"/>
        <w:gridCol w:w="1644"/>
        <w:gridCol w:w="1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174" w:type="dxa"/>
            <w:gridSpan w:val="10"/>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80" w:type="dxa"/>
            <w:tcBorders>
              <w:top w:val="nil"/>
              <w:left w:val="nil"/>
              <w:bottom w:val="nil"/>
              <w:right w:val="nil"/>
            </w:tcBorders>
            <w:noWrap w:val="0"/>
            <w:vAlign w:val="bottom"/>
          </w:tcPr>
          <w:p>
            <w:pPr>
              <w:rPr>
                <w:rFonts w:hint="eastAsia" w:ascii="Arial" w:hAnsi="Arial" w:cs="Arial"/>
                <w:i w:val="0"/>
                <w:color w:val="000000"/>
                <w:sz w:val="20"/>
                <w:szCs w:val="20"/>
                <w:u w:val="none"/>
              </w:rPr>
            </w:pPr>
          </w:p>
        </w:tc>
        <w:tc>
          <w:tcPr>
            <w:tcW w:w="587"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907"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2234"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641"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639"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639"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4947"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49" w:type="dxa"/>
            <w:gridSpan w:val="5"/>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部门：许昌市财政局</w:t>
            </w:r>
          </w:p>
        </w:tc>
        <w:tc>
          <w:tcPr>
            <w:tcW w:w="1639"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1639" w:type="dxa"/>
            <w:tcBorders>
              <w:top w:val="nil"/>
              <w:left w:val="nil"/>
              <w:bottom w:val="nil"/>
              <w:right w:val="nil"/>
            </w:tcBorders>
            <w:noWrap w:val="0"/>
            <w:vAlign w:val="bottom"/>
          </w:tcPr>
          <w:p>
            <w:pPr>
              <w:rPr>
                <w:rFonts w:hint="default" w:ascii="Arial" w:hAnsi="Arial" w:cs="Arial"/>
                <w:i w:val="0"/>
                <w:color w:val="000000"/>
                <w:sz w:val="20"/>
                <w:szCs w:val="20"/>
                <w:u w:val="none"/>
              </w:rPr>
            </w:pPr>
          </w:p>
        </w:tc>
        <w:tc>
          <w:tcPr>
            <w:tcW w:w="4947" w:type="dxa"/>
            <w:gridSpan w:val="3"/>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4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63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4922"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66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4"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23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3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3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63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64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6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23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3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3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3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4"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23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3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3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3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6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8"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3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3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3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4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8"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16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16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16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16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c>
          <w:tcPr>
            <w:tcW w:w="16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4"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2234"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6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4"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2234" w:type="dxa"/>
            <w:tcBorders>
              <w:top w:val="nil"/>
              <w:left w:val="nil"/>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u w:val="none"/>
              </w:rPr>
            </w:pPr>
          </w:p>
        </w:tc>
        <w:tc>
          <w:tcPr>
            <w:tcW w:w="1641"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3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4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c>
          <w:tcPr>
            <w:tcW w:w="1664"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0"/>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keepNext w:val="0"/>
        <w:keepLines w:val="0"/>
        <w:widowControl w:val="0"/>
        <w:suppressLineNumbers w:val="0"/>
        <w:spacing w:before="0" w:beforeLines="0" w:beforeAutospacing="0" w:after="0" w:afterLines="0" w:afterAutospacing="0"/>
        <w:ind w:left="0" w:right="0"/>
        <w:jc w:val="both"/>
        <w:rPr>
          <w:highlight w:val="none"/>
        </w:rPr>
      </w:pPr>
      <w:r>
        <w:rPr>
          <w:rFonts w:hint="eastAsia" w:ascii="仿宋_GB2312" w:hAnsi="Times New Roman" w:eastAsia="仿宋_GB2312" w:cs="仿宋_GB2312"/>
          <w:kern w:val="2"/>
          <w:sz w:val="32"/>
          <w:szCs w:val="32"/>
          <w:highlight w:val="none"/>
          <w:lang w:val="en-US" w:eastAsia="zh-CN" w:bidi="ar"/>
        </w:rPr>
        <w:t>说明：我部门没有政府性基金收入，也没有使用政府性基金安排的支出，故本表无数据。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4797.69</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1189.04</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19.86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rPr>
        <w:t>响应中央号召过紧日子，压缩</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资金支出</w:t>
      </w:r>
      <w:r>
        <w:rPr>
          <w:rFonts w:hint="eastAsia" w:ascii="仿宋_GB2312" w:hAnsi="仿宋_GB2312" w:eastAsia="仿宋_GB2312" w:cs="仿宋_GB2312"/>
          <w:sz w:val="32"/>
          <w:szCs w:val="32"/>
          <w:lang w:val="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3745.03</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3745.03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4797.69</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4155.65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86.62</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642.03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13.38</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autoSpaceDE w:val="0"/>
        <w:autoSpaceDN w:val="0"/>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4797.61</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1176.49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19.69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rPr>
        <w:t>响应中央号召过紧日子，压缩项目资金支出</w:t>
      </w:r>
      <w:r>
        <w:rPr>
          <w:rFonts w:hint="eastAsia" w:ascii="仿宋_GB2312" w:hAnsi="仿宋_GB2312" w:eastAsia="仿宋_GB2312" w:cs="仿宋_GB2312"/>
          <w:sz w:val="32"/>
          <w:szCs w:val="32"/>
          <w:lang w:val="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autoSpaceDE w:val="0"/>
        <w:autoSpaceDN w:val="0"/>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4979.61</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99.99</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128.89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2.66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rPr>
        <w:t>响应中央号召过紧日子，压缩项目资金支出</w:t>
      </w:r>
      <w:r>
        <w:rPr>
          <w:rFonts w:hint="eastAsia" w:ascii="仿宋_GB2312" w:hAnsi="仿宋_GB2312" w:eastAsia="仿宋_GB2312" w:cs="仿宋_GB2312"/>
          <w:sz w:val="32"/>
          <w:szCs w:val="32"/>
          <w:lang w:val="zh-CN"/>
        </w:rPr>
        <w:t>。</w:t>
      </w:r>
    </w:p>
    <w:p>
      <w:pPr>
        <w:widowControl/>
        <w:spacing w:line="590" w:lineRule="exact"/>
        <w:ind w:firstLine="482" w:firstLineChars="15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4797.61</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4062.17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占8</w:t>
      </w:r>
      <w:r>
        <w:rPr>
          <w:rFonts w:hint="eastAsia" w:ascii="仿宋_GB2312" w:hAnsi="仿宋_GB2312" w:eastAsia="仿宋_GB2312" w:cs="仿宋_GB2312"/>
          <w:sz w:val="32"/>
          <w:szCs w:val="32"/>
          <w:lang w:val="en-US" w:eastAsia="zh-CN"/>
        </w:rPr>
        <w:t>4.67</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577.41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12.04</w:t>
      </w:r>
      <w:r>
        <w:rPr>
          <w:rFonts w:hint="eastAsia" w:ascii="仿宋_GB2312" w:hAnsi="仿宋_GB2312" w:eastAsia="仿宋_GB2312" w:cs="仿宋_GB2312"/>
          <w:sz w:val="32"/>
          <w:szCs w:val="32"/>
        </w:rPr>
        <w:t>%；卫生健康（类）支出1</w:t>
      </w:r>
      <w:r>
        <w:rPr>
          <w:rFonts w:hint="eastAsia" w:ascii="仿宋_GB2312" w:hAnsi="仿宋_GB2312" w:eastAsia="仿宋_GB2312" w:cs="仿宋_GB2312"/>
          <w:sz w:val="32"/>
          <w:szCs w:val="32"/>
          <w:lang w:val="en-US" w:eastAsia="zh-CN"/>
        </w:rPr>
        <w:t>58.04</w:t>
      </w:r>
      <w:r>
        <w:rPr>
          <w:rFonts w:hint="eastAsia" w:ascii="仿宋_GB2312" w:hAnsi="仿宋_GB2312" w:eastAsia="仿宋_GB2312" w:cs="仿宋_GB2312"/>
          <w:sz w:val="32"/>
          <w:szCs w:val="32"/>
        </w:rPr>
        <w:t>万元，占3.</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3732.92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4797.61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128.52</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1．一般公共服务（类）财政事务（款）行政运行（项）。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2386.39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2704.39</w:t>
      </w:r>
      <w:r>
        <w:rPr>
          <w:rFonts w:hint="eastAsia" w:ascii="仿宋_GB2312" w:hAnsi="仿宋_GB2312" w:eastAsia="仿宋_GB2312" w:cs="仿宋_GB2312"/>
          <w:sz w:val="32"/>
          <w:szCs w:val="32"/>
        </w:rPr>
        <w:t>万元，完成年初预算的1</w:t>
      </w:r>
      <w:r>
        <w:rPr>
          <w:rFonts w:hint="eastAsia" w:ascii="仿宋_GB2312" w:hAnsi="仿宋_GB2312" w:eastAsia="仿宋_GB2312" w:cs="仿宋_GB2312"/>
          <w:sz w:val="32"/>
          <w:szCs w:val="32"/>
          <w:lang w:val="en-US" w:eastAsia="zh-CN"/>
        </w:rPr>
        <w:t>13.33</w:t>
      </w:r>
      <w:r>
        <w:rPr>
          <w:rFonts w:hint="eastAsia" w:ascii="仿宋_GB2312" w:hAnsi="仿宋_GB2312" w:eastAsia="仿宋_GB2312" w:cs="仿宋_GB2312"/>
          <w:sz w:val="32"/>
          <w:szCs w:val="32"/>
        </w:rPr>
        <w:t>%。决算数与年初预算数存在差异的主要原因是新增招录公务员增加预算支出及动用往年结转支出。</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2．一般公共服务（类）财政事务（款）一般行政管理事务（项）。</w:t>
      </w: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259.14</w:t>
      </w:r>
      <w:r>
        <w:rPr>
          <w:rFonts w:hint="eastAsia" w:ascii="仿宋_GB2312" w:hAnsi="仿宋_GB2312" w:eastAsia="仿宋_GB2312" w:cs="仿宋_GB2312"/>
          <w:sz w:val="32"/>
          <w:szCs w:val="32"/>
        </w:rPr>
        <w:t>万元，决算数与年初预算数存在差异的主要原因是</w:t>
      </w:r>
      <w:r>
        <w:rPr>
          <w:rFonts w:hint="eastAsia" w:ascii="仿宋_GB2312" w:hAnsi="仿宋_GB2312" w:eastAsia="仿宋_GB2312" w:cs="仿宋_GB2312"/>
          <w:sz w:val="32"/>
          <w:szCs w:val="32"/>
          <w:lang w:eastAsia="zh-CN"/>
        </w:rPr>
        <w:t>以前</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度供热管网工程审核</w:t>
      </w:r>
      <w:r>
        <w:rPr>
          <w:rFonts w:hint="eastAsia" w:ascii="仿宋_GB2312" w:hAnsi="仿宋_GB2312" w:eastAsia="仿宋_GB2312" w:cs="仿宋_GB2312"/>
          <w:sz w:val="32"/>
          <w:szCs w:val="32"/>
        </w:rPr>
        <w:t>聘请中介服务费1</w:t>
      </w:r>
      <w:r>
        <w:rPr>
          <w:rFonts w:hint="eastAsia" w:ascii="仿宋_GB2312" w:hAnsi="仿宋_GB2312" w:eastAsia="仿宋_GB2312" w:cs="仿宋_GB2312"/>
          <w:sz w:val="32"/>
          <w:szCs w:val="32"/>
          <w:lang w:val="en-US" w:eastAsia="zh-CN"/>
        </w:rPr>
        <w:t>70.60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及绩效评价聘请中介服务费</w:t>
      </w:r>
      <w:r>
        <w:rPr>
          <w:rFonts w:hint="eastAsia" w:ascii="仿宋_GB2312" w:hAnsi="仿宋_GB2312" w:eastAsia="仿宋_GB2312" w:cs="仿宋_GB2312"/>
          <w:sz w:val="32"/>
          <w:szCs w:val="32"/>
          <w:lang w:val="en-US" w:eastAsia="zh-CN"/>
        </w:rPr>
        <w:t>88.54万元</w:t>
      </w:r>
      <w:r>
        <w:rPr>
          <w:rFonts w:hint="eastAsia" w:ascii="仿宋_GB2312" w:hAnsi="仿宋_GB2312" w:eastAsia="仿宋_GB2312" w:cs="仿宋_GB2312"/>
          <w:sz w:val="32"/>
          <w:szCs w:val="32"/>
        </w:rPr>
        <w:t>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年列支，导致决算数大于年初预算数。</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3．一般公共服务（类）财政事务（款）机关服务（项）。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120.06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149.2</w:t>
      </w:r>
      <w:r>
        <w:rPr>
          <w:rFonts w:hint="eastAsia" w:ascii="仿宋_GB2312" w:hAnsi="仿宋_GB2312" w:eastAsia="仿宋_GB2312" w:cs="仿宋_GB2312"/>
          <w:sz w:val="32"/>
          <w:szCs w:val="32"/>
        </w:rPr>
        <w:t>万元，完成年初预算的1</w:t>
      </w:r>
      <w:r>
        <w:rPr>
          <w:rFonts w:hint="eastAsia" w:ascii="仿宋_GB2312" w:hAnsi="仿宋_GB2312" w:eastAsia="仿宋_GB2312" w:cs="仿宋_GB2312"/>
          <w:sz w:val="32"/>
          <w:szCs w:val="32"/>
          <w:lang w:val="en-US" w:eastAsia="zh-CN"/>
        </w:rPr>
        <w:t>24.27</w:t>
      </w:r>
      <w:r>
        <w:rPr>
          <w:rFonts w:hint="eastAsia" w:ascii="仿宋_GB2312" w:hAnsi="仿宋_GB2312" w:eastAsia="仿宋_GB2312" w:cs="仿宋_GB2312"/>
          <w:sz w:val="32"/>
          <w:szCs w:val="32"/>
        </w:rPr>
        <w:t>%。决算数与年初预算数存在差异的主要原因是人员调动增资等。</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4．一般公共服务（类）财政事务（款）信息化建设（项）。</w:t>
      </w: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148.47</w:t>
      </w:r>
      <w:r>
        <w:rPr>
          <w:rFonts w:hint="eastAsia" w:ascii="仿宋_GB2312" w:hAnsi="仿宋_GB2312" w:eastAsia="仿宋_GB2312" w:cs="仿宋_GB2312"/>
          <w:sz w:val="32"/>
          <w:szCs w:val="32"/>
        </w:rPr>
        <w:t>万元，要用于财政信息系统、预算执行系统、国库集中支付系统及政府债务信息平台等维护及线路使用费用等。</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．一般公共服务（类）财政事务（款）事业运行（项）。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520.94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551.95</w:t>
      </w:r>
      <w:r>
        <w:rPr>
          <w:rFonts w:hint="eastAsia" w:ascii="仿宋_GB2312" w:hAnsi="仿宋_GB2312" w:eastAsia="仿宋_GB2312" w:cs="仿宋_GB2312"/>
          <w:sz w:val="32"/>
          <w:szCs w:val="32"/>
        </w:rPr>
        <w:t>万元，完成年初预算的1</w:t>
      </w:r>
      <w:r>
        <w:rPr>
          <w:rFonts w:hint="eastAsia" w:ascii="仿宋_GB2312" w:hAnsi="仿宋_GB2312" w:eastAsia="仿宋_GB2312" w:cs="仿宋_GB2312"/>
          <w:sz w:val="32"/>
          <w:szCs w:val="32"/>
          <w:lang w:val="en-US" w:eastAsia="zh-CN"/>
        </w:rPr>
        <w:t>05.95</w:t>
      </w:r>
      <w:r>
        <w:rPr>
          <w:rFonts w:hint="eastAsia" w:ascii="仿宋_GB2312" w:hAnsi="仿宋_GB2312" w:eastAsia="仿宋_GB2312" w:cs="仿宋_GB2312"/>
          <w:sz w:val="32"/>
          <w:szCs w:val="32"/>
        </w:rPr>
        <w:t>%。决算数与年初预算数存在差异的主要原因是局属事业单位人员增资。</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．一般公共服务（类）财政事务（款）其他财政事务（项）。</w:t>
      </w: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234.42</w:t>
      </w:r>
      <w:r>
        <w:rPr>
          <w:rFonts w:hint="eastAsia" w:ascii="仿宋_GB2312" w:hAnsi="仿宋_GB2312" w:eastAsia="仿宋_GB2312" w:cs="仿宋_GB2312"/>
          <w:sz w:val="32"/>
          <w:szCs w:val="32"/>
        </w:rPr>
        <w:t>万元。决算数与年初预算数存在差异的主要原因是财政评审中介费</w:t>
      </w:r>
      <w:r>
        <w:rPr>
          <w:rFonts w:hint="eastAsia" w:ascii="仿宋_GB2312" w:hAnsi="仿宋_GB2312" w:eastAsia="仿宋_GB2312" w:cs="仿宋_GB2312"/>
          <w:sz w:val="32"/>
          <w:szCs w:val="32"/>
          <w:lang w:eastAsia="zh-CN"/>
        </w:rPr>
        <w:t>跨年</w:t>
      </w:r>
      <w:r>
        <w:rPr>
          <w:rFonts w:hint="eastAsia" w:ascii="仿宋_GB2312" w:hAnsi="仿宋_GB2312" w:eastAsia="仿宋_GB2312" w:cs="仿宋_GB2312"/>
          <w:sz w:val="32"/>
          <w:szCs w:val="32"/>
        </w:rPr>
        <w:t>支付等。</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．一般公共服务（类）群众团体事务（款）工会事务（项）。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14.60</w:t>
      </w:r>
      <w:r>
        <w:rPr>
          <w:rFonts w:hint="eastAsia" w:ascii="仿宋_GB2312" w:hAnsi="仿宋_GB2312" w:eastAsia="仿宋_GB2312" w:cs="仿宋_GB2312"/>
          <w:sz w:val="32"/>
          <w:szCs w:val="32"/>
        </w:rPr>
        <w:t>万元，支出决算为14.</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万元，完成年初预算的100%。决算数与年初预算数不存在差异。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．社会保障和就业（类）行政事业单位养老支出（款）行政单位离退休（项）。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324.02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354.55</w:t>
      </w:r>
      <w:r>
        <w:rPr>
          <w:rFonts w:hint="eastAsia" w:ascii="仿宋_GB2312" w:hAnsi="仿宋_GB2312" w:eastAsia="仿宋_GB2312" w:cs="仿宋_GB2312"/>
          <w:sz w:val="32"/>
          <w:szCs w:val="32"/>
        </w:rPr>
        <w:t>万元，完成年初预算的10</w:t>
      </w:r>
      <w:r>
        <w:rPr>
          <w:rFonts w:hint="eastAsia" w:ascii="仿宋_GB2312" w:hAnsi="仿宋_GB2312" w:eastAsia="仿宋_GB2312" w:cs="仿宋_GB2312"/>
          <w:sz w:val="32"/>
          <w:szCs w:val="32"/>
          <w:lang w:val="en-US" w:eastAsia="zh-CN"/>
        </w:rPr>
        <w:t>9.42</w:t>
      </w:r>
      <w:r>
        <w:rPr>
          <w:rFonts w:hint="eastAsia" w:ascii="仿宋_GB2312" w:hAnsi="仿宋_GB2312" w:eastAsia="仿宋_GB2312" w:cs="仿宋_GB2312"/>
          <w:sz w:val="32"/>
          <w:szCs w:val="32"/>
        </w:rPr>
        <w:t>%。决算数与年初预算数存在差异的主要原因是支付费用使用以前年度资金。</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．社会保障和就业（类）行政事业单位养老支出（款）事业单位离退休（项）。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15.45</w:t>
      </w:r>
      <w:r>
        <w:rPr>
          <w:rFonts w:hint="eastAsia" w:ascii="仿宋_GB2312" w:hAnsi="仿宋_GB2312" w:eastAsia="仿宋_GB2312" w:cs="仿宋_GB2312"/>
          <w:sz w:val="32"/>
          <w:szCs w:val="32"/>
        </w:rPr>
        <w:t>万元，支出决算为14.</w:t>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95.34</w:t>
      </w:r>
      <w:r>
        <w:rPr>
          <w:rFonts w:hint="eastAsia" w:ascii="仿宋_GB2312" w:hAnsi="仿宋_GB2312" w:eastAsia="仿宋_GB2312" w:cs="仿宋_GB2312"/>
          <w:sz w:val="32"/>
          <w:szCs w:val="32"/>
        </w:rPr>
        <w:t>%。决算数与年初预算数存在差异的主要原因是支付费用使用以前年度资金。</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．社会保障和就业（类）行政事业单位养老支出（款）机关事业单位基本养老保险费支出（项）。</w:t>
      </w:r>
      <w:r>
        <w:rPr>
          <w:rFonts w:hint="eastAsia" w:ascii="仿宋_GB2312" w:hAnsi="仿宋_GB2312" w:eastAsia="仿宋_GB2312" w:cs="仿宋_GB2312"/>
          <w:sz w:val="32"/>
          <w:szCs w:val="32"/>
        </w:rPr>
        <w:t>年初预算为17</w:t>
      </w:r>
      <w:r>
        <w:rPr>
          <w:rFonts w:hint="eastAsia" w:ascii="仿宋_GB2312" w:hAnsi="仿宋_GB2312" w:eastAsia="仿宋_GB2312" w:cs="仿宋_GB2312"/>
          <w:sz w:val="32"/>
          <w:szCs w:val="32"/>
          <w:lang w:val="en-US" w:eastAsia="zh-CN"/>
        </w:rPr>
        <w:t>5.40</w:t>
      </w:r>
      <w:r>
        <w:rPr>
          <w:rFonts w:hint="eastAsia" w:ascii="仿宋_GB2312" w:hAnsi="仿宋_GB2312" w:eastAsia="仿宋_GB2312" w:cs="仿宋_GB2312"/>
          <w:sz w:val="32"/>
          <w:szCs w:val="32"/>
        </w:rPr>
        <w:t>万元，支出决算为1</w:t>
      </w:r>
      <w:r>
        <w:rPr>
          <w:rFonts w:hint="eastAsia" w:ascii="仿宋_GB2312" w:hAnsi="仿宋_GB2312" w:eastAsia="仿宋_GB2312" w:cs="仿宋_GB2312"/>
          <w:sz w:val="32"/>
          <w:szCs w:val="32"/>
          <w:lang w:val="en-US" w:eastAsia="zh-CN"/>
        </w:rPr>
        <w:t>66.87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95.14</w:t>
      </w:r>
      <w:r>
        <w:rPr>
          <w:rFonts w:hint="eastAsia" w:ascii="仿宋_GB2312" w:hAnsi="仿宋_GB2312" w:eastAsia="仿宋_GB2312" w:cs="仿宋_GB2312"/>
          <w:sz w:val="32"/>
          <w:szCs w:val="32"/>
        </w:rPr>
        <w:t>%。决算数与年初预算数存在差异的主要原因是工资计算差异。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．社会保障和就业（类）抚恤（款）死亡抚恤（项）。</w:t>
      </w: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41.26</w:t>
      </w:r>
      <w:r>
        <w:rPr>
          <w:rFonts w:hint="eastAsia" w:ascii="仿宋_GB2312" w:hAnsi="仿宋_GB2312" w:eastAsia="仿宋_GB2312" w:cs="仿宋_GB2312"/>
          <w:sz w:val="32"/>
          <w:szCs w:val="32"/>
        </w:rPr>
        <w:t>万元，决算数与年初预算数存在差异的主要原因是用于年中职工病故发生的抚恤金。</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．卫生健康支出（类）行政事业单位医疗（款）行政单位医疗（项）。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72.20</w:t>
      </w:r>
      <w:r>
        <w:rPr>
          <w:rFonts w:hint="eastAsia" w:ascii="仿宋_GB2312" w:hAnsi="仿宋_GB2312" w:eastAsia="仿宋_GB2312" w:cs="仿宋_GB2312"/>
          <w:sz w:val="32"/>
          <w:szCs w:val="32"/>
        </w:rPr>
        <w:t>万元，支出决算为6</w:t>
      </w:r>
      <w:r>
        <w:rPr>
          <w:rFonts w:hint="eastAsia" w:ascii="仿宋_GB2312" w:hAnsi="仿宋_GB2312" w:eastAsia="仿宋_GB2312" w:cs="仿宋_GB2312"/>
          <w:sz w:val="32"/>
          <w:szCs w:val="32"/>
          <w:lang w:val="en-US" w:eastAsia="zh-CN"/>
        </w:rPr>
        <w:t>3.83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88.41</w:t>
      </w:r>
      <w:r>
        <w:rPr>
          <w:rFonts w:hint="eastAsia" w:ascii="仿宋_GB2312" w:hAnsi="仿宋_GB2312" w:eastAsia="仿宋_GB2312" w:cs="仿宋_GB2312"/>
          <w:sz w:val="32"/>
          <w:szCs w:val="32"/>
        </w:rPr>
        <w:t>%。决算数与年初预算数存在差异的主要原因是人员工资标准计算误差。</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20.69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19.86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95.99</w:t>
      </w:r>
      <w:r>
        <w:rPr>
          <w:rFonts w:hint="eastAsia" w:ascii="仿宋_GB2312" w:hAnsi="仿宋_GB2312" w:eastAsia="仿宋_GB2312" w:cs="仿宋_GB2312"/>
          <w:sz w:val="32"/>
          <w:szCs w:val="32"/>
        </w:rPr>
        <w:t>%。决算数与年初预算数存在差异的主要原因是动用上年结转资金，本年资金有结余。</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．卫生健康支出（类）行政事业单位医疗（款）公务员医疗补助（项）。</w:t>
      </w:r>
      <w:r>
        <w:rPr>
          <w:rFonts w:hint="eastAsia" w:ascii="仿宋_GB2312" w:hAnsi="仿宋_GB2312" w:eastAsia="仿宋_GB2312" w:cs="仿宋_GB2312"/>
          <w:sz w:val="32"/>
          <w:szCs w:val="32"/>
        </w:rPr>
        <w:t>年初预算为8</w:t>
      </w:r>
      <w:r>
        <w:rPr>
          <w:rFonts w:hint="eastAsia" w:ascii="仿宋_GB2312" w:hAnsi="仿宋_GB2312" w:eastAsia="仿宋_GB2312" w:cs="仿宋_GB2312"/>
          <w:sz w:val="32"/>
          <w:szCs w:val="32"/>
          <w:lang w:val="en-US" w:eastAsia="zh-CN"/>
        </w:rPr>
        <w:t>3.17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74.36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89.41</w:t>
      </w:r>
      <w:r>
        <w:rPr>
          <w:rFonts w:hint="eastAsia" w:ascii="仿宋_GB2312" w:hAnsi="仿宋_GB2312" w:eastAsia="仿宋_GB2312" w:cs="仿宋_GB2312"/>
          <w:sz w:val="32"/>
          <w:szCs w:val="32"/>
        </w:rPr>
        <w:t>%。决算数与年初预算数存在差异的主要原因是动用上年结转资金，本年资金有结余。</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4154.58</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3702.31</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val="en-US" w:eastAsia="zh-CN"/>
        </w:rPr>
        <w:t>职工基本医疗保险缴费、</w:t>
      </w:r>
      <w:r>
        <w:rPr>
          <w:rFonts w:hint="eastAsia" w:ascii="仿宋_GB2312" w:hAnsi="仿宋_GB2312" w:eastAsia="仿宋_GB2312" w:cs="仿宋_GB2312"/>
          <w:sz w:val="32"/>
          <w:szCs w:val="32"/>
          <w:highlight w:val="none"/>
          <w:lang w:eastAsia="zh-CN"/>
        </w:rPr>
        <w:t>公务员医疗补助缴费、</w:t>
      </w:r>
      <w:r>
        <w:rPr>
          <w:rFonts w:hint="eastAsia" w:ascii="仿宋_GB2312" w:hAnsi="仿宋_GB2312" w:eastAsia="仿宋_GB2312" w:cs="仿宋_GB2312"/>
          <w:sz w:val="32"/>
          <w:szCs w:val="32"/>
          <w:highlight w:val="none"/>
        </w:rPr>
        <w:t>其他社会保障缴费、住房公积金、医疗费、其他工资福利支出、离休费、退休费、抚恤金、生活补助、</w:t>
      </w:r>
      <w:r>
        <w:rPr>
          <w:rFonts w:hint="eastAsia" w:ascii="仿宋_GB2312" w:hAnsi="仿宋_GB2312" w:eastAsia="仿宋_GB2312" w:cs="仿宋_GB2312"/>
          <w:sz w:val="32"/>
          <w:szCs w:val="32"/>
          <w:highlight w:val="none"/>
          <w:lang w:eastAsia="zh-CN"/>
        </w:rPr>
        <w:t>医疗费补助、</w:t>
      </w:r>
      <w:r>
        <w:rPr>
          <w:rFonts w:hint="eastAsia" w:ascii="仿宋_GB2312" w:hAnsi="仿宋_GB2312" w:eastAsia="仿宋_GB2312" w:cs="仿宋_GB2312"/>
          <w:sz w:val="32"/>
          <w:szCs w:val="32"/>
          <w:highlight w:val="none"/>
        </w:rPr>
        <w:t>其他对个人和家庭的补助支出；公用经费</w:t>
      </w:r>
      <w:r>
        <w:rPr>
          <w:rFonts w:hint="eastAsia" w:ascii="仿宋_GB2312" w:hAnsi="仿宋_GB2312" w:eastAsia="仿宋_GB2312" w:cs="仿宋_GB2312"/>
          <w:sz w:val="32"/>
          <w:szCs w:val="32"/>
          <w:highlight w:val="none"/>
          <w:lang w:val="en-US" w:eastAsia="zh-CN"/>
        </w:rPr>
        <w:t>453.27</w:t>
      </w:r>
      <w:r>
        <w:rPr>
          <w:rFonts w:hint="eastAsia" w:ascii="仿宋_GB2312" w:hAnsi="仿宋_GB2312" w:eastAsia="仿宋_GB2312" w:cs="仿宋_GB2312"/>
          <w:sz w:val="32"/>
          <w:szCs w:val="32"/>
          <w:highlight w:val="none"/>
        </w:rPr>
        <w:t>万元，主要包括：办公费、印刷费、咨询费、邮电费、取暖费、物业管理费、差旅费、维修（护）费、会议费、培训费、公务接待费、劳务费、工会经费、福利费、公务用车运行维护费、其他交通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19.25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13.35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69.35</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rPr>
        <w:t>厉行节约，压缩三公经费支出。</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12.86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66.81</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96.33</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0.49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2.55</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3.67</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12.86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98.92</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rPr>
        <w:t>厉行节约，压缩开支</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12.86</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rPr>
        <w:t>车辆保险费，车辆年审费，车辆油修费等。202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年期末，部门开支财政拨款的公务用车保有量为4辆。</w:t>
      </w:r>
      <w:r>
        <w:rPr>
          <w:rFonts w:hint="eastAsia" w:ascii="仿宋_GB2312" w:hAnsi="仿宋_GB2312" w:eastAsia="仿宋_GB2312" w:cs="仿宋_GB2312"/>
          <w:sz w:val="32"/>
          <w:szCs w:val="32"/>
          <w:lang w:val="en-US" w:eastAsia="zh-CN"/>
        </w:rPr>
        <w:t xml:space="preserve"> </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6.25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0.49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7.84</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rPr>
        <w:t>厉行节约，压缩开支</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0.49</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rPr>
        <w:t>其他地市财政局调研、来访就餐等。202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年共接待国内来访团组6个、来宾</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8人次（不包括陪同人员）。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我部门没有政府性基金收入，也没有使用政府性基金安排的支出。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415.77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453.27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109.02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rPr>
        <w:t>办公大楼运行费增加。</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共有车辆</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sz w:val="32"/>
          <w:szCs w:val="32"/>
        </w:rPr>
        <w:t>其中：省级领导干部用车0辆、主要领导干部用车0辆、机要通信用车1辆、应急保障车0辆、执法执勤用车0辆、特种专业技术用车0辆、离退休干部用车1辆、其他用车2辆；单位价值50万元以上通用设备2台（套），</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rPr>
        <w:t>价值100万元以上专用设备1台（套）。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w:t>
      </w:r>
    </w:p>
    <w:p>
      <w:pPr>
        <w:ind w:firstLine="64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kern w:val="0"/>
          <w:sz w:val="32"/>
          <w:szCs w:val="32"/>
        </w:rPr>
        <w:t>我</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根据年初批复的预算绩效目标，根据</w:t>
      </w:r>
      <w:r>
        <w:rPr>
          <w:rFonts w:hint="eastAsia" w:ascii="仿宋_GB2312" w:hAnsi="仿宋_GB2312" w:eastAsia="仿宋_GB2312" w:cs="仿宋_GB2312"/>
          <w:kern w:val="0"/>
          <w:sz w:val="32"/>
          <w:szCs w:val="32"/>
          <w:lang w:eastAsia="zh-CN"/>
        </w:rPr>
        <w:t>实际财政工作</w:t>
      </w:r>
      <w:r>
        <w:rPr>
          <w:rFonts w:hint="eastAsia" w:ascii="仿宋_GB2312" w:hAnsi="仿宋_GB2312" w:eastAsia="仿宋_GB2312" w:cs="仿宋_GB2312"/>
          <w:kern w:val="0"/>
          <w:sz w:val="32"/>
          <w:szCs w:val="32"/>
        </w:rPr>
        <w:t>数量情况、通过收集</w:t>
      </w:r>
      <w:r>
        <w:rPr>
          <w:rFonts w:hint="eastAsia" w:ascii="仿宋_GB2312" w:hAnsi="仿宋_GB2312" w:eastAsia="仿宋_GB2312" w:cs="仿宋_GB2312"/>
          <w:kern w:val="0"/>
          <w:sz w:val="32"/>
          <w:szCs w:val="32"/>
          <w:lang w:eastAsia="zh-CN"/>
        </w:rPr>
        <w:t>财政工作</w:t>
      </w:r>
      <w:r>
        <w:rPr>
          <w:rFonts w:hint="eastAsia" w:ascii="仿宋_GB2312" w:hAnsi="仿宋_GB2312" w:eastAsia="仿宋_GB2312" w:cs="仿宋_GB2312"/>
          <w:kern w:val="0"/>
          <w:sz w:val="32"/>
          <w:szCs w:val="32"/>
        </w:rPr>
        <w:t>实施过程资料和</w:t>
      </w:r>
      <w:r>
        <w:rPr>
          <w:rFonts w:hint="eastAsia" w:ascii="仿宋_GB2312" w:hAnsi="仿宋_GB2312" w:eastAsia="仿宋_GB2312" w:cs="仿宋_GB2312"/>
          <w:kern w:val="0"/>
          <w:sz w:val="32"/>
          <w:szCs w:val="32"/>
          <w:lang w:eastAsia="zh-CN"/>
        </w:rPr>
        <w:t>财政工作</w:t>
      </w:r>
      <w:r>
        <w:rPr>
          <w:rFonts w:hint="eastAsia" w:ascii="仿宋_GB2312" w:hAnsi="仿宋_GB2312" w:eastAsia="仿宋_GB2312" w:cs="仿宋_GB2312"/>
          <w:kern w:val="0"/>
          <w:sz w:val="32"/>
          <w:szCs w:val="32"/>
        </w:rPr>
        <w:t>绩效材料等，对财政预算资金采取</w:t>
      </w:r>
      <w:r>
        <w:rPr>
          <w:rFonts w:hint="eastAsia" w:ascii="仿宋_GB2312" w:hAnsi="仿宋_GB2312" w:eastAsia="仿宋_GB2312" w:cs="仿宋_GB2312"/>
          <w:kern w:val="0"/>
          <w:sz w:val="32"/>
          <w:szCs w:val="32"/>
          <w:lang w:eastAsia="zh-CN"/>
        </w:rPr>
        <w:t>财政资金</w:t>
      </w:r>
      <w:r>
        <w:rPr>
          <w:rFonts w:hint="eastAsia" w:ascii="仿宋_GB2312" w:hAnsi="仿宋_GB2312" w:eastAsia="仿宋_GB2312" w:cs="仿宋_GB2312"/>
          <w:kern w:val="0"/>
          <w:sz w:val="32"/>
          <w:szCs w:val="32"/>
        </w:rPr>
        <w:t>跟踪、数据核查和汇总分析等方式，大力</w:t>
      </w:r>
      <w:r>
        <w:rPr>
          <w:rFonts w:hint="eastAsia" w:ascii="仿宋_GB2312" w:hAnsi="华文仿宋" w:eastAsia="仿宋_GB2312" w:cs="华文仿宋"/>
          <w:sz w:val="32"/>
          <w:szCs w:val="32"/>
          <w:shd w:val="clear" w:color="auto" w:fill="FFFFFF"/>
        </w:rPr>
        <w:t>推进财政支出绩效运行监控工作，一是组织相关人员学习《许昌市市级预算绩效监控管理办法》等相关文件，明确分工，完善工作措施，层层落实责任，确保高质量完成绩效监控各项工作任务。二是开展预算</w:t>
      </w:r>
      <w:r>
        <w:rPr>
          <w:rFonts w:hint="eastAsia" w:ascii="仿宋_GB2312" w:hAnsi="华文仿宋" w:eastAsia="仿宋_GB2312" w:cs="华文仿宋"/>
          <w:sz w:val="32"/>
          <w:szCs w:val="32"/>
          <w:shd w:val="clear" w:color="auto" w:fill="FFFFFF"/>
          <w:lang w:eastAsia="zh-CN"/>
        </w:rPr>
        <w:t>财政资金</w:t>
      </w:r>
      <w:r>
        <w:rPr>
          <w:rFonts w:hint="eastAsia" w:ascii="仿宋_GB2312" w:hAnsi="华文仿宋" w:eastAsia="仿宋_GB2312" w:cs="华文仿宋"/>
          <w:sz w:val="32"/>
          <w:szCs w:val="32"/>
          <w:shd w:val="clear" w:color="auto" w:fill="FFFFFF"/>
        </w:rPr>
        <w:t>绩效监控工作。</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0"/>
        <w:jc w:val="left"/>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w:t>
      </w:r>
      <w:r>
        <w:rPr>
          <w:rFonts w:hint="eastAsia" w:ascii="仿宋_GB2312" w:eastAsia="仿宋_GB2312"/>
          <w:color w:val="auto"/>
          <w:sz w:val="32"/>
          <w:szCs w:val="32"/>
          <w:highlight w:val="none"/>
        </w:rPr>
        <w:t>一是部门整体绩效自评情况：2021年我部门整体预算情况执行良好，绩效完成较好。</w:t>
      </w:r>
      <w:r>
        <w:rPr>
          <w:rFonts w:hint="eastAsia" w:ascii="仿宋_GB2312" w:hAnsi="仿宋_GB2312" w:eastAsia="仿宋_GB2312" w:cs="仿宋_GB2312"/>
          <w:color w:val="auto"/>
          <w:sz w:val="32"/>
          <w:szCs w:val="32"/>
          <w:highlight w:val="none"/>
          <w:lang w:val="en-US" w:eastAsia="zh-CN"/>
        </w:rPr>
        <w:t xml:space="preserve">二是项目绩效自评情况。我部门共有0个项目批复了绩效目标。 </w:t>
      </w: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（三）重点绩效评价结果。</w:t>
      </w:r>
    </w:p>
    <w:p>
      <w:pPr>
        <w:pStyle w:val="19"/>
        <w:autoSpaceDN w:val="0"/>
        <w:spacing w:line="360" w:lineRule="auto"/>
        <w:ind w:firstLine="640" w:firstLineChars="200"/>
        <w:rPr>
          <w:rFonts w:ascii="仿宋_GB2312" w:eastAsia="仿宋_GB2312"/>
          <w:sz w:val="32"/>
          <w:szCs w:val="32"/>
        </w:rPr>
      </w:pPr>
      <w:r>
        <w:rPr>
          <w:rFonts w:hint="eastAsia" w:ascii="仿宋_GB2312" w:eastAsia="仿宋_GB2312"/>
          <w:sz w:val="32"/>
          <w:szCs w:val="32"/>
        </w:rPr>
        <w:t>2021年我部门没有开展重点绩效评价的项目。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800" w:bottom="1440" w:left="1800" w:header="720" w:footer="720" w:gutter="0"/>
          <w:pgNumType w:fmt="decimal"/>
          <w:cols w:space="720" w:num="1"/>
          <w:docGrid w:type="lines" w:linePitch="312"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0C9053FE"/>
    <w:rsid w:val="BD7E47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Body Text"/>
    <w:basedOn w:val="1"/>
    <w:unhideWhenUsed/>
    <w:uiPriority w:val="99"/>
    <w:pPr>
      <w:spacing w:after="120" w:afterLines="0"/>
    </w:pPr>
    <w:rPr>
      <w:rFonts w:ascii="Calibri" w:hAnsi="Calibri"/>
      <w:szCs w:val="24"/>
    </w:rPr>
  </w:style>
  <w:style w:type="paragraph" w:styleId="3">
    <w:name w:val="Plain Text"/>
    <w:unhideWhenUsed/>
    <w:uiPriority w:val="99"/>
    <w:rPr>
      <w:rFonts w:ascii="宋体" w:hAnsi="Courier New" w:eastAsia="宋体" w:cs="Courier New"/>
      <w:szCs w:val="21"/>
      <w:lang w:val="en-US" w:eastAsia="zh-CN" w:bidi="ar-SA"/>
    </w:rPr>
  </w:style>
  <w:style w:type="paragraph" w:styleId="4">
    <w:name w:val="Balloon Text"/>
    <w:basedOn w:val="1"/>
    <w:link w:val="11"/>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unhideWhenUsed/>
    <w:uiPriority w:val="99"/>
    <w:rPr>
      <w:color w:val="800080"/>
      <w:u w:val="single"/>
    </w:rPr>
  </w:style>
  <w:style w:type="character" w:styleId="10">
    <w:name w:val="Hyperlink"/>
    <w:unhideWhenUsed/>
    <w:uiPriority w:val="99"/>
    <w:rPr>
      <w:color w:val="0000FF"/>
      <w:u w:val="single"/>
    </w:rPr>
  </w:style>
  <w:style w:type="character" w:customStyle="1" w:styleId="11">
    <w:name w:val="批注框文本 Char Char Char"/>
    <w:link w:val="4"/>
    <w:uiPriority w:val="99"/>
    <w:rPr>
      <w:kern w:val="2"/>
      <w:sz w:val="18"/>
      <w:szCs w:val="18"/>
    </w:rPr>
  </w:style>
  <w:style w:type="character" w:customStyle="1" w:styleId="12">
    <w:name w:val="页脚 Char Char Char"/>
    <w:link w:val="5"/>
    <w:uiPriority w:val="99"/>
    <w:rPr>
      <w:kern w:val="2"/>
      <w:sz w:val="18"/>
      <w:szCs w:val="18"/>
    </w:rPr>
  </w:style>
  <w:style w:type="character" w:customStyle="1" w:styleId="13">
    <w:name w:val="页眉 Char Char Char"/>
    <w:link w:val="6"/>
    <w:uiPriority w:val="99"/>
    <w:rPr>
      <w:kern w:val="2"/>
      <w:sz w:val="18"/>
      <w:szCs w:val="18"/>
    </w:rPr>
  </w:style>
  <w:style w:type="character" w:customStyle="1" w:styleId="14">
    <w:name w:val="font11"/>
    <w:uiPriority w:val="0"/>
    <w:rPr>
      <w:rFonts w:hint="eastAsia" w:ascii="宋体" w:hAnsi="宋体" w:eastAsia="宋体" w:cs="宋体"/>
      <w:color w:val="000000"/>
      <w:sz w:val="20"/>
      <w:szCs w:val="20"/>
      <w:u w:val="none"/>
    </w:rPr>
  </w:style>
  <w:style w:type="character" w:customStyle="1" w:styleId="15">
    <w:name w:val="font51"/>
    <w:uiPriority w:val="0"/>
    <w:rPr>
      <w:rFonts w:hint="eastAsia" w:ascii="宋体" w:hAnsi="宋体" w:eastAsia="宋体" w:cs="宋体"/>
      <w:color w:val="000000"/>
      <w:sz w:val="24"/>
      <w:szCs w:val="24"/>
      <w:u w:val="none"/>
    </w:rPr>
  </w:style>
  <w:style w:type="character" w:customStyle="1" w:styleId="16">
    <w:name w:val="font01"/>
    <w:uiPriority w:val="0"/>
    <w:rPr>
      <w:rFonts w:hint="eastAsia" w:ascii="宋体" w:hAnsi="宋体" w:eastAsia="宋体" w:cs="宋体"/>
      <w:color w:val="000000"/>
      <w:sz w:val="22"/>
      <w:szCs w:val="22"/>
      <w:u w:val="none"/>
    </w:rPr>
  </w:style>
  <w:style w:type="character" w:customStyle="1" w:styleId="17">
    <w:name w:val="font41"/>
    <w:uiPriority w:val="0"/>
    <w:rPr>
      <w:rFonts w:hint="eastAsia" w:ascii="宋体" w:hAnsi="宋体" w:eastAsia="宋体" w:cs="宋体"/>
      <w:color w:val="000000"/>
      <w:sz w:val="24"/>
      <w:szCs w:val="24"/>
      <w:u w:val="none"/>
    </w:rPr>
  </w:style>
  <w:style w:type="character" w:customStyle="1" w:styleId="18">
    <w:name w:val="font21"/>
    <w:uiPriority w:val="0"/>
    <w:rPr>
      <w:rFonts w:hint="eastAsia" w:ascii="宋体" w:hAnsi="宋体" w:eastAsia="宋体" w:cs="宋体"/>
      <w:color w:val="000000"/>
      <w:sz w:val="22"/>
      <w:szCs w:val="22"/>
      <w:u w:val="none"/>
    </w:rPr>
  </w:style>
  <w:style w:type="paragraph" w:customStyle="1" w:styleId="19">
    <w:name w:val="p0"/>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 User</Company>
  <Pages>33</Pages>
  <Words>10561</Words>
  <Characters>12944</Characters>
  <Lines>1</Lines>
  <Paragraphs>1</Paragraphs>
  <TotalTime>15</TotalTime>
  <ScaleCrop>false</ScaleCrop>
  <LinksUpToDate>false</LinksUpToDate>
  <CharactersWithSpaces>13260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2007-12-01T11:41:00Z</dcterms:created>
  <dc:creator>管理者</dc:creator>
  <cp:lastModifiedBy>悟の</cp:lastModifiedBy>
  <cp:lastPrinted>2023-05-09T09:54:46Z</cp:lastPrinted>
  <dcterms:modified xsi:type="dcterms:W3CDTF">2023-05-29T02:59:19Z</dcterms:modified>
  <dc:title>2021年度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30B9E3F6E0A4421ABC480334CCFD3133_13</vt:lpwstr>
  </property>
</Properties>
</file>