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ascii="黑体" w:hAnsi="黑体" w:eastAsia="黑体"/>
          <w:color w:val="000000"/>
          <w:sz w:val="52"/>
          <w:szCs w:val="52"/>
        </w:rPr>
      </w:pPr>
      <w:r>
        <w:rPr>
          <w:rFonts w:hint="eastAsia" w:ascii="黑体" w:hAnsi="黑体" w:eastAsia="黑体"/>
          <w:color w:val="000000"/>
          <w:sz w:val="52"/>
          <w:szCs w:val="52"/>
        </w:rPr>
        <w:t>许昌市自然资源和规划局</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部门决算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rPr>
        <w:t>许昌市自然资源和规划局</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部门职责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2021年度部门决算表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ascii="黑体" w:hAnsi="黑体" w:eastAsia="黑体" w:cs="黑体"/>
          <w:sz w:val="32"/>
          <w:szCs w:val="32"/>
          <w:highlight w:val="none"/>
        </w:rPr>
        <w:t>部门</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numPr>
          <w:ilvl w:val="0"/>
          <w:numId w:val="0"/>
        </w:numPr>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rPr>
        <w:t xml:space="preserve"> 许昌市自然资源和规划局</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一、部门</w:t>
      </w:r>
      <w:r>
        <w:rPr>
          <w:rFonts w:hint="eastAsia" w:ascii="黑体" w:hAnsi="黑体" w:eastAsia="黑体" w:cs="黑体"/>
          <w:bCs/>
          <w:sz w:val="32"/>
          <w:szCs w:val="32"/>
          <w:highlight w:val="none"/>
        </w:rPr>
        <w:t>职责</w:t>
      </w:r>
    </w:p>
    <w:p>
      <w:pPr>
        <w:adjustRightInd w:val="0"/>
        <w:snapToGrid w:val="0"/>
        <w:spacing w:line="620" w:lineRule="exact"/>
        <w:ind w:firstLine="640" w:firstLineChars="200"/>
        <w:rPr>
          <w:rFonts w:ascii="仿宋_GB2312" w:eastAsia="仿宋_GB2312"/>
          <w:sz w:val="32"/>
          <w:szCs w:val="32"/>
        </w:rPr>
      </w:pPr>
      <w:r>
        <w:rPr>
          <w:rFonts w:hint="eastAsia" w:ascii="仿宋_GB2312" w:eastAsia="仿宋_GB2312"/>
          <w:sz w:val="32"/>
          <w:szCs w:val="32"/>
        </w:rPr>
        <w:t>（一）履行全市全民所有土地、矿产、森林、草原、湿地、水等自然资源资产所有者职责和所有国土空间用途管制职责。贯彻执行自然资源和国土空间规划及测绘等法律法规，起草相关地方性法规、规章草案并监督检查执行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（二）负责全市自然资源调查监测评价。贯彻执行国家自然资源调查监测评价的指标体系和统计标准</w:t>
      </w:r>
      <w:r>
        <w:rPr>
          <w:rFonts w:ascii="仿宋_GB2312" w:eastAsia="仿宋_GB2312"/>
          <w:sz w:val="32"/>
          <w:szCs w:val="32"/>
        </w:rPr>
        <w:t>,</w:t>
      </w:r>
      <w:r>
        <w:rPr>
          <w:rFonts w:hint="eastAsia" w:ascii="仿宋_GB2312" w:eastAsia="仿宋_GB2312"/>
          <w:sz w:val="32"/>
          <w:szCs w:val="32"/>
        </w:rPr>
        <w:t>建立统一规范的自然资源调查监测评价制度。实施自然资源基础调查、专项调查和监测。负责自然资源调查监测评价成果的监督管理和信息发布。指导全市自然资源调查监测评价工作。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负责全市自然资源统一确权登记工作。贯彻执行国家各类自然资源和不动产统一确权登记、权籍调查、不动产测绘、争议调处、成果应用的制度、标准、规范。建立健全全市自然资源和不动产登记信息管理基础平台。负责自然资源和不动产登记资料收集、整理、共享、汇交管理等。指导监督全市自然资源和不动产确权登记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负责全市自然资源资产有偿使用工作。贯彻执行国家全民所有自然资源资产统计制度，负责全民所有自然资源资产核算，编制全民所有自然资源资产负债表。根据全民所有自然资源资产划拨、出让、租赁、作价出资和土地储备政策，合理配置全民所有自然资源资产并监督实施。负责自然资源资产价值评估管理，依法收缴相关资产收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负责全市自然资源的合理开发利用。组织拟订全市自然资源发展规划，贯彻国家自然资源开发利用标准并组织实施，建立政府公示自然资源价格体系，组织开展自然资源分等定级价格评估、自然资源利用评价考核，指导节约集约利用。负责自然资源市场监管。组织研究自然资源管理涉及宏观调控、区域协调和城乡统筹的政策措施。组织编制并监督执行全市森林采伐限额。负责林地管理，拟订林地保护利用规划并组织实施。指导公益林划定和管理工作，管理国有森林资源，负责草原禁牧，草畜平衡和草原生态修复治理工作，监督管理草原的开发利用。负责湿地生态保护修复工作，拟订全市湿地保护规划和相关地方标准，监督管理湿地的开发利用。指导基层林业工作站的建设和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负责建立全市空间规划体系并监督实施。落实主体功能区战略和制度，组织编制并监督实施国土空间规划和相关专项规划。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研究拟订城乡规划相关措施并监督实施。组织拟订并实施土地等自然资源年度利用计划。负责土地等国土空间用途转用工作。负责土地征收征用管理。</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七）负责市级规划的编制和审查报批，指导县（市、区）各类规划的编制并监督实施。负责城市规划区及市政府确定的规划管理区域内建设项目的选址、用地、工程规划管理和规划核实，核发《建设项目选址意见书》、《建设用地规划许可证》、《建设工程规划许可证》；负责全市村镇规划的规范、指导、监督工作；拟定小城镇和村庄规划有关规定、发展规划并指导实施；负责市级以上风景名胜区、风景园林规划的有关工作。负责城建重点项目的谋划、规划技术服务和督导工作；管理全市规划设计市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负责统筹全市国土空间生态修复。牵头组织编制国土空间生态修复规划并实施有关生态修复重大工程。负责自然资源生态修复、国土空间综合整治、土地整理复垦、矿山地质环境恢复治理、绿化造林、防沙治沙等工作。牵头建立和实施生态保护补偿制度，制定合理利用社会资金进行生态修复的相关措施，提出重大备选项目。指导公益林和商品林的培育，指导、监督全民义务植树、城乡绿化工作。指导林业有害生物防治、检疫工作。承担林业和草原应对气候</w:t>
      </w:r>
      <w:r>
        <w:rPr>
          <w:rFonts w:hint="eastAsia" w:ascii="仿宋_GB2312" w:hAnsi="仿宋_GB2312" w:eastAsia="仿宋_GB2312" w:cs="仿宋_GB2312"/>
          <w:sz w:val="32"/>
          <w:szCs w:val="32"/>
        </w:rPr>
        <w:t>变化的</w:t>
      </w:r>
      <w:r>
        <w:rPr>
          <w:rFonts w:hint="eastAsia" w:ascii="仿宋_GB2312" w:eastAsia="仿宋_GB2312"/>
          <w:sz w:val="32"/>
          <w:szCs w:val="32"/>
        </w:rPr>
        <w:t>相关工作。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负责组织实施最严格的耕地保护制度。落实国家耕地保护政策，负责耕地数量、质量、生态保护。组织实施耕地保护责任目标考核和永久基本农田特殊保护。完善耕地占补平衡制度，监督占用耕地补偿制度执行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（十）负责监督管理荒漠化防治工作。组织开展荒漠化调查。组织拟订全市防沙治沙、石漠化防治建设规划，拟订相关地方标准，监督管理沙化土地的开发利用。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一）负责陆生野生动植物资源监督管理。组织开展陆生野生动植物资源调查，拟订及调整市重点保护陆生野生动物、植物名录，报市政府批准后发布。指导陆生野生动植物的救护繁育、栖息地恢复发展、疫源疫病监测，监督管理陆生野生动植物猎捕或采集、驯养繁殖或培植、经营利用，按分工监督管理野生动植物进出口。承担全市濒危物种进出口和国家保护的野生动植物及其产品的出口审核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二）负责全市各类自然保护地监督管理。落实自然保护地规划和相关地方标准。根据授权负责国家公园等自然保护地的自然资源资产管理和国土空间用途管制。协助组织申报国家级、省级自然保护地，提出新建、调整各类市级自然保护地的审核建议并按程序报批。协助组织开展世界自然遗产的申报，会同有关部门组织开展世界自然和文化双重遗产的申报</w:t>
      </w:r>
      <w:r>
        <w:rPr>
          <w:rFonts w:hint="eastAsia" w:ascii="仿宋_GB2312" w:hAnsi="仿宋_GB2312" w:eastAsia="仿宋_GB2312" w:cs="仿宋_GB2312"/>
          <w:sz w:val="32"/>
          <w:szCs w:val="32"/>
        </w:rPr>
        <w:t>。负责生物多样性保护有关</w:t>
      </w:r>
      <w:r>
        <w:rPr>
          <w:rFonts w:hint="eastAsia" w:ascii="仿宋_GB2312" w:eastAsia="仿宋_GB2312"/>
          <w:sz w:val="32"/>
          <w:szCs w:val="32"/>
        </w:rPr>
        <w:t>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（十三）负责推进林业和草原改革相关工作。拟订全市集体林权制度、国有林场、草原</w:t>
      </w:r>
      <w:r>
        <w:rPr>
          <w:rFonts w:hint="eastAsia" w:ascii="仿宋_GB2312" w:hAnsi="仿宋_GB2312" w:eastAsia="仿宋_GB2312" w:cs="仿宋_GB2312"/>
          <w:sz w:val="32"/>
          <w:szCs w:val="32"/>
        </w:rPr>
        <w:t>等重大改革意见并监督实施。拟订全市农村</w:t>
      </w:r>
      <w:r>
        <w:rPr>
          <w:rFonts w:hint="eastAsia" w:ascii="仿宋_GB2312" w:eastAsia="仿宋_GB2312"/>
          <w:sz w:val="32"/>
          <w:szCs w:val="32"/>
        </w:rPr>
        <w:t>林业发展、维护林业经营者合法权益的相关措施，指导农村林地承包经营工作。开展退耕（牧）还林还草，负责天然林保护工作。拟订林业和草原资源优化配置及木材利用相关措施，拟订相关林业产业地方标准并监督实施，组织指导林产品质量监督。指导生态扶贫相关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四）指导国有林场基本建设和发展，承担经济林、花卉管理工作。组织林木种子、草种种质资源普查，组织建立种质资源库，负责良种选育推广，管理林木种苗、草种生产经营行为，监管林木种苗、草种质量。监督管理林业和草原生物种质资源、转基因生物安全、植物新品种保护。指导全市花卉苗木资源化配置和产品质量监督工作，指导有关花卉苗木的展会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五）负责落实综合防灾减灾规划相关要求，组织编制森林和草原火灾防治规划和防护标准并指导实施，指导开展防火巡护、火源管理、防火设施建设等工作。组织指导国有林场和草原开展防火宣传教育、监测预警、督促检查等工作。必要时，可以提请应急管理部门，以市级应急指挥机构名义，部署相关防治工作。依法履行林业安全生产监督管理职责，指导全市国有林场的安全监督管理工作。负责林业系统安全生产统计分析，依法参加有关事故的调查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六）监督管理林业和草原中央和省、市级资金及国有资产。提出林业和草原预算内投资、省、市级财政性资金安排建议；按规定权限审核省、市级规划内和年度计划内投资项目。参与拟订林业和草原经济调节相关措施，组织实施林业和草原生态补偿工作。</w:t>
      </w:r>
    </w:p>
    <w:p>
      <w:pPr>
        <w:spacing w:line="56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十七</w:t>
      </w:r>
      <w:r>
        <w:rPr>
          <w:rFonts w:ascii="仿宋_GB2312" w:eastAsia="仿宋_GB2312"/>
          <w:sz w:val="32"/>
          <w:szCs w:val="32"/>
        </w:rPr>
        <w:t>)</w:t>
      </w:r>
      <w:r>
        <w:rPr>
          <w:rFonts w:hint="eastAsia" w:ascii="仿宋_GB2312" w:eastAsia="仿宋_GB2312"/>
          <w:sz w:val="32"/>
          <w:szCs w:val="32"/>
        </w:rPr>
        <w:t>负责管理全市地质勘查行业和地质工作。编制地质勘查规划并监督检查执行情况。管理地质勘查项目。监督管理地下水过量开采及引发的地面沉降等地质问题。负责古生物化石的监督管理。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八）负责全市地质灾害预防和治理。负责落实综合防灾减灾规划相关要求，编制地质灾害防治规划和防护标准并指导实施。管理市财政出资的地质灾害预防和治理项目，组织指导协调和监督地质灾害调查评价及隐患的普查、详查、排查。指导开展群测群防、专业监测和预报预警等工作，指导开展地质灾害工程治理工作。按规定权限管理地质灾害预防治理等相关资质。承担地质灾害应急救援的技术支撑工作。</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十九</w:t>
      </w:r>
      <w:r>
        <w:rPr>
          <w:rFonts w:ascii="仿宋_GB2312" w:eastAsia="仿宋_GB2312"/>
          <w:sz w:val="32"/>
          <w:szCs w:val="32"/>
        </w:rPr>
        <w:t>)</w:t>
      </w:r>
      <w:r>
        <w:rPr>
          <w:rFonts w:hint="eastAsia" w:ascii="仿宋_GB2312" w:eastAsia="仿宋_GB2312"/>
          <w:sz w:val="32"/>
          <w:szCs w:val="32"/>
        </w:rPr>
        <w:t>负责全市矿业权管理工作。负责矿业权出让及审批登记管理。指导全市矿业权审批登记工作，调处重大权属纠纷。会同有关部门承担保护性开采矿种的总量调控及相关管理工作。</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（二十）负责全市矿产资源保护与监督工作。拟订全市矿产资源规范性文件和规划并组织实施。负责全市矿产资源储量管理，负责压覆矿产资源审批。监督指导矿产资源合理利用和保护。监督指导地质资料管理。</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二十一）负责全市测绘地理信息管理工作。负责基础测绘、地理国情监测及测绘行业管理。负责测绘资质资格与信用管理、监督管理地理信息安全和市场秩序。负责地理信息公共服务管理。负责测绘标志保护。会同有关部门规范和监督指导卫星导航定位基准站的建设运行维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十二）推动全市自然资源和规划领域科技发展。制定并实施自然资源和规划领域科技创新发展、人才培养规划和计划。组织制定技术标准、规程规范并监督实施。组织实施重大科技工程及创新能力建设，推进自然资源和规划信息化和信息资料的公共服务。开展全市自然资源和规划领域对外合作。</w:t>
      </w:r>
    </w:p>
    <w:p>
      <w:pPr>
        <w:spacing w:line="56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二十三</w:t>
      </w:r>
      <w:r>
        <w:rPr>
          <w:rFonts w:ascii="仿宋_GB2312" w:eastAsia="仿宋_GB2312"/>
          <w:sz w:val="32"/>
          <w:szCs w:val="32"/>
        </w:rPr>
        <w:t>)</w:t>
      </w:r>
      <w:r>
        <w:rPr>
          <w:rFonts w:hint="eastAsia" w:ascii="仿宋_GB2312" w:eastAsia="仿宋_GB2312"/>
          <w:sz w:val="32"/>
          <w:szCs w:val="32"/>
        </w:rPr>
        <w:t>根据市委、市政府授权或自然资源督察机构安排，对县（市、区）人民政府落实党中央、国务院和省委、省政府及市委、市政府关于自然资源和国土空间规划的重大方针政策、决策部署及法律法规执行情况进行督察。查处自然资源开发利用和国土空间规划及测绘重大违法案件。指导全市自然资源和规划有关行政执法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许昌市自然资源和规划局内设机构23个，包括：</w:t>
      </w:r>
      <w:r>
        <w:rPr>
          <w:rFonts w:hint="eastAsia" w:ascii="仿宋_GB2312" w:hAnsi="仿宋_GB2312" w:eastAsia="仿宋_GB2312" w:cs="仿宋_GB2312"/>
          <w:sz w:val="32"/>
          <w:szCs w:val="32"/>
        </w:rPr>
        <w:t>办公室、宏观调控科、政策法规科、自然资源调查监测科、自然资源开发利用和所有者权益科、国土空间用途管制科、国土空间规划科、市委城乡规划委员会办公室秘书科（规划管理科）、建设项目管理科、市政交通科、国土空间生态修复科、耕地保护监督科、地质勘查与矿业权管理科、矿产资源保护监督科、测绘地理信息管理科、造林绿化管理科（许昌市绿化委员会办公室）、种苗和花卉产业发展管理科、森林资源保护管理科、防灾减灾科、许昌市自然资源督察办公室（信访科）、财务与审计科、人事科、政务服务科。</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从决算单位构成看，许昌市自然资源和规划局部门决算包括:本级决算(1个)、所属二级预算单位决算(23个)。</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 2021 年度部门决算编制范围的单位共 24个，其中二级预算单位23个，具体是：</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 xml:space="preserve">许昌市自然资源和规划局（本级）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许昌市自然资源和规划局魏都区分局</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 xml:space="preserve">许昌市自然资源和规划局东城区分局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许昌市自然资源和规划局经济技术开发区分局</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 xml:space="preserve">许昌市国土资源执法监察支队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许昌市土地收购储备中心</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 xml:space="preserve">许昌市国有土地管理一所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许昌市国有土地管理二所</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 xml:space="preserve">许昌市国土资源局东城区分局邓庄所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许昌市国土资源局经济开发区分局长村张所</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 xml:space="preserve">许昌市自然资源确权登记局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 xml:space="preserve">许昌市自然资源和规划局城乡一体化示范区分局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 xml:space="preserve">许昌市不动产登记中心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 xml:space="preserve">许昌市自然资源和规划局魏都区服务中心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 xml:space="preserve">许昌市自然资源和规划局东城区服务中心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许昌市自然资源和规划局建安区服务中心</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 xml:space="preserve">许昌市自然资源和规划局经济技术开发区服务中心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 xml:space="preserve">许昌市自然资源和规划局城乡一体化示范区服务中 心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 xml:space="preserve">许昌市规划展览馆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许昌市城市规划建设档案馆</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 xml:space="preserve">许昌市规划信息中心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 xml:space="preserve">许昌市规划设计院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 xml:space="preserve">许昌市林业和花木园艺发展中心 </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许昌市土地二级市场交易中心</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2021年度部门决算表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5"/>
        <w:tblW w:w="1394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42"/>
        <w:gridCol w:w="850"/>
        <w:gridCol w:w="1420"/>
        <w:gridCol w:w="4557"/>
        <w:gridCol w:w="850"/>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94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部门：许昌市自然资源和规划局</w:t>
            </w:r>
          </w:p>
        </w:tc>
        <w:tc>
          <w:tcPr>
            <w:tcW w:w="0" w:type="auto"/>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6,775.56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7,430.76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8,943.25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9,551.69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9,551.69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pPr w:leftFromText="180" w:rightFromText="180" w:vertAnchor="text" w:horzAnchor="page" w:tblpX="1441" w:tblpY="21"/>
        <w:tblOverlap w:val="never"/>
        <w:tblW w:w="140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5"/>
        <w:gridCol w:w="325"/>
        <w:gridCol w:w="527"/>
        <w:gridCol w:w="3960"/>
        <w:gridCol w:w="1632"/>
        <w:gridCol w:w="1584"/>
        <w:gridCol w:w="1284"/>
        <w:gridCol w:w="1164"/>
        <w:gridCol w:w="1128"/>
        <w:gridCol w:w="948"/>
        <w:gridCol w:w="1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4078"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325"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3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8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8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6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149"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8353"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部门：许昌市自然资源和规划局</w:t>
            </w:r>
          </w:p>
        </w:tc>
        <w:tc>
          <w:tcPr>
            <w:tcW w:w="5725" w:type="dxa"/>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5137"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3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58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28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6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2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4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20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6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7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6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17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6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13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8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8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5137"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7,430.76</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6,775.56</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585.29</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47.95</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47.95</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2010102</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24.63</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24.63</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24.63</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24.63</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应用研究</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2060301</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机构运行</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733.34</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733.34</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672.17</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672.17</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168.60</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168.60</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272.95</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272.95</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27.70</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27.70</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2080599</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12.92</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12.92</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61.16</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61.16</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61.16</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61.16</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59.30</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59.30</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76.86</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76.86</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71.82</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71.82</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6,332.16</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5,746.87</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585.29</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4,905.41</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4,905.41</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1,834.46</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1,834.46</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2120102</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700.66</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700.66</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2,370.29</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2,370.29</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城乡社区规划与管理</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1,426.76</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841.46</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585.29</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2120201</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城乡社区规划与管理</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1,426.76</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841.46</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585.29</w:t>
            </w: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28.71</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28.71</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28.71</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28.71</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2130205</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0.88</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0.88</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2130206</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技术推广与转化</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2130234</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26.72</w:t>
            </w:r>
          </w:p>
        </w:tc>
        <w:tc>
          <w:tcPr>
            <w:tcW w:w="158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26.72</w:t>
            </w: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69.90</w:t>
            </w:r>
          </w:p>
        </w:tc>
        <w:tc>
          <w:tcPr>
            <w:tcW w:w="15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自然资源事务</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69.90</w:t>
            </w:r>
          </w:p>
        </w:tc>
        <w:tc>
          <w:tcPr>
            <w:tcW w:w="15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7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2200199</w:t>
            </w:r>
          </w:p>
        </w:tc>
        <w:tc>
          <w:tcPr>
            <w:tcW w:w="396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其他自然资源事务支出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69.90</w:t>
            </w:r>
          </w:p>
        </w:tc>
        <w:tc>
          <w:tcPr>
            <w:tcW w:w="15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4078"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5"/>
        <w:gridCol w:w="245"/>
        <w:gridCol w:w="926"/>
        <w:gridCol w:w="4177"/>
        <w:gridCol w:w="1632"/>
        <w:gridCol w:w="1644"/>
        <w:gridCol w:w="1548"/>
        <w:gridCol w:w="1188"/>
        <w:gridCol w:w="1116"/>
        <w:gridCol w:w="1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4078"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45"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2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17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3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4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7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8869"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部门：许昌市自然资源和规划局</w:t>
            </w:r>
          </w:p>
        </w:tc>
        <w:tc>
          <w:tcPr>
            <w:tcW w:w="5209" w:type="dxa"/>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593"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3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64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4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8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1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3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16"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177"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1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41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17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4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593"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3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4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593"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8,943.25</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7,282.89</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1,330.16</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330.20</w:t>
            </w: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38.46</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2010102</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c>
          <w:tcPr>
            <w:tcW w:w="16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29.74</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29.74</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29.74</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29.74</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84.65</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44.18</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40.47</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应用研究</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84.65</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44.18</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40.47</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2060301</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机构运行</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84.65</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44.18</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40.47</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778.95</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778.95</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717.79</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717.79</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191.38</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191.38</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182.54</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182.54</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302.92</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302.92</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28.02</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28.02</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2080599</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12.94</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12.94</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61.16</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61.16</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61.16</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61.16</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224.84</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224.84</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224.84</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224.84</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63.38</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63.38</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84.59</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84.59</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76.87</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76.87</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7,587.96</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6,085.23</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1,172.53</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330.20</w:t>
            </w: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5,664.76</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4,571.49</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1,093.27</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2,035.14</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2,003.55</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31.58</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2120102</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1,016.01</w:t>
            </w:r>
          </w:p>
        </w:tc>
        <w:tc>
          <w:tcPr>
            <w:tcW w:w="16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1,016.01</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2,613.61</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2,567.94</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45.67</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城乡社区规划与管理</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1,923.21</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1,513.74</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79.27</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330.20</w:t>
            </w: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2120201</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城乡社区规划与管理</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1,923.21</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1,513.74</w:t>
            </w: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79.27</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330.20</w:t>
            </w: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102.55</w:t>
            </w:r>
          </w:p>
        </w:tc>
        <w:tc>
          <w:tcPr>
            <w:tcW w:w="16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102.55</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102.55</w:t>
            </w:r>
          </w:p>
        </w:tc>
        <w:tc>
          <w:tcPr>
            <w:tcW w:w="16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102.55</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2130202</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23.39</w:t>
            </w:r>
          </w:p>
        </w:tc>
        <w:tc>
          <w:tcPr>
            <w:tcW w:w="16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23.39</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2130205</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21.37</w:t>
            </w:r>
          </w:p>
        </w:tc>
        <w:tc>
          <w:tcPr>
            <w:tcW w:w="16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21.37</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2130206</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技术推广与转化</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18.98</w:t>
            </w:r>
          </w:p>
        </w:tc>
        <w:tc>
          <w:tcPr>
            <w:tcW w:w="16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18.98</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2130211</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动植物保护</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0.96</w:t>
            </w:r>
          </w:p>
        </w:tc>
        <w:tc>
          <w:tcPr>
            <w:tcW w:w="16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0.96</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2130234</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37.85</w:t>
            </w:r>
          </w:p>
        </w:tc>
        <w:tc>
          <w:tcPr>
            <w:tcW w:w="16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37.85</w:t>
            </w: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100.28</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100.28</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自然资源事务</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100.28</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100.28</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2200199</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其他自然资源事务支出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100.28</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100.28</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16"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417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63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w:t>
            </w:r>
          </w:p>
        </w:tc>
        <w:tc>
          <w:tcPr>
            <w:tcW w:w="16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w:t>
            </w:r>
          </w:p>
        </w:tc>
        <w:tc>
          <w:tcPr>
            <w:tcW w:w="15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078"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50"/>
        <w:gridCol w:w="512"/>
        <w:gridCol w:w="1344"/>
        <w:gridCol w:w="3357"/>
        <w:gridCol w:w="610"/>
        <w:gridCol w:w="1176"/>
        <w:gridCol w:w="1272"/>
        <w:gridCol w:w="1152"/>
        <w:gridCol w:w="1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4078"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550"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1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4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35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61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7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5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8763" w:type="dxa"/>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部门：许昌市自然资源和规划局</w:t>
            </w:r>
          </w:p>
        </w:tc>
        <w:tc>
          <w:tcPr>
            <w:tcW w:w="5315" w:type="dxa"/>
            <w:gridSpan w:val="5"/>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540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672"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55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1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35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7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7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5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1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2" w:hRule="atLeast"/>
        </w:trPr>
        <w:tc>
          <w:tcPr>
            <w:tcW w:w="355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6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1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34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10"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7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5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6,775.56</w:t>
            </w: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w:t>
            </w:r>
          </w:p>
        </w:tc>
        <w:tc>
          <w:tcPr>
            <w:tcW w:w="12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w:t>
            </w: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84.65</w:t>
            </w:r>
          </w:p>
        </w:tc>
        <w:tc>
          <w:tcPr>
            <w:tcW w:w="12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84.65</w:t>
            </w: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778.95</w:t>
            </w:r>
          </w:p>
        </w:tc>
        <w:tc>
          <w:tcPr>
            <w:tcW w:w="12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778.95</w:t>
            </w: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224.84</w:t>
            </w:r>
          </w:p>
        </w:tc>
        <w:tc>
          <w:tcPr>
            <w:tcW w:w="12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224.84</w:t>
            </w: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7,250.78</w:t>
            </w:r>
          </w:p>
        </w:tc>
        <w:tc>
          <w:tcPr>
            <w:tcW w:w="12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7,250.78</w:t>
            </w: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102.55</w:t>
            </w:r>
          </w:p>
        </w:tc>
        <w:tc>
          <w:tcPr>
            <w:tcW w:w="12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102.55</w:t>
            </w: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w:t>
            </w:r>
          </w:p>
        </w:tc>
        <w:tc>
          <w:tcPr>
            <w:tcW w:w="12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w:t>
            </w: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6,775.56</w:t>
            </w: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8,505.79</w:t>
            </w:r>
          </w:p>
        </w:tc>
        <w:tc>
          <w:tcPr>
            <w:tcW w:w="12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8,505.79</w:t>
            </w: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2,010.71</w:t>
            </w: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280.48</w:t>
            </w:r>
          </w:p>
        </w:tc>
        <w:tc>
          <w:tcPr>
            <w:tcW w:w="12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280.48</w:t>
            </w: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2,010.71</w:t>
            </w:r>
          </w:p>
        </w:tc>
        <w:tc>
          <w:tcPr>
            <w:tcW w:w="335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4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35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7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550"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12"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4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8,786.27</w:t>
            </w:r>
          </w:p>
        </w:tc>
        <w:tc>
          <w:tcPr>
            <w:tcW w:w="335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8,786.27</w:t>
            </w:r>
          </w:p>
        </w:tc>
        <w:tc>
          <w:tcPr>
            <w:tcW w:w="127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8,786.27</w:t>
            </w:r>
          </w:p>
        </w:tc>
        <w:tc>
          <w:tcPr>
            <w:tcW w:w="115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4078"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none"/>
        </w:rPr>
        <w:br w:type="page"/>
      </w:r>
    </w:p>
    <w:tbl>
      <w:tblPr>
        <w:tblStyle w:val="5"/>
        <w:tblW w:w="491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7"/>
        <w:gridCol w:w="347"/>
        <w:gridCol w:w="1133"/>
        <w:gridCol w:w="5040"/>
        <w:gridCol w:w="3075"/>
        <w:gridCol w:w="2651"/>
        <w:gridCol w:w="2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5000" w:type="pct"/>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113" w:type="pct"/>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13"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7"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4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00" w:type="pct"/>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62"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3237" w:type="pct"/>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部门：许昌市自然资源和规划局</w:t>
            </w:r>
          </w:p>
        </w:tc>
        <w:tc>
          <w:tcPr>
            <w:tcW w:w="1762"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2236"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763" w:type="pct"/>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vMerge w:val="restart"/>
            <w:tcBorders>
              <w:top w:val="nil"/>
              <w:left w:val="single" w:color="000000" w:sz="4" w:space="0"/>
              <w:bottom w:val="single" w:color="000000" w:sz="4" w:space="0"/>
              <w:right w:val="single" w:color="000000" w:sz="4" w:space="0"/>
            </w:tcBorders>
            <w:noWrap w:val="0"/>
            <w:vAlign w:val="center"/>
          </w:tcPr>
          <w:p>
            <w:pPr>
              <w:jc w:val="center"/>
              <w:rPr>
                <w:rFonts w:hint="eastAsia"/>
                <w:sz w:val="20"/>
                <w:szCs w:val="21"/>
              </w:rPr>
            </w:pPr>
            <w:r>
              <w:rPr>
                <w:rFonts w:hint="eastAsia"/>
                <w:sz w:val="20"/>
                <w:szCs w:val="21"/>
                <w:lang w:val="en-US" w:eastAsia="zh-CN"/>
              </w:rPr>
              <w:t>功能分类科目编码</w:t>
            </w:r>
          </w:p>
        </w:tc>
        <w:tc>
          <w:tcPr>
            <w:tcW w:w="1640" w:type="pct"/>
            <w:vMerge w:val="restart"/>
            <w:tcBorders>
              <w:top w:val="nil"/>
              <w:left w:val="nil"/>
              <w:bottom w:val="single" w:color="000000" w:sz="4" w:space="0"/>
              <w:right w:val="single" w:color="000000" w:sz="4" w:space="0"/>
            </w:tcBorders>
            <w:noWrap/>
            <w:vAlign w:val="center"/>
          </w:tcPr>
          <w:p>
            <w:pPr>
              <w:jc w:val="center"/>
              <w:rPr>
                <w:rFonts w:hint="eastAsia"/>
                <w:sz w:val="20"/>
                <w:szCs w:val="21"/>
              </w:rPr>
            </w:pPr>
            <w:r>
              <w:rPr>
                <w:rFonts w:hint="eastAsia"/>
                <w:sz w:val="20"/>
                <w:szCs w:val="21"/>
                <w:lang w:val="en-US" w:eastAsia="zh-CN"/>
              </w:rPr>
              <w:t>科目名称</w:t>
            </w:r>
          </w:p>
        </w:tc>
        <w:tc>
          <w:tcPr>
            <w:tcW w:w="1000" w:type="pct"/>
            <w:vMerge w:val="restart"/>
            <w:tcBorders>
              <w:top w:val="nil"/>
              <w:left w:val="nil"/>
              <w:bottom w:val="single" w:color="000000" w:sz="4" w:space="0"/>
              <w:right w:val="single" w:color="000000" w:sz="4" w:space="0"/>
            </w:tcBorders>
            <w:noWrap w:val="0"/>
            <w:vAlign w:val="center"/>
          </w:tcPr>
          <w:p>
            <w:pPr>
              <w:jc w:val="center"/>
              <w:rPr>
                <w:rFonts w:hint="eastAsia"/>
                <w:sz w:val="20"/>
                <w:szCs w:val="21"/>
              </w:rPr>
            </w:pPr>
            <w:r>
              <w:rPr>
                <w:rFonts w:hint="eastAsia"/>
                <w:sz w:val="20"/>
                <w:szCs w:val="21"/>
                <w:lang w:val="en-US" w:eastAsia="zh-CN"/>
              </w:rPr>
              <w:t>小计</w:t>
            </w:r>
          </w:p>
        </w:tc>
        <w:tc>
          <w:tcPr>
            <w:tcW w:w="863" w:type="pct"/>
            <w:vMerge w:val="restart"/>
            <w:tcBorders>
              <w:top w:val="nil"/>
              <w:left w:val="nil"/>
              <w:bottom w:val="single" w:color="000000" w:sz="4" w:space="0"/>
              <w:right w:val="single" w:color="000000" w:sz="4" w:space="0"/>
            </w:tcBorders>
            <w:noWrap w:val="0"/>
            <w:vAlign w:val="center"/>
          </w:tcPr>
          <w:p>
            <w:pPr>
              <w:jc w:val="center"/>
              <w:rPr>
                <w:rFonts w:hint="eastAsia"/>
                <w:sz w:val="20"/>
                <w:szCs w:val="21"/>
              </w:rPr>
            </w:pPr>
            <w:r>
              <w:rPr>
                <w:rFonts w:hint="eastAsia"/>
                <w:sz w:val="20"/>
                <w:szCs w:val="21"/>
                <w:lang w:val="en-US" w:eastAsia="zh-CN"/>
              </w:rPr>
              <w:t>基本支出</w:t>
            </w:r>
          </w:p>
        </w:tc>
        <w:tc>
          <w:tcPr>
            <w:tcW w:w="898" w:type="pct"/>
            <w:vMerge w:val="restart"/>
            <w:tcBorders>
              <w:top w:val="nil"/>
              <w:left w:val="nil"/>
              <w:bottom w:val="single" w:color="000000" w:sz="4" w:space="0"/>
              <w:right w:val="single" w:color="000000" w:sz="4" w:space="0"/>
            </w:tcBorders>
            <w:noWrap w:val="0"/>
            <w:vAlign w:val="center"/>
          </w:tcPr>
          <w:p>
            <w:pPr>
              <w:jc w:val="center"/>
              <w:rPr>
                <w:rFonts w:hint="eastAsia"/>
                <w:sz w:val="20"/>
                <w:szCs w:val="21"/>
              </w:rPr>
            </w:pPr>
            <w:r>
              <w:rPr>
                <w:rFonts w:hint="eastAsia"/>
                <w:sz w:val="20"/>
                <w:szCs w:val="21"/>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40"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0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6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9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40"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0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6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9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236"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236"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8,505.79</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7,175.63</w:t>
            </w: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1,330.16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53.06</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38.46</w:t>
            </w: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23.32</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w:t>
            </w: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2010102</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c>
          <w:tcPr>
            <w:tcW w:w="8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29.74</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29.74</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29.74</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29.74</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84.65</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44.18</w:t>
            </w: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应用研究</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84.65</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44.18</w:t>
            </w: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2060301</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机构运行</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84.65</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44.18</w:t>
            </w: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778.95</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778.95</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717.79</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717.79</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191.38</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191.38</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182.54</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182.54</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302.92</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302.92</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28.02</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28.02</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2080599</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其他行政事业单位养老支出</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12.94</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12.94</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61.16</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61.16</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61.16</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61.16</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224.84</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224.84</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224.84</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224.84</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63.38</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63.38</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84.59</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84.59</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76.87</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76.87</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7,250.78</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6,078.25</w:t>
            </w: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5,664.76</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4,571.49</w:t>
            </w: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2,035.14</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2,003.55</w:t>
            </w: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2120102</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1,016.01</w:t>
            </w:r>
          </w:p>
        </w:tc>
        <w:tc>
          <w:tcPr>
            <w:tcW w:w="8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2120199</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2,613.61</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2,567.94</w:t>
            </w: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城乡社区规划与管理</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1,586.03</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1,506.76</w:t>
            </w: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2120201</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城乡社区规划与管理</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1,586.03</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1,506.76</w:t>
            </w: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102.55</w:t>
            </w:r>
          </w:p>
        </w:tc>
        <w:tc>
          <w:tcPr>
            <w:tcW w:w="8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102.55</w:t>
            </w:r>
          </w:p>
        </w:tc>
        <w:tc>
          <w:tcPr>
            <w:tcW w:w="8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2130202</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23.39</w:t>
            </w:r>
          </w:p>
        </w:tc>
        <w:tc>
          <w:tcPr>
            <w:tcW w:w="8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2130205</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21.37</w:t>
            </w:r>
          </w:p>
        </w:tc>
        <w:tc>
          <w:tcPr>
            <w:tcW w:w="8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2130206</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技术推广与转化</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18.98</w:t>
            </w:r>
          </w:p>
        </w:tc>
        <w:tc>
          <w:tcPr>
            <w:tcW w:w="8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2130211</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动植物保护</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0.96</w:t>
            </w:r>
          </w:p>
        </w:tc>
        <w:tc>
          <w:tcPr>
            <w:tcW w:w="8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2130234</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37.85</w:t>
            </w:r>
          </w:p>
        </w:tc>
        <w:tc>
          <w:tcPr>
            <w:tcW w:w="8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98"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5"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164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00"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w:t>
            </w:r>
          </w:p>
        </w:tc>
        <w:tc>
          <w:tcPr>
            <w:tcW w:w="8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w:t>
            </w:r>
          </w:p>
        </w:tc>
        <w:tc>
          <w:tcPr>
            <w:tcW w:w="898"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000" w:type="pct"/>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720" w:right="720" w:bottom="720" w:left="720" w:header="720" w:footer="720" w:gutter="0"/>
          <w:pgNumType w:fmt="numberInDash"/>
          <w:cols w:space="720" w:num="1"/>
          <w:docGrid w:type="lines" w:linePitch="312" w:charSpace="0"/>
        </w:sectPr>
      </w:pPr>
      <w:r>
        <w:rPr>
          <w:rFonts w:hint="eastAsia" w:ascii="仿宋_GB2312" w:hAnsi="仿宋_GB2312" w:eastAsia="仿宋_GB2312" w:cs="仿宋_GB2312"/>
          <w:sz w:val="32"/>
          <w:szCs w:val="32"/>
          <w:highlight w:val="none"/>
        </w:rPr>
        <w:br w:type="page"/>
      </w:r>
    </w:p>
    <w:tbl>
      <w:tblPr>
        <w:tblStyle w:val="5"/>
        <w:tblW w:w="140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1"/>
        <w:gridCol w:w="2616"/>
        <w:gridCol w:w="1176"/>
        <w:gridCol w:w="996"/>
        <w:gridCol w:w="1788"/>
        <w:gridCol w:w="1248"/>
        <w:gridCol w:w="1164"/>
        <w:gridCol w:w="2415"/>
        <w:gridCol w:w="1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14078"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1141"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6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9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8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6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34"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3757"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部门：许昌市自然资源和规划局</w:t>
            </w:r>
          </w:p>
        </w:tc>
        <w:tc>
          <w:tcPr>
            <w:tcW w:w="117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9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8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6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1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34" w:type="dxa"/>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4933"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145"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41"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6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78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4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1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3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114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6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8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5,589.86</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1,054.30</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1,546.35</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148.82</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1,084.50</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23.90</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1,424.79</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9.26</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5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370.88</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5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 xml:space="preserve"> 机关事业单位基本养老保险缴费</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384.03</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31.93</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64.90</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11.55</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188.13</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82.01</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36.81</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 xml:space="preserve"> 信息网络及软件购置更新</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15.64</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46.13</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386.27</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 xml:space="preserve"> 因公出国（境）费用</w:t>
            </w: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44.97</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42.36</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 xml:space="preserve">  地上附着物和青苗补偿</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530.16</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336.73</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62.83</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125.34</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82.21</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362.93</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30.96</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48.44</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1"/>
                <w:szCs w:val="11"/>
                <w:u w:val="none"/>
                <w:lang w:val="en-US" w:eastAsia="zh-CN" w:bidi="ar"/>
              </w:rPr>
              <w:t xml:space="preserve">  对民间非营利组织和群众性自治组织补贴</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5"/>
                <w:szCs w:val="15"/>
                <w:u w:val="none"/>
                <w:lang w:val="en-US" w:eastAsia="zh-CN" w:bidi="ar"/>
              </w:rPr>
              <w:t xml:space="preserve">  公务用车运行维护费</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38.21</w:t>
            </w:r>
          </w:p>
        </w:tc>
        <w:tc>
          <w:tcPr>
            <w:tcW w:w="116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4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99.58</w:t>
            </w:r>
          </w:p>
        </w:tc>
        <w:tc>
          <w:tcPr>
            <w:tcW w:w="116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41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6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其他对个人和家庭的补助</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w:t>
            </w: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 xml:space="preserve"> 税金及附加费用</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116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41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14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6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1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78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5"/>
                <w:szCs w:val="15"/>
                <w:u w:val="none"/>
                <w:lang w:val="en-US" w:eastAsia="zh-CN" w:bidi="ar"/>
              </w:rPr>
              <w:t xml:space="preserve">  其他商品和服务支出</w:t>
            </w:r>
          </w:p>
        </w:tc>
        <w:tc>
          <w:tcPr>
            <w:tcW w:w="12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14.12</w:t>
            </w:r>
          </w:p>
        </w:tc>
        <w:tc>
          <w:tcPr>
            <w:tcW w:w="116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41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757"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6,120.02</w:t>
            </w:r>
          </w:p>
        </w:tc>
        <w:tc>
          <w:tcPr>
            <w:tcW w:w="7611"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53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14078"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5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6"/>
        <w:gridCol w:w="1296"/>
        <w:gridCol w:w="996"/>
        <w:gridCol w:w="1164"/>
        <w:gridCol w:w="1188"/>
        <w:gridCol w:w="1380"/>
        <w:gridCol w:w="960"/>
        <w:gridCol w:w="1218"/>
        <w:gridCol w:w="882"/>
        <w:gridCol w:w="1248"/>
        <w:gridCol w:w="1140"/>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3858"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00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29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9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6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1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8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4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52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7030"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部门：许昌市自然资源和规划局</w:t>
            </w:r>
          </w:p>
        </w:tc>
        <w:tc>
          <w:tcPr>
            <w:tcW w:w="6828" w:type="dxa"/>
            <w:gridSpan w:val="6"/>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03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828"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348"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3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9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1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27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3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00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3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3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6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8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8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00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53.93</w:t>
            </w: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39.41</w:t>
            </w:r>
          </w:p>
        </w:tc>
        <w:tc>
          <w:tcPr>
            <w:tcW w:w="116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39.41</w:t>
            </w:r>
          </w:p>
        </w:tc>
        <w:tc>
          <w:tcPr>
            <w:tcW w:w="13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14.52</w:t>
            </w:r>
          </w:p>
        </w:tc>
        <w:tc>
          <w:tcPr>
            <w:tcW w:w="9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40.51</w:t>
            </w:r>
          </w:p>
        </w:tc>
        <w:tc>
          <w:tcPr>
            <w:tcW w:w="12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38.27</w:t>
            </w:r>
          </w:p>
        </w:tc>
        <w:tc>
          <w:tcPr>
            <w:tcW w:w="124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38.27</w:t>
            </w:r>
          </w:p>
        </w:tc>
        <w:tc>
          <w:tcPr>
            <w:tcW w:w="13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3858"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4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1"/>
        <w:gridCol w:w="361"/>
        <w:gridCol w:w="361"/>
        <w:gridCol w:w="1784"/>
        <w:gridCol w:w="1845"/>
        <w:gridCol w:w="1845"/>
        <w:gridCol w:w="1845"/>
        <w:gridCol w:w="1845"/>
        <w:gridCol w:w="1845"/>
        <w:gridCol w:w="1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394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部门：许昌市自然资源和规划局</w:t>
            </w:r>
          </w:p>
        </w:tc>
        <w:tc>
          <w:tcPr>
            <w:tcW w:w="0" w:type="auto"/>
            <w:gridSpan w:val="4"/>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3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83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493"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83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16"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3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83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3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1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3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3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3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1116"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3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3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3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3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注：本表反映部门本年度政府性基金预算财政拨款收入、支出及结转和结余情况。本表金额转换为万元时，因四舍五入可能存在尾差。</w:t>
            </w:r>
          </w:p>
        </w:tc>
      </w:tr>
    </w:tbl>
    <w:p>
      <w:pPr>
        <w:widowControl/>
        <w:jc w:val="left"/>
        <w:textAlignment w:val="center"/>
        <w:rPr>
          <w:rFonts w:hint="eastAsia" w:ascii="宋体" w:hAnsi="宋体" w:cs="宋体"/>
          <w:color w:val="000000"/>
          <w:sz w:val="32"/>
          <w:szCs w:val="32"/>
          <w:highlight w:val="none"/>
        </w:rPr>
      </w:pPr>
    </w:p>
    <w:p>
      <w:pPr>
        <w:widowControl/>
        <w:jc w:val="left"/>
        <w:textAlignment w:val="center"/>
        <w:rPr>
          <w:rFonts w:ascii="宋体" w:hAnsi="宋体" w:cs="宋体"/>
          <w:color w:val="000000"/>
          <w:sz w:val="32"/>
          <w:szCs w:val="32"/>
          <w:highlight w:val="none"/>
        </w:rPr>
      </w:pPr>
      <w:r>
        <w:rPr>
          <w:rFonts w:hint="eastAsia" w:ascii="宋体" w:hAnsi="宋体" w:cs="宋体"/>
          <w:color w:val="000000"/>
          <w:sz w:val="32"/>
          <w:szCs w:val="32"/>
          <w:highlight w:val="none"/>
        </w:rPr>
        <w:t>说明：我部门没有政府性基金收入，也没有使用政府性基金安排的支出，故本表无数据。</w:t>
      </w:r>
    </w:p>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2021年度部门决算情况说明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年度收、支总计均为9551.69万元。与上年度相比，收、支总计各减少</w:t>
      </w:r>
      <w:r>
        <w:rPr>
          <w:rFonts w:hint="eastAsia" w:ascii="仿宋_GB2312" w:hAnsi="仿宋_GB2312" w:eastAsia="仿宋_GB2312" w:cs="仿宋_GB2312"/>
          <w:sz w:val="32"/>
          <w:szCs w:val="32"/>
          <w:highlight w:val="none"/>
          <w:lang w:val="en-US" w:eastAsia="zh-CN"/>
        </w:rPr>
        <w:t>4100.27</w:t>
      </w:r>
      <w:r>
        <w:rPr>
          <w:rFonts w:hint="eastAsia" w:ascii="仿宋_GB2312" w:hAnsi="仿宋_GB2312" w:eastAsia="仿宋_GB2312" w:cs="仿宋_GB2312"/>
          <w:sz w:val="32"/>
          <w:szCs w:val="32"/>
          <w:highlight w:val="none"/>
        </w:rPr>
        <w:t>万元，下降</w:t>
      </w:r>
      <w:r>
        <w:rPr>
          <w:rFonts w:hint="default" w:ascii="仿宋_GB2312" w:hAnsi="仿宋_GB2312" w:eastAsia="仿宋_GB2312" w:cs="仿宋_GB2312"/>
          <w:sz w:val="32"/>
          <w:szCs w:val="32"/>
          <w:highlight w:val="none"/>
          <w:lang w:val="en"/>
        </w:rPr>
        <w:t>30.03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主要原因是业务费减少。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年度收入合计7430.76万元，其中：财政拨款收入6775.56万元，占</w:t>
      </w:r>
      <w:r>
        <w:rPr>
          <w:rFonts w:hint="eastAsia" w:ascii="仿宋_GB2312" w:hAnsi="仿宋_GB2312" w:eastAsia="仿宋_GB2312" w:cs="仿宋_GB2312"/>
          <w:sz w:val="32"/>
          <w:szCs w:val="32"/>
          <w:highlight w:val="none"/>
          <w:lang w:val="en-US" w:eastAsia="zh-CN"/>
        </w:rPr>
        <w:t>91.18</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%；经营收入585.29万元，占</w:t>
      </w:r>
      <w:r>
        <w:rPr>
          <w:rFonts w:hint="eastAsia" w:ascii="仿宋_GB2312" w:hAnsi="仿宋_GB2312" w:eastAsia="仿宋_GB2312" w:cs="仿宋_GB2312"/>
          <w:sz w:val="32"/>
          <w:szCs w:val="32"/>
          <w:highlight w:val="none"/>
          <w:lang w:val="en-US" w:eastAsia="zh-CN"/>
        </w:rPr>
        <w:t>7.88</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69.90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0.94</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年度支出合计8943.25万元，其中：基本支出7282.89万元，占</w:t>
      </w:r>
      <w:r>
        <w:rPr>
          <w:rFonts w:hint="eastAsia" w:ascii="仿宋_GB2312" w:hAnsi="仿宋_GB2312" w:eastAsia="仿宋_GB2312" w:cs="仿宋_GB2312"/>
          <w:sz w:val="32"/>
          <w:szCs w:val="32"/>
          <w:highlight w:val="none"/>
          <w:lang w:val="en-US" w:eastAsia="zh-CN"/>
        </w:rPr>
        <w:t>81.44</w:t>
      </w:r>
      <w:r>
        <w:rPr>
          <w:rFonts w:hint="eastAsia" w:ascii="仿宋_GB2312" w:hAnsi="仿宋_GB2312" w:eastAsia="仿宋_GB2312" w:cs="仿宋_GB2312"/>
          <w:sz w:val="32"/>
          <w:szCs w:val="32"/>
          <w:highlight w:val="none"/>
        </w:rPr>
        <w:t>%；项目支出1330.16万元，占</w:t>
      </w:r>
      <w:r>
        <w:rPr>
          <w:rFonts w:hint="eastAsia" w:ascii="仿宋_GB2312" w:hAnsi="仿宋_GB2312" w:eastAsia="仿宋_GB2312" w:cs="仿宋_GB2312"/>
          <w:sz w:val="32"/>
          <w:szCs w:val="32"/>
          <w:highlight w:val="none"/>
          <w:lang w:val="en-US" w:eastAsia="zh-CN"/>
        </w:rPr>
        <w:t>14.87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330.20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3.69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年度财政拨款收、支总计均为8786.27万元。与上年度相比，财政拨款收、支总计各减少</w:t>
      </w:r>
      <w:r>
        <w:rPr>
          <w:rFonts w:hint="eastAsia" w:ascii="仿宋_GB2312" w:hAnsi="仿宋_GB2312" w:eastAsia="仿宋_GB2312" w:cs="仿宋_GB2312"/>
          <w:sz w:val="32"/>
          <w:szCs w:val="32"/>
          <w:highlight w:val="none"/>
          <w:lang w:val="en-US" w:eastAsia="zh-CN"/>
        </w:rPr>
        <w:t>3437.69</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28.12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主要原因是业务费减少。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年度一般公共预算财政拨款支出8505.79万元，占支出合计的</w:t>
      </w:r>
      <w:r>
        <w:rPr>
          <w:rFonts w:hint="eastAsia" w:ascii="仿宋_GB2312" w:hAnsi="仿宋_GB2312" w:eastAsia="仿宋_GB2312" w:cs="仿宋_GB2312"/>
          <w:sz w:val="32"/>
          <w:szCs w:val="32"/>
          <w:highlight w:val="none"/>
          <w:lang w:val="en-US" w:eastAsia="zh-CN"/>
        </w:rPr>
        <w:t>95.11</w:t>
      </w:r>
      <w:r>
        <w:rPr>
          <w:rFonts w:hint="eastAsia" w:ascii="仿宋_GB2312" w:hAnsi="仿宋_GB2312" w:eastAsia="仿宋_GB2312" w:cs="仿宋_GB2312"/>
          <w:sz w:val="32"/>
          <w:szCs w:val="32"/>
          <w:highlight w:val="none"/>
        </w:rPr>
        <w:t>%。与上年度相比，一般公共预算财政拨款支出减少</w:t>
      </w:r>
      <w:r>
        <w:rPr>
          <w:rFonts w:hint="eastAsia" w:ascii="仿宋_GB2312" w:hAnsi="仿宋_GB2312" w:eastAsia="仿宋_GB2312" w:cs="仿宋_GB2312"/>
          <w:sz w:val="32"/>
          <w:szCs w:val="32"/>
          <w:highlight w:val="none"/>
          <w:lang w:val="en-US" w:eastAsia="zh-CN"/>
        </w:rPr>
        <w:t>1488.36</w:t>
      </w:r>
      <w:r>
        <w:rPr>
          <w:rFonts w:hint="eastAsia" w:ascii="仿宋_GB2312" w:hAnsi="仿宋_GB2312" w:eastAsia="仿宋_GB2312" w:cs="仿宋_GB2312"/>
          <w:sz w:val="32"/>
          <w:szCs w:val="32"/>
          <w:highlight w:val="none"/>
        </w:rPr>
        <w:t>万元，下降</w:t>
      </w:r>
      <w:r>
        <w:rPr>
          <w:rFonts w:hint="eastAsia" w:ascii="仿宋_GB2312" w:hAnsi="仿宋_GB2312" w:eastAsia="仿宋_GB2312" w:cs="仿宋_GB2312"/>
          <w:sz w:val="32"/>
          <w:szCs w:val="32"/>
          <w:highlight w:val="none"/>
          <w:lang w:val="en-US" w:eastAsia="zh-CN"/>
        </w:rPr>
        <w:t>14.89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主要原因是业务费减少。</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年度一般公共预算财政拨款支出8505.79万元，主要用于以下方面：</w:t>
      </w:r>
      <w:r>
        <w:rPr>
          <w:rFonts w:hint="eastAsia" w:ascii="仿宋_GB2312" w:hAnsi="仿宋_GB2312" w:eastAsia="仿宋_GB2312" w:cs="仿宋_GB2312"/>
          <w:sz w:val="32"/>
          <w:szCs w:val="32"/>
        </w:rPr>
        <w:t>一般公共服务（类）支出53.06万元，占0.</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%；科学技术（类）支出84.65万元，占</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%；社会保障和就业（类）支出778.95元，占</w:t>
      </w:r>
      <w:r>
        <w:rPr>
          <w:rFonts w:hint="eastAsia" w:ascii="仿宋_GB2312" w:hAnsi="仿宋_GB2312" w:eastAsia="仿宋_GB2312" w:cs="仿宋_GB2312"/>
          <w:sz w:val="32"/>
          <w:szCs w:val="32"/>
          <w:lang w:val="en-US" w:eastAsia="zh-CN"/>
        </w:rPr>
        <w:t>9.16</w:t>
      </w:r>
      <w:r>
        <w:rPr>
          <w:rFonts w:hint="eastAsia" w:ascii="仿宋_GB2312" w:hAnsi="仿宋_GB2312" w:eastAsia="仿宋_GB2312" w:cs="仿宋_GB2312"/>
          <w:sz w:val="32"/>
          <w:szCs w:val="32"/>
        </w:rPr>
        <w:t>%；卫生健康（类）支出224.84万元，占2.</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%；城乡社区（类）支出7250.78万元，占</w:t>
      </w:r>
      <w:r>
        <w:rPr>
          <w:rFonts w:hint="eastAsia" w:ascii="仿宋_GB2312" w:hAnsi="仿宋_GB2312" w:eastAsia="仿宋_GB2312" w:cs="仿宋_GB2312"/>
          <w:sz w:val="32"/>
          <w:szCs w:val="32"/>
          <w:lang w:val="en-US" w:eastAsia="zh-CN"/>
        </w:rPr>
        <w:t>85.24</w:t>
      </w:r>
      <w:r>
        <w:rPr>
          <w:rFonts w:hint="eastAsia" w:ascii="仿宋_GB2312" w:hAnsi="仿宋_GB2312" w:eastAsia="仿宋_GB2312" w:cs="仿宋_GB2312"/>
          <w:sz w:val="32"/>
          <w:szCs w:val="32"/>
        </w:rPr>
        <w:t>%；农林水（类）支出102.55万元，占</w:t>
      </w:r>
      <w:r>
        <w:rPr>
          <w:rFonts w:hint="eastAsia" w:ascii="仿宋_GB2312" w:hAnsi="仿宋_GB2312" w:eastAsia="仿宋_GB2312" w:cs="仿宋_GB2312"/>
          <w:sz w:val="32"/>
          <w:szCs w:val="32"/>
          <w:lang w:val="en-US" w:eastAsia="zh-CN"/>
        </w:rPr>
        <w:t>1.21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；其他（类）支出</w:t>
      </w:r>
      <w:r>
        <w:rPr>
          <w:rFonts w:hint="eastAsia" w:ascii="仿宋_GB2312" w:hAnsi="仿宋_GB2312" w:eastAsia="仿宋_GB2312" w:cs="仿宋_GB2312"/>
          <w:sz w:val="32"/>
          <w:szCs w:val="32"/>
          <w:lang w:val="en-US" w:eastAsia="zh-CN"/>
        </w:rPr>
        <w:t>10.95万元，占0.13%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4939.71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8505.79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172.19</w:t>
      </w:r>
      <w:r>
        <w:rPr>
          <w:rFonts w:hint="eastAsia" w:ascii="仿宋_GB2312" w:hAnsi="仿宋_GB2312" w:eastAsia="仿宋_GB2312" w:cs="仿宋_GB2312"/>
          <w:sz w:val="32"/>
          <w:szCs w:val="32"/>
          <w:highlight w:val="none"/>
        </w:rPr>
        <w:t>%。其中：</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1．一般公共服务支出（类）人大事务（款）行政运行（项）。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91.31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8.72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9.54</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该项</w:t>
      </w:r>
      <w:r>
        <w:rPr>
          <w:rFonts w:hint="eastAsia" w:ascii="仿宋_GB2312" w:hAnsi="仿宋_GB2312" w:eastAsia="仿宋_GB2312" w:cs="仿宋_GB2312"/>
          <w:sz w:val="32"/>
          <w:szCs w:val="32"/>
        </w:rPr>
        <w:t>经费支出减少。</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．一般公共服务支出（类）人大事务（款）一般行政管理事务（项）。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14.60</w:t>
      </w:r>
      <w:r>
        <w:rPr>
          <w:rFonts w:hint="eastAsia" w:ascii="仿宋_GB2312" w:hAnsi="仿宋_GB2312" w:eastAsia="仿宋_GB2312" w:cs="仿宋_GB2312"/>
          <w:sz w:val="32"/>
          <w:szCs w:val="32"/>
        </w:rPr>
        <w:t>万元。决算数与年初预算数存在差异的主要原因是此款系上年结转和本年追加资金。</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．一般公共服务支出（类）群众团体事务（款）工会事务（项）。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19.33</w:t>
      </w:r>
      <w:r>
        <w:rPr>
          <w:rFonts w:hint="eastAsia" w:ascii="仿宋_GB2312" w:hAnsi="仿宋_GB2312" w:eastAsia="仿宋_GB2312" w:cs="仿宋_GB2312"/>
          <w:sz w:val="32"/>
          <w:szCs w:val="32"/>
        </w:rPr>
        <w:t>万元，支出决算为2</w:t>
      </w:r>
      <w:r>
        <w:rPr>
          <w:rFonts w:hint="eastAsia" w:ascii="仿宋_GB2312" w:hAnsi="仿宋_GB2312" w:eastAsia="仿宋_GB2312" w:cs="仿宋_GB2312"/>
          <w:sz w:val="32"/>
          <w:szCs w:val="32"/>
          <w:lang w:val="en-US" w:eastAsia="zh-CN"/>
        </w:rPr>
        <w:t>9.74</w:t>
      </w:r>
      <w:r>
        <w:rPr>
          <w:rFonts w:hint="eastAsia" w:ascii="仿宋_GB2312" w:hAnsi="仿宋_GB2312" w:eastAsia="仿宋_GB2312" w:cs="仿宋_GB2312"/>
          <w:sz w:val="32"/>
          <w:szCs w:val="32"/>
        </w:rPr>
        <w:t>万元，完成年初预算的1</w:t>
      </w:r>
      <w:r>
        <w:rPr>
          <w:rFonts w:hint="eastAsia" w:ascii="仿宋_GB2312" w:hAnsi="仿宋_GB2312" w:eastAsia="仿宋_GB2312" w:cs="仿宋_GB2312"/>
          <w:sz w:val="32"/>
          <w:szCs w:val="32"/>
          <w:lang w:val="en-US" w:eastAsia="zh-CN"/>
        </w:rPr>
        <w:t>53.85</w:t>
      </w:r>
      <w:r>
        <w:rPr>
          <w:rFonts w:hint="eastAsia" w:ascii="仿宋_GB2312" w:hAnsi="仿宋_GB2312" w:eastAsia="仿宋_GB2312" w:cs="仿宋_GB2312"/>
          <w:sz w:val="32"/>
          <w:szCs w:val="32"/>
        </w:rPr>
        <w:t>%。</w:t>
      </w:r>
      <w:r>
        <w:rPr>
          <w:rFonts w:ascii="仿宋_GB2312" w:hAnsi="宋体" w:eastAsia="仿宋_GB2312" w:cs="仿宋_GB2312"/>
          <w:color w:val="000000"/>
          <w:kern w:val="0"/>
          <w:sz w:val="31"/>
          <w:szCs w:val="31"/>
          <w:lang w:bidi="ar"/>
        </w:rPr>
        <w:t>决算数与年初预算数存在差异的主</w:t>
      </w:r>
      <w:r>
        <w:rPr>
          <w:rFonts w:hint="eastAsia" w:ascii="仿宋_GB2312" w:hAnsi="宋体" w:eastAsia="仿宋_GB2312" w:cs="仿宋_GB2312"/>
          <w:color w:val="000000"/>
          <w:kern w:val="0"/>
          <w:sz w:val="31"/>
          <w:szCs w:val="31"/>
          <w:lang w:bidi="ar"/>
        </w:rPr>
        <w:t>要原因是本年支出含上年结余。</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．科学技术支出（类）应用研究（款）机构运行（项）。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84.65</w:t>
      </w:r>
      <w:r>
        <w:rPr>
          <w:rFonts w:hint="eastAsia" w:ascii="仿宋_GB2312" w:hAnsi="仿宋_GB2312" w:eastAsia="仿宋_GB2312" w:cs="仿宋_GB2312"/>
          <w:sz w:val="32"/>
          <w:szCs w:val="32"/>
        </w:rPr>
        <w:t>万元。决算数与年初预算数存在差异的主要原因是此款系上年结转和本年追加资金。</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.社会保障和就业支出（类）行政事业单位养老支出（款）行政单位离退休（项）。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186.16</w:t>
      </w:r>
      <w:r>
        <w:rPr>
          <w:rFonts w:hint="eastAsia" w:ascii="仿宋_GB2312" w:hAnsi="仿宋_GB2312" w:eastAsia="仿宋_GB2312" w:cs="仿宋_GB2312"/>
          <w:sz w:val="32"/>
          <w:szCs w:val="32"/>
        </w:rPr>
        <w:t>万元，支出决算为1</w:t>
      </w:r>
      <w:r>
        <w:rPr>
          <w:rFonts w:hint="eastAsia" w:ascii="仿宋_GB2312" w:hAnsi="仿宋_GB2312" w:eastAsia="仿宋_GB2312" w:cs="仿宋_GB2312"/>
          <w:sz w:val="32"/>
          <w:szCs w:val="32"/>
          <w:lang w:val="en-US" w:eastAsia="zh-CN"/>
        </w:rPr>
        <w:t>91.38</w:t>
      </w:r>
      <w:r>
        <w:rPr>
          <w:rFonts w:hint="eastAsia" w:ascii="仿宋_GB2312" w:hAnsi="仿宋_GB2312" w:eastAsia="仿宋_GB2312" w:cs="仿宋_GB2312"/>
          <w:sz w:val="32"/>
          <w:szCs w:val="32"/>
        </w:rPr>
        <w:t>万元，完成年初预算的10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%。决算数与年初预算数存在差异的主要原因是退休人员增加。</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.社会保障和就业支出（类）行政事业单位养老支出（款）事业单位离退休（项）。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122.17</w:t>
      </w:r>
      <w:r>
        <w:rPr>
          <w:rFonts w:hint="eastAsia" w:ascii="仿宋_GB2312" w:hAnsi="仿宋_GB2312" w:eastAsia="仿宋_GB2312" w:cs="仿宋_GB2312"/>
          <w:sz w:val="32"/>
          <w:szCs w:val="32"/>
        </w:rPr>
        <w:t>万元，支出决算为1</w:t>
      </w:r>
      <w:r>
        <w:rPr>
          <w:rFonts w:hint="eastAsia" w:ascii="仿宋_GB2312" w:hAnsi="仿宋_GB2312" w:eastAsia="仿宋_GB2312" w:cs="仿宋_GB2312"/>
          <w:sz w:val="32"/>
          <w:szCs w:val="32"/>
          <w:lang w:val="en-US" w:eastAsia="zh-CN"/>
        </w:rPr>
        <w:t>82.54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149.41</w:t>
      </w:r>
      <w:r>
        <w:rPr>
          <w:rFonts w:hint="eastAsia" w:ascii="仿宋_GB2312" w:hAnsi="仿宋_GB2312" w:eastAsia="仿宋_GB2312" w:cs="仿宋_GB2312"/>
          <w:sz w:val="32"/>
          <w:szCs w:val="32"/>
        </w:rPr>
        <w:t>%。决算数与年初预算数存在差异的主要原因是退休人员增加。</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.社会保障和就业支出（类）行政事业单位养老支出（款）机关事业单位基本养老保险缴费支出（项）。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247.83</w:t>
      </w:r>
      <w:r>
        <w:rPr>
          <w:rFonts w:hint="eastAsia" w:ascii="仿宋_GB2312" w:hAnsi="仿宋_GB2312" w:eastAsia="仿宋_GB2312" w:cs="仿宋_GB2312"/>
          <w:sz w:val="32"/>
          <w:szCs w:val="32"/>
        </w:rPr>
        <w:t>万元，支出决算为3</w:t>
      </w:r>
      <w:r>
        <w:rPr>
          <w:rFonts w:hint="eastAsia" w:ascii="仿宋_GB2312" w:hAnsi="仿宋_GB2312" w:eastAsia="仿宋_GB2312" w:cs="仿宋_GB2312"/>
          <w:sz w:val="32"/>
          <w:szCs w:val="32"/>
          <w:lang w:val="en-US" w:eastAsia="zh-CN"/>
        </w:rPr>
        <w:t>02.92</w:t>
      </w:r>
      <w:r>
        <w:rPr>
          <w:rFonts w:hint="eastAsia" w:ascii="仿宋_GB2312" w:hAnsi="仿宋_GB2312" w:eastAsia="仿宋_GB2312" w:cs="仿宋_GB2312"/>
          <w:sz w:val="32"/>
          <w:szCs w:val="32"/>
        </w:rPr>
        <w:t>万元，完成年初预算的1</w:t>
      </w:r>
      <w:r>
        <w:rPr>
          <w:rFonts w:hint="eastAsia" w:ascii="仿宋_GB2312" w:hAnsi="仿宋_GB2312" w:eastAsia="仿宋_GB2312" w:cs="仿宋_GB2312"/>
          <w:sz w:val="32"/>
          <w:szCs w:val="32"/>
          <w:lang w:val="en-US" w:eastAsia="zh-CN"/>
        </w:rPr>
        <w:t>22.22</w:t>
      </w:r>
      <w:r>
        <w:rPr>
          <w:rFonts w:hint="eastAsia" w:ascii="仿宋_GB2312" w:hAnsi="仿宋_GB2312" w:eastAsia="仿宋_GB2312" w:cs="仿宋_GB2312"/>
          <w:sz w:val="32"/>
          <w:szCs w:val="32"/>
        </w:rPr>
        <w:t>%。决算数与年初预算数存在差异的主要原因是退休人员增加。</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.社会保障和就业支出（类）行政事业单位养老支出（款）机关事业单位职业年金缴费支出（项）。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28.02</w:t>
      </w:r>
      <w:r>
        <w:rPr>
          <w:rFonts w:hint="eastAsia" w:ascii="仿宋_GB2312" w:hAnsi="仿宋_GB2312" w:eastAsia="仿宋_GB2312" w:cs="仿宋_GB2312"/>
          <w:sz w:val="32"/>
          <w:szCs w:val="32"/>
        </w:rPr>
        <w:t>万元。决算数与年初预算数存在差异的主要原因是退休人员增加。</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ascii="仿宋_GB2312" w:hAnsi="宋体" w:eastAsia="仿宋_GB2312" w:cs="仿宋_GB2312"/>
          <w:color w:val="000000"/>
          <w:kern w:val="0"/>
          <w:sz w:val="32"/>
          <w:szCs w:val="32"/>
          <w:lang w:bidi="ar"/>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.社会保障和就业支出（类）行政事业单位养老支出（款）其他行政事业单位养老支出（项）。</w:t>
      </w:r>
      <w:r>
        <w:rPr>
          <w:rFonts w:ascii="仿宋_GB2312" w:hAnsi="宋体" w:eastAsia="仿宋_GB2312" w:cs="仿宋_GB2312"/>
          <w:color w:val="000000"/>
          <w:kern w:val="0"/>
          <w:sz w:val="31"/>
          <w:szCs w:val="31"/>
          <w:lang w:bidi="ar"/>
        </w:rPr>
        <w:t>年初预算为</w:t>
      </w:r>
      <w:r>
        <w:rPr>
          <w:rFonts w:hint="eastAsia" w:ascii="仿宋_GB2312" w:hAnsi="宋体" w:eastAsia="仿宋_GB2312" w:cs="仿宋_GB2312"/>
          <w:color w:val="000000"/>
          <w:kern w:val="0"/>
          <w:sz w:val="31"/>
          <w:szCs w:val="31"/>
          <w:lang w:val="en-US" w:eastAsia="zh-CN" w:bidi="ar"/>
        </w:rPr>
        <w:t>13.05</w:t>
      </w:r>
      <w:r>
        <w:rPr>
          <w:rFonts w:ascii="仿宋_GB2312" w:hAnsi="宋体" w:eastAsia="仿宋_GB2312" w:cs="仿宋_GB2312"/>
          <w:color w:val="000000"/>
          <w:kern w:val="0"/>
          <w:sz w:val="31"/>
          <w:szCs w:val="31"/>
          <w:lang w:bidi="ar"/>
        </w:rPr>
        <w:t>万元，支</w:t>
      </w:r>
      <w:r>
        <w:rPr>
          <w:rFonts w:hint="eastAsia" w:ascii="仿宋_GB2312" w:hAnsi="宋体" w:eastAsia="仿宋_GB2312" w:cs="仿宋_GB2312"/>
          <w:color w:val="000000"/>
          <w:kern w:val="0"/>
          <w:sz w:val="31"/>
          <w:szCs w:val="31"/>
          <w:lang w:bidi="ar"/>
        </w:rPr>
        <w:t>出决算为</w:t>
      </w:r>
      <w:r>
        <w:rPr>
          <w:rFonts w:hint="eastAsia" w:ascii="仿宋_GB2312" w:hAnsi="宋体" w:eastAsia="仿宋_GB2312" w:cs="仿宋_GB2312"/>
          <w:color w:val="000000"/>
          <w:kern w:val="0"/>
          <w:sz w:val="31"/>
          <w:szCs w:val="31"/>
          <w:lang w:val="en-US" w:eastAsia="zh-CN" w:bidi="ar"/>
        </w:rPr>
        <w:t>12.94</w:t>
      </w:r>
      <w:r>
        <w:rPr>
          <w:rFonts w:hint="eastAsia" w:ascii="仿宋_GB2312" w:hAnsi="宋体" w:eastAsia="仿宋_GB2312" w:cs="仿宋_GB2312"/>
          <w:color w:val="000000"/>
          <w:kern w:val="0"/>
          <w:sz w:val="31"/>
          <w:szCs w:val="31"/>
          <w:lang w:bidi="ar"/>
        </w:rPr>
        <w:t>万元，完成年初预算的 99.</w:t>
      </w:r>
      <w:r>
        <w:rPr>
          <w:rFonts w:hint="eastAsia" w:ascii="仿宋_GB2312" w:hAnsi="宋体" w:eastAsia="仿宋_GB2312" w:cs="仿宋_GB2312"/>
          <w:color w:val="000000"/>
          <w:kern w:val="0"/>
          <w:sz w:val="31"/>
          <w:szCs w:val="31"/>
          <w:lang w:val="en-US" w:eastAsia="zh-CN" w:bidi="ar"/>
        </w:rPr>
        <w:t>15</w:t>
      </w:r>
      <w:r>
        <w:rPr>
          <w:rFonts w:hint="eastAsia" w:ascii="仿宋_GB2312" w:hAnsi="宋体" w:eastAsia="仿宋_GB2312" w:cs="仿宋_GB2312"/>
          <w:color w:val="000000"/>
          <w:kern w:val="0"/>
          <w:sz w:val="31"/>
          <w:szCs w:val="31"/>
          <w:lang w:bidi="ar"/>
        </w:rPr>
        <w:t xml:space="preserve">%。决算数与年初预算数存在差异的主要原因是工资调整。 </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.社会保障和就业支出（类）抚恤（款）死亡抚恤（项）。</w:t>
      </w:r>
      <w:r>
        <w:rPr>
          <w:rFonts w:hint="eastAsia" w:ascii="仿宋_GB2312" w:hAnsi="仿宋_GB2312" w:eastAsia="仿宋_GB2312" w:cs="仿宋_GB2312"/>
          <w:sz w:val="32"/>
          <w:szCs w:val="32"/>
        </w:rPr>
        <w:t>年初预算为0万元，支出决算为</w:t>
      </w:r>
      <w:r>
        <w:rPr>
          <w:rFonts w:hint="eastAsia" w:ascii="仿宋_GB2312" w:hAnsi="仿宋_GB2312" w:eastAsia="仿宋_GB2312" w:cs="仿宋_GB2312"/>
          <w:sz w:val="32"/>
          <w:szCs w:val="32"/>
          <w:lang w:val="en-US" w:eastAsia="zh-CN"/>
        </w:rPr>
        <w:t>61.16</w:t>
      </w:r>
      <w:r>
        <w:rPr>
          <w:rFonts w:hint="eastAsia" w:ascii="仿宋_GB2312" w:hAnsi="仿宋_GB2312" w:eastAsia="仿宋_GB2312" w:cs="仿宋_GB2312"/>
          <w:sz w:val="32"/>
          <w:szCs w:val="32"/>
        </w:rPr>
        <w:t>万元。决算数与年初预算数存在差异的主要原因是此款系本级财政追加资金。</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.卫生健康支出（类）行政事业单位医疗（款）行政单位医疗（项）。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65.68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63.38</w:t>
      </w:r>
      <w:r>
        <w:rPr>
          <w:rFonts w:hint="eastAsia" w:ascii="仿宋_GB2312" w:hAnsi="仿宋_GB2312" w:eastAsia="仿宋_GB2312" w:cs="仿宋_GB2312"/>
          <w:sz w:val="32"/>
          <w:szCs w:val="32"/>
        </w:rPr>
        <w:t>万元，完成年初预算的9</w:t>
      </w:r>
      <w:r>
        <w:rPr>
          <w:rFonts w:hint="eastAsia" w:ascii="仿宋_GB2312" w:hAnsi="仿宋_GB2312" w:eastAsia="仿宋_GB2312" w:cs="仿宋_GB2312"/>
          <w:sz w:val="32"/>
          <w:szCs w:val="32"/>
          <w:lang w:val="en-US" w:eastAsia="zh-CN"/>
        </w:rPr>
        <w:t>6.49</w:t>
      </w:r>
      <w:r>
        <w:rPr>
          <w:rFonts w:hint="eastAsia" w:ascii="仿宋_GB2312" w:hAnsi="仿宋_GB2312" w:eastAsia="仿宋_GB2312" w:cs="仿宋_GB2312"/>
          <w:sz w:val="32"/>
          <w:szCs w:val="32"/>
        </w:rPr>
        <w:t>%。决算数与年初预算数存在差异的主要原因是人员变动。</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.卫生健康支出（类）行政事业单位医疗（款）事业单位医疗（项）。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59.60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84.59</w:t>
      </w:r>
      <w:r>
        <w:rPr>
          <w:rFonts w:hint="eastAsia" w:ascii="仿宋_GB2312" w:hAnsi="仿宋_GB2312" w:eastAsia="仿宋_GB2312" w:cs="仿宋_GB2312"/>
          <w:sz w:val="32"/>
          <w:szCs w:val="32"/>
        </w:rPr>
        <w:t>万元，完成年初预算的1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92</w:t>
      </w:r>
      <w:r>
        <w:rPr>
          <w:rFonts w:hint="eastAsia" w:ascii="仿宋_GB2312" w:hAnsi="仿宋_GB2312" w:eastAsia="仿宋_GB2312" w:cs="仿宋_GB2312"/>
          <w:sz w:val="32"/>
          <w:szCs w:val="32"/>
        </w:rPr>
        <w:t>%。决算数与年初预算数存在差异的主要原因是社保基数调整。</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.卫生健康支出（类）行政事业单位医疗（款）公务员医疗补助（项）。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82.35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76.87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93.34</w:t>
      </w:r>
      <w:r>
        <w:rPr>
          <w:rFonts w:hint="eastAsia" w:ascii="仿宋_GB2312" w:hAnsi="仿宋_GB2312" w:eastAsia="仿宋_GB2312" w:cs="仿宋_GB2312"/>
          <w:sz w:val="32"/>
          <w:szCs w:val="32"/>
        </w:rPr>
        <w:t>%。决算数与年初预算数存在差异的主要原因是社保基数调整。</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.城乡社区</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（类）城乡社区管理事务（款）行政运行（项）。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1718.44</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2035.14</w:t>
      </w:r>
      <w:r>
        <w:rPr>
          <w:rFonts w:hint="eastAsia" w:ascii="仿宋_GB2312" w:hAnsi="仿宋_GB2312" w:eastAsia="仿宋_GB2312" w:cs="仿宋_GB2312"/>
          <w:sz w:val="32"/>
          <w:szCs w:val="32"/>
        </w:rPr>
        <w:t>万元，完成年初预算的1</w:t>
      </w:r>
      <w:r>
        <w:rPr>
          <w:rFonts w:hint="eastAsia" w:ascii="仿宋_GB2312" w:hAnsi="仿宋_GB2312" w:eastAsia="仿宋_GB2312" w:cs="仿宋_GB2312"/>
          <w:sz w:val="32"/>
          <w:szCs w:val="32"/>
          <w:lang w:val="en-US" w:eastAsia="zh-CN"/>
        </w:rPr>
        <w:t>18.42</w:t>
      </w:r>
      <w:r>
        <w:rPr>
          <w:rFonts w:hint="eastAsia" w:ascii="仿宋_GB2312" w:hAnsi="仿宋_GB2312" w:eastAsia="仿宋_GB2312" w:cs="仿宋_GB2312"/>
          <w:sz w:val="32"/>
          <w:szCs w:val="32"/>
        </w:rPr>
        <w:t>%。决算数与年初预算数存在差异的主要原因是人员经费变动。</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.城乡社区</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（类）城乡社区管理事务（款）一般行政管理</w:t>
      </w:r>
      <w:r>
        <w:rPr>
          <w:rFonts w:hint="eastAsia" w:ascii="仿宋_GB2312" w:hAnsi="仿宋_GB2312" w:eastAsia="仿宋_GB2312" w:cs="仿宋_GB2312"/>
          <w:b/>
          <w:bCs/>
          <w:sz w:val="32"/>
          <w:szCs w:val="32"/>
          <w:lang w:val="en-US" w:eastAsia="zh-CN"/>
        </w:rPr>
        <w:t>事务</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1016.01</w:t>
      </w:r>
      <w:r>
        <w:rPr>
          <w:rFonts w:hint="eastAsia" w:ascii="仿宋_GB2312" w:hAnsi="仿宋_GB2312" w:eastAsia="仿宋_GB2312" w:cs="仿宋_GB2312"/>
          <w:sz w:val="32"/>
          <w:szCs w:val="32"/>
        </w:rPr>
        <w:t>万元。决算数与年初预算数</w:t>
      </w:r>
      <w:bookmarkStart w:id="0" w:name="_GoBack"/>
      <w:bookmarkEnd w:id="0"/>
      <w:r>
        <w:rPr>
          <w:rFonts w:hint="eastAsia" w:ascii="仿宋_GB2312" w:hAnsi="仿宋_GB2312" w:eastAsia="仿宋_GB2312" w:cs="仿宋_GB2312"/>
          <w:sz w:val="32"/>
          <w:szCs w:val="32"/>
        </w:rPr>
        <w:t>存在差异的主要原因是此款系上年结转和本年追加资金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.城乡社区</w:t>
      </w:r>
      <w:r>
        <w:rPr>
          <w:rFonts w:hint="eastAsia" w:ascii="仿宋_GB2312" w:hAnsi="仿宋_GB2312" w:eastAsia="仿宋_GB2312" w:cs="仿宋_GB2312"/>
          <w:b/>
          <w:bCs/>
          <w:sz w:val="32"/>
          <w:szCs w:val="32"/>
          <w:lang w:eastAsia="zh-CN"/>
        </w:rPr>
        <w:t>支出</w:t>
      </w:r>
      <w:r>
        <w:rPr>
          <w:rFonts w:hint="eastAsia" w:ascii="仿宋_GB2312" w:hAnsi="仿宋_GB2312" w:eastAsia="仿宋_GB2312" w:cs="仿宋_GB2312"/>
          <w:b/>
          <w:bCs/>
          <w:sz w:val="32"/>
          <w:szCs w:val="32"/>
        </w:rPr>
        <w:t>（类）城乡社区管理事务（款）其他城乡社区管理事务支出（项）。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1445.73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2613.61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180.78</w:t>
      </w:r>
      <w:r>
        <w:rPr>
          <w:rFonts w:hint="eastAsia" w:ascii="仿宋_GB2312" w:hAnsi="仿宋_GB2312" w:eastAsia="仿宋_GB2312" w:cs="仿宋_GB2312"/>
          <w:sz w:val="32"/>
          <w:szCs w:val="32"/>
        </w:rPr>
        <w:t>%。决算数与年初预算数存在差异的主要原因是支出中包括增加人员经费和上年结转支出。</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.城乡社区支出（类）城乡社区规划与管理（款）城乡社区规划与管理（项）。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858.06</w:t>
      </w:r>
      <w:r>
        <w:rPr>
          <w:rFonts w:hint="eastAsia" w:ascii="仿宋_GB2312" w:hAnsi="仿宋_GB2312" w:eastAsia="仿宋_GB2312" w:cs="仿宋_GB2312"/>
          <w:sz w:val="32"/>
          <w:szCs w:val="32"/>
        </w:rPr>
        <w:t>万元，支出决算为1</w:t>
      </w:r>
      <w:r>
        <w:rPr>
          <w:rFonts w:hint="eastAsia" w:ascii="仿宋_GB2312" w:hAnsi="仿宋_GB2312" w:eastAsia="仿宋_GB2312" w:cs="仿宋_GB2312"/>
          <w:sz w:val="32"/>
          <w:szCs w:val="32"/>
          <w:lang w:val="en-US" w:eastAsia="zh-CN"/>
        </w:rPr>
        <w:t>586.03</w:t>
      </w:r>
      <w:r>
        <w:rPr>
          <w:rFonts w:hint="eastAsia" w:ascii="仿宋_GB2312" w:hAnsi="仿宋_GB2312" w:eastAsia="仿宋_GB2312" w:cs="仿宋_GB2312"/>
          <w:sz w:val="32"/>
          <w:szCs w:val="32"/>
        </w:rPr>
        <w:t>万元，完成年初预算的1</w:t>
      </w:r>
      <w:r>
        <w:rPr>
          <w:rFonts w:hint="eastAsia" w:ascii="仿宋_GB2312" w:hAnsi="仿宋_GB2312" w:eastAsia="仿宋_GB2312" w:cs="仿宋_GB2312"/>
          <w:sz w:val="32"/>
          <w:szCs w:val="32"/>
          <w:lang w:val="en-US" w:eastAsia="zh-CN"/>
        </w:rPr>
        <w:t>84.83</w:t>
      </w:r>
      <w:r>
        <w:rPr>
          <w:rFonts w:hint="eastAsia" w:ascii="仿宋_GB2312" w:hAnsi="仿宋_GB2312" w:eastAsia="仿宋_GB2312" w:cs="仿宋_GB2312"/>
          <w:sz w:val="32"/>
          <w:szCs w:val="32"/>
        </w:rPr>
        <w:t>%。决算数与年初预算数存在差异的主要原因是支出中包括增加人员经费和上年结转支出。</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18</w:t>
      </w:r>
      <w:r>
        <w:rPr>
          <w:rFonts w:hint="eastAsia" w:ascii="仿宋_GB2312" w:hAnsi="仿宋_GB2312" w:eastAsia="仿宋_GB2312" w:cs="仿宋_GB2312"/>
          <w:b/>
          <w:bCs/>
          <w:sz w:val="32"/>
          <w:szCs w:val="32"/>
        </w:rPr>
        <w:t>.农林水支出（类）林业和草原（款）一般行政管理事务（项）。</w:t>
      </w:r>
      <w:r>
        <w:rPr>
          <w:rFonts w:hint="eastAsia" w:ascii="仿宋_GB2312" w:hAnsi="仿宋_GB2312" w:eastAsia="仿宋_GB2312" w:cs="仿宋_GB2312"/>
          <w:sz w:val="32"/>
          <w:szCs w:val="32"/>
        </w:rPr>
        <w:t>年初预算为0万元，支出决算为</w:t>
      </w:r>
      <w:r>
        <w:rPr>
          <w:rFonts w:hint="eastAsia" w:ascii="仿宋_GB2312" w:hAnsi="仿宋_GB2312" w:eastAsia="仿宋_GB2312" w:cs="仿宋_GB2312"/>
          <w:sz w:val="32"/>
          <w:szCs w:val="32"/>
          <w:lang w:val="en-US" w:eastAsia="zh-CN"/>
        </w:rPr>
        <w:t>23.39</w:t>
      </w:r>
      <w:r>
        <w:rPr>
          <w:rFonts w:hint="eastAsia" w:ascii="仿宋_GB2312" w:hAnsi="仿宋_GB2312" w:eastAsia="仿宋_GB2312" w:cs="仿宋_GB2312"/>
          <w:sz w:val="32"/>
          <w:szCs w:val="32"/>
        </w:rPr>
        <w:t>万元。决算数与年初预算数存在差异的主要原因是此款系上级追加资金。</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19</w:t>
      </w:r>
      <w:r>
        <w:rPr>
          <w:rFonts w:hint="eastAsia" w:ascii="仿宋_GB2312" w:hAnsi="仿宋_GB2312" w:eastAsia="仿宋_GB2312" w:cs="仿宋_GB2312"/>
          <w:b/>
          <w:bCs/>
          <w:sz w:val="32"/>
          <w:szCs w:val="32"/>
        </w:rPr>
        <w:t>.农林水支出（类）林业和草原（款）森林资源培育（项）。</w:t>
      </w:r>
      <w:r>
        <w:rPr>
          <w:rFonts w:hint="eastAsia" w:ascii="仿宋_GB2312" w:hAnsi="仿宋_GB2312" w:eastAsia="仿宋_GB2312" w:cs="仿宋_GB2312"/>
          <w:sz w:val="32"/>
          <w:szCs w:val="32"/>
        </w:rPr>
        <w:t>年初预算为0万元，支出决算为</w:t>
      </w:r>
      <w:r>
        <w:rPr>
          <w:rFonts w:hint="eastAsia" w:ascii="仿宋_GB2312" w:hAnsi="仿宋_GB2312" w:eastAsia="仿宋_GB2312" w:cs="仿宋_GB2312"/>
          <w:sz w:val="32"/>
          <w:szCs w:val="32"/>
          <w:lang w:val="en-US" w:eastAsia="zh-CN"/>
        </w:rPr>
        <w:t>21.37</w:t>
      </w:r>
      <w:r>
        <w:rPr>
          <w:rFonts w:hint="eastAsia" w:ascii="仿宋_GB2312" w:hAnsi="仿宋_GB2312" w:eastAsia="仿宋_GB2312" w:cs="仿宋_GB2312"/>
          <w:sz w:val="32"/>
          <w:szCs w:val="32"/>
        </w:rPr>
        <w:t>万元。决算数与年初预算数存在差异的主要原因是此款系上级追加资金。</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.农林水支出（类）林业和草原（款）技术推广与转化（项）。</w:t>
      </w:r>
      <w:r>
        <w:rPr>
          <w:rFonts w:hint="eastAsia" w:ascii="仿宋_GB2312" w:hAnsi="仿宋_GB2312" w:eastAsia="仿宋_GB2312" w:cs="仿宋_GB2312"/>
          <w:sz w:val="32"/>
          <w:szCs w:val="32"/>
        </w:rPr>
        <w:t>年初预算为0万元，支出决算为</w:t>
      </w:r>
      <w:r>
        <w:rPr>
          <w:rFonts w:hint="eastAsia" w:ascii="仿宋_GB2312" w:hAnsi="仿宋_GB2312" w:eastAsia="仿宋_GB2312" w:cs="仿宋_GB2312"/>
          <w:sz w:val="32"/>
          <w:szCs w:val="32"/>
          <w:lang w:val="en-US" w:eastAsia="zh-CN"/>
        </w:rPr>
        <w:t>18.98</w:t>
      </w:r>
      <w:r>
        <w:rPr>
          <w:rFonts w:hint="eastAsia" w:ascii="仿宋_GB2312" w:hAnsi="仿宋_GB2312" w:eastAsia="仿宋_GB2312" w:cs="仿宋_GB2312"/>
          <w:sz w:val="32"/>
          <w:szCs w:val="32"/>
        </w:rPr>
        <w:t>万元。决算数与年初预算数存在差异的主要原因是此款系上级追加资金。</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.农林水支出（类）林业和草原（款）动植物保护（项）。</w:t>
      </w:r>
      <w:r>
        <w:rPr>
          <w:rFonts w:hint="eastAsia" w:ascii="仿宋_GB2312" w:hAnsi="仿宋_GB2312" w:eastAsia="仿宋_GB2312" w:cs="仿宋_GB2312"/>
          <w:sz w:val="32"/>
          <w:szCs w:val="32"/>
        </w:rPr>
        <w:t>年初预算为0万元，支出决算为</w:t>
      </w:r>
      <w:r>
        <w:rPr>
          <w:rFonts w:hint="eastAsia" w:ascii="仿宋_GB2312" w:hAnsi="仿宋_GB2312" w:eastAsia="仿宋_GB2312" w:cs="仿宋_GB2312"/>
          <w:sz w:val="32"/>
          <w:szCs w:val="32"/>
          <w:lang w:val="en-US" w:eastAsia="zh-CN"/>
        </w:rPr>
        <w:t>0.96</w:t>
      </w:r>
      <w:r>
        <w:rPr>
          <w:rFonts w:hint="eastAsia" w:ascii="仿宋_GB2312" w:hAnsi="仿宋_GB2312" w:eastAsia="仿宋_GB2312" w:cs="仿宋_GB2312"/>
          <w:sz w:val="32"/>
          <w:szCs w:val="32"/>
        </w:rPr>
        <w:t>万元。决算数与年初预算数存在差异的主要原因是此款系上级追加资金。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.农林水支出（类）林业和草原（款）森林草原防灾减灾（项）。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37.85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126.16</w:t>
      </w:r>
      <w:r>
        <w:rPr>
          <w:rFonts w:hint="eastAsia" w:ascii="仿宋_GB2312" w:hAnsi="仿宋_GB2312" w:eastAsia="仿宋_GB2312" w:cs="仿宋_GB2312"/>
          <w:sz w:val="32"/>
          <w:szCs w:val="32"/>
        </w:rPr>
        <w:t>%。决算数与年初预算数存在差异的</w:t>
      </w:r>
      <w:r>
        <w:rPr>
          <w:rFonts w:ascii="仿宋_GB2312" w:hAnsi="宋体" w:eastAsia="仿宋_GB2312" w:cs="仿宋_GB2312"/>
          <w:color w:val="000000"/>
          <w:kern w:val="0"/>
          <w:sz w:val="31"/>
          <w:szCs w:val="31"/>
          <w:lang w:bidi="ar"/>
        </w:rPr>
        <w:t>主</w:t>
      </w:r>
      <w:r>
        <w:rPr>
          <w:rFonts w:hint="eastAsia" w:ascii="仿宋_GB2312" w:hAnsi="宋体" w:eastAsia="仿宋_GB2312" w:cs="仿宋_GB2312"/>
          <w:color w:val="000000"/>
          <w:kern w:val="0"/>
          <w:sz w:val="31"/>
          <w:szCs w:val="31"/>
          <w:lang w:bidi="ar"/>
        </w:rPr>
        <w:t>要原因是本年支出含上年结余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pPr>
      <w:r>
        <w:rPr>
          <w:rFonts w:hint="eastAsia" w:ascii="仿宋_GB2312" w:hAnsi="仿宋_GB2312" w:eastAsia="仿宋_GB2312" w:cs="仿宋_GB2312"/>
          <w:b/>
          <w:bCs/>
          <w:sz w:val="32"/>
          <w:szCs w:val="32"/>
          <w:lang w:val="en-US" w:eastAsia="zh-CN"/>
        </w:rPr>
        <w:t>23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其他</w:t>
      </w:r>
      <w:r>
        <w:rPr>
          <w:rFonts w:hint="eastAsia" w:ascii="仿宋_GB2312" w:hAnsi="仿宋_GB2312" w:eastAsia="仿宋_GB2312" w:cs="仿宋_GB2312"/>
          <w:b/>
          <w:bCs/>
          <w:sz w:val="32"/>
          <w:szCs w:val="32"/>
        </w:rPr>
        <w:t>支出（类）</w:t>
      </w:r>
      <w:r>
        <w:rPr>
          <w:rFonts w:hint="eastAsia" w:ascii="仿宋_GB2312" w:hAnsi="仿宋_GB2312" w:eastAsia="仿宋_GB2312" w:cs="仿宋_GB2312"/>
          <w:b/>
          <w:bCs/>
          <w:sz w:val="32"/>
          <w:szCs w:val="32"/>
          <w:lang w:val="en-US" w:eastAsia="zh-CN"/>
        </w:rPr>
        <w:t>其他</w:t>
      </w:r>
      <w:r>
        <w:rPr>
          <w:rFonts w:hint="eastAsia" w:ascii="仿宋_GB2312" w:hAnsi="仿宋_GB2312" w:eastAsia="仿宋_GB2312" w:cs="仿宋_GB2312"/>
          <w:b/>
          <w:bCs/>
          <w:sz w:val="32"/>
          <w:szCs w:val="32"/>
        </w:rPr>
        <w:t>支出（款）</w:t>
      </w:r>
      <w:r>
        <w:rPr>
          <w:rFonts w:hint="eastAsia" w:ascii="仿宋_GB2312" w:hAnsi="仿宋_GB2312" w:eastAsia="仿宋_GB2312" w:cs="仿宋_GB2312"/>
          <w:b/>
          <w:bCs/>
          <w:sz w:val="32"/>
          <w:szCs w:val="32"/>
          <w:lang w:val="en-US" w:eastAsia="zh-CN"/>
        </w:rPr>
        <w:t>其他</w:t>
      </w:r>
      <w:r>
        <w:rPr>
          <w:rFonts w:hint="eastAsia" w:ascii="仿宋_GB2312" w:hAnsi="仿宋_GB2312" w:eastAsia="仿宋_GB2312" w:cs="仿宋_GB2312"/>
          <w:b/>
          <w:bCs/>
          <w:sz w:val="32"/>
          <w:szCs w:val="32"/>
        </w:rPr>
        <w:t>支出（项）。</w:t>
      </w:r>
      <w:r>
        <w:rPr>
          <w:rFonts w:hint="eastAsia" w:ascii="仿宋_GB2312" w:hAnsi="仿宋_GB2312" w:eastAsia="仿宋_GB2312" w:cs="仿宋_GB2312"/>
          <w:sz w:val="32"/>
          <w:szCs w:val="32"/>
        </w:rPr>
        <w:t>年初预算为0万元，支出决算为</w:t>
      </w:r>
      <w:r>
        <w:rPr>
          <w:rFonts w:hint="eastAsia" w:ascii="仿宋_GB2312" w:hAnsi="仿宋_GB2312" w:eastAsia="仿宋_GB2312" w:cs="仿宋_GB2312"/>
          <w:sz w:val="32"/>
          <w:szCs w:val="32"/>
          <w:lang w:val="en-US" w:eastAsia="zh-CN"/>
        </w:rPr>
        <w:t>10.95</w:t>
      </w:r>
      <w:r>
        <w:rPr>
          <w:rFonts w:hint="eastAsia" w:ascii="仿宋_GB2312" w:hAnsi="仿宋_GB2312" w:eastAsia="仿宋_GB2312" w:cs="仿宋_GB2312"/>
          <w:sz w:val="32"/>
          <w:szCs w:val="32"/>
        </w:rPr>
        <w:t>万元。决算数与年初预算数存在差异的主要原因是此款系上级追加资金。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年度一般公共预算财政拨款基本支出7175.63万元。其中：人员经费6120.02万元，主要包括：基本工资、津贴补贴、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绩效工资、机关事业单位基本养老保险缴费、职业年金缴费、其他社会保障缴费、职工基本医疗保险缴费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公务员医疗补助缴费其他工资福利支出、退休费、抚恤金、生活补助、住房公积金、其他对个人和家庭的补助支出；公用经费</w:t>
      </w:r>
      <w:r>
        <w:rPr>
          <w:rFonts w:hint="eastAsia" w:ascii="仿宋_GB2312" w:hAnsi="仿宋_GB2312" w:eastAsia="仿宋_GB2312" w:cs="仿宋_GB2312"/>
          <w:sz w:val="32"/>
          <w:szCs w:val="32"/>
          <w:highlight w:val="none"/>
          <w:lang w:val="en-US" w:eastAsia="zh-CN"/>
        </w:rPr>
        <w:t>1055.61</w:t>
      </w:r>
      <w:r>
        <w:rPr>
          <w:rFonts w:hint="eastAsia" w:ascii="仿宋_GB2312" w:hAnsi="仿宋_GB2312" w:eastAsia="仿宋_GB2312" w:cs="仿宋_GB2312"/>
          <w:sz w:val="32"/>
          <w:szCs w:val="32"/>
          <w:highlight w:val="none"/>
        </w:rPr>
        <w:t>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务支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53.93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40.51</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75.12</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w:t>
      </w:r>
      <w:r>
        <w:rPr>
          <w:rFonts w:hint="eastAsia" w:ascii="仿宋_GB2312" w:hAnsi="仿宋_GB2312" w:eastAsia="仿宋_GB2312" w:cs="仿宋_GB2312"/>
          <w:sz w:val="32"/>
          <w:szCs w:val="32"/>
        </w:rPr>
        <w:t>主要原因是严格执行公务接待制度、公车管理制度，厉行勤俭节约。</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w:t>
      </w:r>
      <w:r>
        <w:rPr>
          <w:rFonts w:hint="eastAsia" w:ascii="仿宋_GB2312" w:hAnsi="仿宋_GB2312" w:eastAsia="仿宋_GB2312" w:cs="仿宋_GB2312"/>
          <w:sz w:val="32"/>
          <w:szCs w:val="32"/>
        </w:rPr>
        <w:t>因公出国（境）费支出决算0万元；</w:t>
      </w:r>
      <w:r>
        <w:rPr>
          <w:rFonts w:hint="eastAsia" w:ascii="仿宋_GB2312" w:hAnsi="仿宋_GB2312" w:eastAsia="仿宋_GB2312" w:cs="仿宋_GB2312"/>
          <w:sz w:val="32"/>
          <w:szCs w:val="32"/>
          <w:highlight w:val="none"/>
        </w:rPr>
        <w:t>公务用车购置及运行费支出决算38.27万元，完成预算的</w:t>
      </w:r>
      <w:r>
        <w:rPr>
          <w:rFonts w:hint="eastAsia" w:ascii="仿宋_GB2312" w:hAnsi="仿宋_GB2312" w:eastAsia="仿宋_GB2312" w:cs="仿宋_GB2312"/>
          <w:sz w:val="32"/>
          <w:szCs w:val="32"/>
          <w:highlight w:val="none"/>
          <w:lang w:val="en-US" w:eastAsia="zh-CN"/>
        </w:rPr>
        <w:t>97.11</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94.47</w:t>
      </w:r>
      <w:r>
        <w:rPr>
          <w:rFonts w:hint="eastAsia" w:ascii="仿宋_GB2312" w:hAnsi="仿宋_GB2312" w:eastAsia="仿宋_GB2312" w:cs="仿宋_GB2312"/>
          <w:sz w:val="32"/>
          <w:szCs w:val="32"/>
          <w:highlight w:val="none"/>
        </w:rPr>
        <w:t>%；公务接待费支出决算2.24万元，完成预算的</w:t>
      </w:r>
      <w:r>
        <w:rPr>
          <w:rFonts w:hint="eastAsia" w:ascii="仿宋_GB2312" w:hAnsi="仿宋_GB2312" w:eastAsia="仿宋_GB2312" w:cs="仿宋_GB2312"/>
          <w:sz w:val="32"/>
          <w:szCs w:val="32"/>
          <w:highlight w:val="none"/>
          <w:lang w:val="en-US" w:eastAsia="zh-CN"/>
        </w:rPr>
        <w:t>15.43</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5.53</w:t>
      </w:r>
      <w:r>
        <w:rPr>
          <w:rFonts w:hint="eastAsia" w:ascii="仿宋_GB2312" w:hAnsi="仿宋_GB2312" w:eastAsia="仿宋_GB2312" w:cs="仿宋_GB2312"/>
          <w:sz w:val="32"/>
          <w:szCs w:val="32"/>
          <w:highlight w:val="none"/>
        </w:rPr>
        <w:t>%。具体情况如下：</w:t>
      </w:r>
    </w:p>
    <w:p>
      <w:pPr>
        <w:keepNext w:val="0"/>
        <w:keepLines w:val="0"/>
        <w:pageBreakBefore w:val="0"/>
        <w:widowControl w:val="0"/>
        <w:kinsoku/>
        <w:wordWrap/>
        <w:overflowPunct/>
        <w:topLinePunct w:val="0"/>
        <w:autoSpaceDE/>
        <w:autoSpaceDN/>
        <w:bidi w:val="0"/>
        <w:adjustRightInd/>
        <w:snapToGrid/>
        <w:spacing w:beforeLines="0" w:afterLines="0" w:line="590" w:lineRule="exact"/>
        <w:ind w:firstLine="643" w:firstLineChars="200"/>
        <w:textAlignment w:val="auto"/>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预算为0万元，支出决算为0万元。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w:t>
      </w:r>
      <w:r>
        <w:rPr>
          <w:rFonts w:hint="eastAsia" w:ascii="仿宋_GB2312" w:hAnsi="仿宋_GB2312" w:eastAsia="仿宋_GB2312"/>
          <w:sz w:val="32"/>
          <w:szCs w:val="24"/>
          <w:lang w:val="en-US"/>
        </w:rPr>
        <w:t>决算数与预算数不存在差异。因公出国（境）团组数0个，</w:t>
      </w:r>
      <w:r>
        <w:rPr>
          <w:rFonts w:hint="eastAsia" w:ascii="仿宋_GB2312" w:hAnsi="仿宋_GB2312" w:eastAsia="仿宋_GB2312"/>
          <w:sz w:val="32"/>
          <w:szCs w:val="24"/>
          <w:lang w:val="en-US" w:eastAsia="zh-CN"/>
        </w:rPr>
        <w:t>累计</w:t>
      </w:r>
      <w:r>
        <w:rPr>
          <w:rFonts w:hint="eastAsia" w:ascii="仿宋_GB2312" w:hAnsi="仿宋_GB2312" w:eastAsia="仿宋_GB2312"/>
          <w:sz w:val="32"/>
          <w:szCs w:val="24"/>
          <w:lang w:val="en-US"/>
        </w:rPr>
        <w:t>0人</w:t>
      </w:r>
      <w:r>
        <w:rPr>
          <w:rFonts w:hint="eastAsia" w:ascii="仿宋_GB2312" w:hAnsi="仿宋_GB2312" w:eastAsia="仿宋_GB2312"/>
          <w:sz w:val="32"/>
          <w:szCs w:val="24"/>
          <w:lang w:val="en-US" w:eastAsia="zh-CN"/>
        </w:rPr>
        <w:t>次</w:t>
      </w:r>
      <w:r>
        <w:rPr>
          <w:rFonts w:hint="eastAsia" w:ascii="仿宋_GB2312" w:hAnsi="仿宋_GB2312" w:eastAsia="仿宋_GB2312"/>
          <w:sz w:val="32"/>
          <w:szCs w:val="24"/>
          <w:lang w:val="en-US"/>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预算为39.41万元，支出决算为38.27万元，完成预算的</w:t>
      </w:r>
      <w:r>
        <w:rPr>
          <w:rFonts w:hint="eastAsia" w:ascii="仿宋_GB2312" w:hAnsi="仿宋_GB2312" w:eastAsia="仿宋_GB2312" w:cs="仿宋_GB2312"/>
          <w:sz w:val="32"/>
          <w:szCs w:val="32"/>
          <w:highlight w:val="none"/>
          <w:lang w:val="en-US" w:eastAsia="zh-CN"/>
        </w:rPr>
        <w:t>97.11</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rPr>
        <w:t>严格执行车辆管理规定，减少车辆运行支出。</w:t>
      </w:r>
      <w:r>
        <w:rPr>
          <w:rFonts w:hint="eastAsia" w:ascii="仿宋_GB2312" w:hAnsi="仿宋_GB2312" w:eastAsia="仿宋_GB2312" w:cs="仿宋_GB2312"/>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rPr>
        <w:t>0万元，购置车辆0辆。</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39.41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主要用于车辆维修维护、保险、路桥费等。202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年期末，部门开支财政拨款的公务用车保有量为</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辆。</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预算为14.52万元，支出决算为2.24万元，完成预算的</w:t>
      </w:r>
      <w:r>
        <w:rPr>
          <w:rFonts w:hint="eastAsia" w:ascii="仿宋_GB2312" w:hAnsi="仿宋_GB2312" w:eastAsia="仿宋_GB2312" w:cs="仿宋_GB2312"/>
          <w:sz w:val="32"/>
          <w:szCs w:val="32"/>
          <w:highlight w:val="none"/>
          <w:lang w:val="en-US" w:eastAsia="zh-CN"/>
        </w:rPr>
        <w:t>15.43</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rPr>
        <w:t>认真执行中央八项规定，严格按照规定的范围和标准做好接待工作。</w:t>
      </w:r>
      <w:r>
        <w:rPr>
          <w:rFonts w:hint="eastAsia" w:ascii="仿宋_GB2312" w:hAnsi="仿宋_GB2312" w:eastAsia="仿宋_GB2312" w:cs="仿宋_GB2312"/>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rPr>
        <w:t>0万元。202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年共接待国（境）外来访团组0、来访外宾0人次（不包括陪同人员）</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2.24</w:t>
      </w:r>
      <w:r>
        <w:rPr>
          <w:rFonts w:hint="eastAsia" w:ascii="仿宋_GB2312" w:hAnsi="仿宋_GB2312" w:eastAsia="仿宋_GB2312" w:cs="仿宋_GB2312"/>
          <w:sz w:val="32"/>
          <w:szCs w:val="32"/>
          <w:highlight w:val="none"/>
        </w:rPr>
        <w:t>万元。主要</w:t>
      </w:r>
      <w:r>
        <w:rPr>
          <w:rFonts w:hint="eastAsia" w:ascii="仿宋_GB2312" w:hAnsi="仿宋_GB2312" w:eastAsia="仿宋_GB2312" w:cs="仿宋_GB2312"/>
          <w:sz w:val="32"/>
          <w:szCs w:val="32"/>
        </w:rPr>
        <w:t>用于</w:t>
      </w:r>
      <w:r>
        <w:rPr>
          <w:rFonts w:hint="eastAsia" w:ascii="仿宋_GB2312" w:hAnsi="宋体" w:eastAsia="仿宋_GB2312" w:cs="Courier New"/>
          <w:sz w:val="32"/>
          <w:szCs w:val="32"/>
        </w:rPr>
        <w:t>上级检查工作、案件协查和外地来许考察等</w:t>
      </w:r>
      <w:r>
        <w:rPr>
          <w:rFonts w:hint="eastAsia" w:ascii="仿宋_GB2312" w:hAnsi="仿宋_GB2312" w:eastAsia="仿宋_GB2312" w:cs="仿宋_GB2312"/>
          <w:sz w:val="32"/>
          <w:szCs w:val="32"/>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27</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152</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不存在项目年末结转和结余资金数额较大。情况说明：我部门2021年度没有政府性基金收入，也没有使用政府性基金安排的支出。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672.97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421.14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62.58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rPr>
        <w:t>厉行勤俭节约</w:t>
      </w:r>
      <w:r>
        <w:rPr>
          <w:rFonts w:hint="eastAsia" w:ascii="仿宋_GB2312" w:hAnsi="仿宋_GB2312" w:eastAsia="仿宋_GB2312" w:cs="仿宋_GB2312"/>
          <w:sz w:val="32"/>
          <w:szCs w:val="32"/>
          <w:lang w:eastAsia="zh-CN"/>
        </w:rPr>
        <w:t>，经费支出减少</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753.89</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753.89</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授予中小企业合同金额0万元，占政府采购支出总额的0%，其中：授予小微企业合同金额0万元，占政府采购支出总额的0%。</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辆，其中：</w:t>
      </w:r>
      <w:r>
        <w:rPr>
          <w:rFonts w:hint="eastAsia" w:ascii="仿宋_GB2312" w:hAnsi="仿宋_GB2312" w:eastAsia="仿宋_GB2312" w:cs="仿宋_GB2312"/>
          <w:sz w:val="32"/>
          <w:szCs w:val="32"/>
        </w:rPr>
        <w:t>省级领导干部用车0辆、主要领导干部用车0辆、机要通信用车</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highlight w:val="none"/>
        </w:rPr>
        <w:t>应急保障车</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许昌市自然资源和规划局按照《中共许昌市委 许昌市人民政府关于全面实施预算绩效管理的实施意见》（许发〔2021〕13号）文件要求，对本部门整体支出和项目支出开展全过程预算绩效管理。2021年我部门纳入预算绩效管理的支出总额为8943.25万元，其中：基本支出7282.89万元；支出项目18个，支出金额1330.16万元。开展项目绩效自评项目18个，自评金额1330.16万元；纳入重点绩效评价0个，评价金额0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整体绩效目标和项目支出绩效目标进行了自评。一是部门整体绩效自评情况2021年我部门按照省厅和市委、市政府各项决策部署，解放思想、大胆探索、突出重点，敢于担当，采取强有力措施，推动了自然资源和规划工作高效率、高质量开展。二是项目绩效自评情况。我部门共有18个项目批复了绩效目标,项目金额1330.16万元。其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许昌市自然资源和规划局9个，项目金额：1092.44万元；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许昌市规划展览馆4个，项目金额：79.27万元；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许昌市土地二级市场交易中心</w:t>
      </w:r>
      <w:r>
        <w:rPr>
          <w:rFonts w:hint="eastAsia" w:ascii="仿宋_GB2312" w:hAnsi="仿宋_GB2312" w:eastAsia="仿宋_GB2312" w:cs="仿宋_GB2312"/>
          <w:color w:val="auto"/>
          <w:sz w:val="32"/>
          <w:szCs w:val="32"/>
          <w:highlight w:val="none"/>
          <w:lang w:val="en-US" w:eastAsia="zh-CN"/>
        </w:rPr>
        <w:t>1个,项目金额：3.38万元；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许昌市国有土地管理一所1个，项目金额10.55万元；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许昌市国土资源执法监察支队</w:t>
      </w:r>
      <w:r>
        <w:rPr>
          <w:rFonts w:hint="eastAsia" w:ascii="仿宋_GB2312" w:hAnsi="仿宋_GB2312" w:eastAsia="仿宋_GB2312" w:cs="仿宋_GB2312"/>
          <w:color w:val="auto"/>
          <w:sz w:val="32"/>
          <w:szCs w:val="32"/>
          <w:highlight w:val="none"/>
          <w:lang w:val="en-US" w:eastAsia="zh-CN"/>
        </w:rPr>
        <w:t>2个，项目金额：18.81万元；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许昌市林业和花木园艺发展中心</w:t>
      </w:r>
      <w:r>
        <w:rPr>
          <w:rFonts w:hint="eastAsia" w:ascii="仿宋_GB2312" w:hAnsi="仿宋_GB2312" w:eastAsia="仿宋_GB2312" w:cs="仿宋_GB2312"/>
          <w:color w:val="auto"/>
          <w:sz w:val="32"/>
          <w:szCs w:val="32"/>
          <w:highlight w:val="none"/>
          <w:lang w:val="en-US" w:eastAsia="zh-CN"/>
        </w:rPr>
        <w:t>1个，项目金额：125.71万元。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93.06分。其中：15个项目评价等级为“优”、2个项目评价等级为“良”、1个项目评价等级为“中”、0个项目评价等级为“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许昌市财政局和我部门共选取我部门1个项目开展重点绩效评价：0个项目等次为“优”、0个项目等次为“良”，1个项目等次为“中”，0个项目等次为“差”。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我部门将对照重点绩效评价发现问题进行整改，不断提高我部门项目和预算管理水平，提升财政资金使用效益。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23BF51"/>
    <w:multiLevelType w:val="singleLevel"/>
    <w:tmpl w:val="B123BF51"/>
    <w:lvl w:ilvl="0" w:tentative="0">
      <w:start w:val="1"/>
      <w:numFmt w:val="decimal"/>
      <w:lvlText w:val="%1."/>
      <w:lvlJc w:val="left"/>
      <w:pPr>
        <w:tabs>
          <w:tab w:val="left" w:pos="312"/>
        </w:tabs>
      </w:p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OTBkZTE3OTEwYjExNjIzYmQ5YTM2MzNjNjFlZmI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790137"/>
    <w:rsid w:val="03C75F80"/>
    <w:rsid w:val="0478364D"/>
    <w:rsid w:val="053D4C0D"/>
    <w:rsid w:val="0557532E"/>
    <w:rsid w:val="0799329C"/>
    <w:rsid w:val="08397436"/>
    <w:rsid w:val="086F16A7"/>
    <w:rsid w:val="0A0F7225"/>
    <w:rsid w:val="0A2B7D82"/>
    <w:rsid w:val="0A943306"/>
    <w:rsid w:val="0ADC40E9"/>
    <w:rsid w:val="0AE607F4"/>
    <w:rsid w:val="0B386127"/>
    <w:rsid w:val="0B451598"/>
    <w:rsid w:val="0BE91440"/>
    <w:rsid w:val="0BEC73F4"/>
    <w:rsid w:val="0C392698"/>
    <w:rsid w:val="0E4F4AFB"/>
    <w:rsid w:val="0F340C24"/>
    <w:rsid w:val="104A4BA3"/>
    <w:rsid w:val="10BD36F6"/>
    <w:rsid w:val="11BF0649"/>
    <w:rsid w:val="123E3E08"/>
    <w:rsid w:val="133212F4"/>
    <w:rsid w:val="13D22E22"/>
    <w:rsid w:val="157C528A"/>
    <w:rsid w:val="161C2DFF"/>
    <w:rsid w:val="16373578"/>
    <w:rsid w:val="16D3336B"/>
    <w:rsid w:val="17200028"/>
    <w:rsid w:val="175157E2"/>
    <w:rsid w:val="17806C36"/>
    <w:rsid w:val="17A74F62"/>
    <w:rsid w:val="18A47774"/>
    <w:rsid w:val="1A8D28EB"/>
    <w:rsid w:val="1A9F2D78"/>
    <w:rsid w:val="1B2E6FD8"/>
    <w:rsid w:val="1B762CF0"/>
    <w:rsid w:val="1B877D21"/>
    <w:rsid w:val="1C4319A9"/>
    <w:rsid w:val="1E443B4B"/>
    <w:rsid w:val="1E634B83"/>
    <w:rsid w:val="1E994F4A"/>
    <w:rsid w:val="1EAF0224"/>
    <w:rsid w:val="1EAF6581"/>
    <w:rsid w:val="1F2230A4"/>
    <w:rsid w:val="20210932"/>
    <w:rsid w:val="202448E0"/>
    <w:rsid w:val="20350095"/>
    <w:rsid w:val="20F614FE"/>
    <w:rsid w:val="20FF5536"/>
    <w:rsid w:val="21302EEA"/>
    <w:rsid w:val="22376FB5"/>
    <w:rsid w:val="23516834"/>
    <w:rsid w:val="23E152D7"/>
    <w:rsid w:val="23EE2489"/>
    <w:rsid w:val="255D43C8"/>
    <w:rsid w:val="26714EF8"/>
    <w:rsid w:val="26876BDD"/>
    <w:rsid w:val="2714632A"/>
    <w:rsid w:val="27541E73"/>
    <w:rsid w:val="27B0539E"/>
    <w:rsid w:val="27F05BD9"/>
    <w:rsid w:val="28E90333"/>
    <w:rsid w:val="29365CF8"/>
    <w:rsid w:val="299469B3"/>
    <w:rsid w:val="29C410CB"/>
    <w:rsid w:val="2A805789"/>
    <w:rsid w:val="2ADC0D75"/>
    <w:rsid w:val="2B4A0E52"/>
    <w:rsid w:val="2B661BBA"/>
    <w:rsid w:val="2C975890"/>
    <w:rsid w:val="2D542766"/>
    <w:rsid w:val="2DEF21BB"/>
    <w:rsid w:val="2E4A2F05"/>
    <w:rsid w:val="2ECC1061"/>
    <w:rsid w:val="2FA476AD"/>
    <w:rsid w:val="303F7540"/>
    <w:rsid w:val="31DD00BF"/>
    <w:rsid w:val="321A105A"/>
    <w:rsid w:val="3293174C"/>
    <w:rsid w:val="32BB38D4"/>
    <w:rsid w:val="32C9376D"/>
    <w:rsid w:val="332B21BB"/>
    <w:rsid w:val="33780472"/>
    <w:rsid w:val="33791FAF"/>
    <w:rsid w:val="33AF0905"/>
    <w:rsid w:val="355932F4"/>
    <w:rsid w:val="355A6D87"/>
    <w:rsid w:val="35611882"/>
    <w:rsid w:val="358931C8"/>
    <w:rsid w:val="35C8327C"/>
    <w:rsid w:val="36746FC3"/>
    <w:rsid w:val="368763AE"/>
    <w:rsid w:val="395D59E7"/>
    <w:rsid w:val="39A93932"/>
    <w:rsid w:val="3A915562"/>
    <w:rsid w:val="3A9163E1"/>
    <w:rsid w:val="3B13167E"/>
    <w:rsid w:val="3B8D4765"/>
    <w:rsid w:val="3C000DBA"/>
    <w:rsid w:val="3DC045D3"/>
    <w:rsid w:val="3DCD7B60"/>
    <w:rsid w:val="3DFE4614"/>
    <w:rsid w:val="3E504FFB"/>
    <w:rsid w:val="3E615CD0"/>
    <w:rsid w:val="3E934A6C"/>
    <w:rsid w:val="3E9C47F6"/>
    <w:rsid w:val="3EE9C672"/>
    <w:rsid w:val="3F8B0112"/>
    <w:rsid w:val="3FAB3095"/>
    <w:rsid w:val="3FD447CA"/>
    <w:rsid w:val="3FE45947"/>
    <w:rsid w:val="41242965"/>
    <w:rsid w:val="41874A60"/>
    <w:rsid w:val="435671EA"/>
    <w:rsid w:val="440809E9"/>
    <w:rsid w:val="442407A6"/>
    <w:rsid w:val="44805EA1"/>
    <w:rsid w:val="45710696"/>
    <w:rsid w:val="460B6140"/>
    <w:rsid w:val="46142B1B"/>
    <w:rsid w:val="47E60DD0"/>
    <w:rsid w:val="48735039"/>
    <w:rsid w:val="492C684B"/>
    <w:rsid w:val="49500594"/>
    <w:rsid w:val="49E7604E"/>
    <w:rsid w:val="4B0D50EC"/>
    <w:rsid w:val="4B773D97"/>
    <w:rsid w:val="4BA66879"/>
    <w:rsid w:val="4BF67CDD"/>
    <w:rsid w:val="4CD5602B"/>
    <w:rsid w:val="4D173441"/>
    <w:rsid w:val="4D603DD6"/>
    <w:rsid w:val="4EBF010F"/>
    <w:rsid w:val="4EDC184E"/>
    <w:rsid w:val="4F471EB0"/>
    <w:rsid w:val="4FE21148"/>
    <w:rsid w:val="51331326"/>
    <w:rsid w:val="51740A7F"/>
    <w:rsid w:val="51A5541E"/>
    <w:rsid w:val="51C96242"/>
    <w:rsid w:val="53906AE1"/>
    <w:rsid w:val="53F751F5"/>
    <w:rsid w:val="54F46F60"/>
    <w:rsid w:val="556D1D67"/>
    <w:rsid w:val="55A37BEA"/>
    <w:rsid w:val="56362CD2"/>
    <w:rsid w:val="567E569B"/>
    <w:rsid w:val="5784687B"/>
    <w:rsid w:val="57846959"/>
    <w:rsid w:val="578E6A87"/>
    <w:rsid w:val="57F56069"/>
    <w:rsid w:val="58A43E59"/>
    <w:rsid w:val="58A475E8"/>
    <w:rsid w:val="5AC2203A"/>
    <w:rsid w:val="5B331B0D"/>
    <w:rsid w:val="5CBB3334"/>
    <w:rsid w:val="5D064F7B"/>
    <w:rsid w:val="5D115FAF"/>
    <w:rsid w:val="5E3D2C1E"/>
    <w:rsid w:val="5E7D4B07"/>
    <w:rsid w:val="60875DA2"/>
    <w:rsid w:val="62811722"/>
    <w:rsid w:val="62E75A72"/>
    <w:rsid w:val="64571880"/>
    <w:rsid w:val="649125B6"/>
    <w:rsid w:val="652F4C1A"/>
    <w:rsid w:val="65781013"/>
    <w:rsid w:val="666D37F1"/>
    <w:rsid w:val="67087D8F"/>
    <w:rsid w:val="671F687E"/>
    <w:rsid w:val="67F415F8"/>
    <w:rsid w:val="682640D1"/>
    <w:rsid w:val="684B73E5"/>
    <w:rsid w:val="6A047A2A"/>
    <w:rsid w:val="6BA15811"/>
    <w:rsid w:val="6C662EEF"/>
    <w:rsid w:val="6E557C07"/>
    <w:rsid w:val="6EFB7548"/>
    <w:rsid w:val="6F3831C3"/>
    <w:rsid w:val="6F8B71C1"/>
    <w:rsid w:val="70753482"/>
    <w:rsid w:val="707B522A"/>
    <w:rsid w:val="70D04DD3"/>
    <w:rsid w:val="712565D7"/>
    <w:rsid w:val="713F3532"/>
    <w:rsid w:val="73194D05"/>
    <w:rsid w:val="73A83B0E"/>
    <w:rsid w:val="744D3EF9"/>
    <w:rsid w:val="74794411"/>
    <w:rsid w:val="75867C40"/>
    <w:rsid w:val="75B10B26"/>
    <w:rsid w:val="76432199"/>
    <w:rsid w:val="76F44829"/>
    <w:rsid w:val="77A267C0"/>
    <w:rsid w:val="78882278"/>
    <w:rsid w:val="78B118A6"/>
    <w:rsid w:val="79135044"/>
    <w:rsid w:val="792D70AB"/>
    <w:rsid w:val="7A7D0F99"/>
    <w:rsid w:val="7B5977DA"/>
    <w:rsid w:val="7C0C0A86"/>
    <w:rsid w:val="7D6535EA"/>
    <w:rsid w:val="7DEB3151"/>
    <w:rsid w:val="7E4A0E7C"/>
    <w:rsid w:val="7EFD449D"/>
    <w:rsid w:val="7EFF6C8A"/>
    <w:rsid w:val="8BFADCB1"/>
    <w:rsid w:val="9D6B8BEC"/>
    <w:rsid w:val="BABBAADC"/>
    <w:rsid w:val="F9BF0ED7"/>
    <w:rsid w:val="FABA5E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42</Pages>
  <Words>14451</Words>
  <Characters>18024</Characters>
  <Lines>60</Lines>
  <Paragraphs>16</Paragraphs>
  <TotalTime>32</TotalTime>
  <ScaleCrop>false</ScaleCrop>
  <LinksUpToDate>false</LinksUpToDate>
  <CharactersWithSpaces>18364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2007-11-30T03:41:00Z</dcterms:created>
  <dc:creator>管理者</dc:creator>
  <cp:lastModifiedBy>lenovo</cp:lastModifiedBy>
  <cp:lastPrinted>2023-02-25T02:20:00Z</cp:lastPrinted>
  <dcterms:modified xsi:type="dcterms:W3CDTF">2023-09-12T10:29:15Z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95CAA6FBD55646BF8BF4B74B7F5F84E8_13</vt:lpwstr>
  </property>
</Properties>
</file>