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lang w:val="en-US" w:eastAsia="zh-CN"/>
        </w:rPr>
        <w:t xml:space="preserve">   </w:t>
      </w: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lang w:eastAsia="zh-CN"/>
        </w:rPr>
        <w:t>许昌市统计局</w:t>
      </w:r>
      <w:r>
        <w:rPr>
          <w:rFonts w:hint="eastAsia" w:ascii="黑体" w:hAnsi="黑体" w:eastAsia="黑体" w:cs="黑体"/>
          <w:sz w:val="52"/>
          <w:szCs w:val="52"/>
          <w:highlight w:val="none"/>
        </w:rPr>
        <w:t>部门决算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highlight w:val="none"/>
          <w:lang w:eastAsia="zh-CN"/>
        </w:rPr>
        <w:t>许昌市统计局</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部门职责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2021年度部门决算表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ascii="黑体" w:hAnsi="黑体" w:eastAsia="黑体" w:cs="黑体"/>
          <w:sz w:val="32"/>
          <w:szCs w:val="32"/>
          <w:highlight w:val="none"/>
        </w:rPr>
        <w:t>部门</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 xml:space="preserve">第一部分  </w:t>
      </w:r>
      <w:r>
        <w:rPr>
          <w:rFonts w:hint="eastAsia" w:ascii="黑体" w:hAnsi="黑体" w:eastAsia="黑体" w:cs="黑体"/>
          <w:sz w:val="48"/>
          <w:szCs w:val="48"/>
          <w:highlight w:val="none"/>
          <w:lang w:eastAsia="zh-CN"/>
        </w:rPr>
        <w:t>许昌市统计局</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一、部门</w:t>
      </w:r>
      <w:r>
        <w:rPr>
          <w:rFonts w:hint="eastAsia" w:ascii="黑体" w:hAnsi="黑体" w:eastAsia="黑体" w:cs="黑体"/>
          <w:bCs/>
          <w:sz w:val="32"/>
          <w:szCs w:val="32"/>
          <w:highlight w:val="none"/>
        </w:rPr>
        <w:t>职责</w:t>
      </w:r>
    </w:p>
    <w:p>
      <w:pPr>
        <w:spacing w:line="600" w:lineRule="exact"/>
        <w:ind w:firstLine="640" w:firstLineChars="200"/>
        <w:rPr>
          <w:rFonts w:hint="eastAsia" w:ascii="仿宋_GB2312" w:hAnsi="宋体" w:eastAsia="仿宋_GB2312"/>
          <w:sz w:val="32"/>
          <w:szCs w:val="32"/>
        </w:rPr>
      </w:pPr>
      <w:r>
        <w:rPr>
          <w:rFonts w:hint="eastAsia" w:ascii="仿宋_GB2312" w:eastAsia="仿宋_GB2312"/>
          <w:sz w:val="32"/>
          <w:szCs w:val="32"/>
        </w:rPr>
        <w:t>许昌市统计局主要职责是：承担组织领导和协调全市统计工作，确保统计数据真实、准确、及时</w:t>
      </w:r>
      <w:r>
        <w:rPr>
          <w:rFonts w:hint="eastAsia" w:ascii="仿宋_GB2312" w:eastAsia="仿宋_GB2312"/>
          <w:sz w:val="32"/>
          <w:szCs w:val="32"/>
          <w:lang w:eastAsia="zh-CN"/>
        </w:rPr>
        <w:t>；</w:t>
      </w:r>
      <w:r>
        <w:rPr>
          <w:rFonts w:hint="eastAsia" w:ascii="仿宋_GB2312" w:eastAsia="仿宋_GB2312"/>
          <w:sz w:val="32"/>
          <w:szCs w:val="32"/>
        </w:rPr>
        <w:t>会同有关部门贯彻落实全国重大国情国力普查计划、方案，组织实施全市人口、经济、农业等国情国力普查和投入产出调查等大型专项调查，汇总、整理和提供有关统计数据。</w:t>
      </w:r>
    </w:p>
    <w:p>
      <w:pPr>
        <w:spacing w:line="600" w:lineRule="exact"/>
        <w:ind w:firstLine="640" w:firstLineChars="200"/>
        <w:rPr>
          <w:rFonts w:hint="eastAsia" w:ascii="仿宋_GB2312" w:hAnsi="宋体" w:eastAsia="仿宋_GB2312" w:cs="宋体"/>
          <w:kern w:val="0"/>
          <w:sz w:val="32"/>
          <w:szCs w:val="32"/>
          <w:highlight w:val="none"/>
        </w:rPr>
      </w:pPr>
      <w:r>
        <w:rPr>
          <w:rFonts w:hint="eastAsia" w:ascii="仿宋_GB2312" w:eastAsia="仿宋_GB2312"/>
          <w:sz w:val="32"/>
          <w:szCs w:val="32"/>
        </w:rPr>
        <w:t>许昌市统计局贯彻执行国家、省、市关于统计工作的方针政策和法律、法规、规章以及统计制度、统计标准，起草有关地方性法规和规章草案，制定全市统计发展规划、政策并组织实施；审批全市地方统计调查项目以及涉外统计调查项目；承担组织领导和协调全市统计工作，确保统计数据真实、准确和及时的责任</w:t>
      </w:r>
      <w:r>
        <w:rPr>
          <w:rFonts w:hint="eastAsia" w:ascii="仿宋_GB2312" w:hAnsi="宋体" w:eastAsia="仿宋_GB2312" w:cs="宋体"/>
          <w:kern w:val="0"/>
          <w:sz w:val="32"/>
          <w:szCs w:val="32"/>
          <w:highlight w:val="none"/>
        </w:rPr>
        <w:t>。</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widowControl/>
        <w:ind w:firstLine="640" w:firstLineChars="200"/>
        <w:jc w:val="left"/>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lang w:eastAsia="zh-CN"/>
        </w:rPr>
        <w:t>许昌市统计局内设机构</w:t>
      </w:r>
      <w:r>
        <w:rPr>
          <w:rFonts w:hint="eastAsia" w:ascii="仿宋_GB2312" w:hAnsi="仿宋_GB2312" w:eastAsia="仿宋_GB2312" w:cs="仿宋_GB2312"/>
          <w:kern w:val="0"/>
          <w:sz w:val="32"/>
          <w:szCs w:val="32"/>
          <w:highlight w:val="none"/>
          <w:lang w:val="en-US" w:eastAsia="zh-CN"/>
        </w:rPr>
        <w:t>9</w:t>
      </w:r>
      <w:r>
        <w:rPr>
          <w:rFonts w:hint="eastAsia" w:ascii="仿宋_GB2312" w:hAnsi="仿宋_GB2312" w:eastAsia="仿宋_GB2312" w:cs="仿宋_GB2312"/>
          <w:kern w:val="0"/>
          <w:sz w:val="32"/>
          <w:szCs w:val="32"/>
          <w:highlight w:val="none"/>
          <w:lang w:eastAsia="zh-CN"/>
        </w:rPr>
        <w:t>个，包括：办公室、政策法规和统计设计管理科（统计执法监督科）、国民经济综合核算科（监测评价考核科）、农业和能源生态统计科、工业统计科、固定资产投资统计科、贸易外经统计科（服务业统计科）、人口就业和社会科技文化统计科、机关党委。</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从决算单位构成看，</w:t>
      </w:r>
      <w:r>
        <w:rPr>
          <w:rFonts w:hint="eastAsia" w:ascii="仿宋_GB2312" w:hAnsi="仿宋_GB2312" w:eastAsia="仿宋_GB2312" w:cs="仿宋_GB2312"/>
          <w:kern w:val="0"/>
          <w:sz w:val="32"/>
          <w:szCs w:val="32"/>
          <w:highlight w:val="none"/>
          <w:lang w:eastAsia="zh-CN"/>
        </w:rPr>
        <w:t>许昌市统计局</w:t>
      </w:r>
      <w:r>
        <w:rPr>
          <w:rFonts w:hint="eastAsia" w:ascii="仿宋_GB2312" w:hAnsi="仿宋_GB2312" w:eastAsia="仿宋_GB2312" w:cs="仿宋_GB2312"/>
          <w:kern w:val="0"/>
          <w:sz w:val="32"/>
          <w:szCs w:val="32"/>
          <w:highlight w:val="none"/>
        </w:rPr>
        <w:t>部门决算包括：本级决算</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1个</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、所属单位决算</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3个</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本决算为汇总决算，纳入本部门2021年度部门决算编制范围的单位共4个，</w:t>
      </w:r>
      <w:r>
        <w:rPr>
          <w:rFonts w:hint="eastAsia" w:ascii="仿宋_GB2312" w:hAnsi="仿宋_GB2312" w:eastAsia="仿宋_GB2312" w:cs="仿宋_GB2312"/>
          <w:b w:val="0"/>
          <w:bCs w:val="0"/>
          <w:color w:val="auto"/>
          <w:kern w:val="0"/>
          <w:sz w:val="32"/>
          <w:szCs w:val="32"/>
          <w:highlight w:val="none"/>
          <w:lang w:val="en-US" w:eastAsia="zh-CN"/>
        </w:rPr>
        <w:t>其中二级预算单位3个</w:t>
      </w:r>
      <w:r>
        <w:rPr>
          <w:rFonts w:hint="eastAsia" w:ascii="仿宋_GB2312" w:hAnsi="仿宋_GB2312" w:eastAsia="仿宋_GB2312" w:cs="仿宋_GB2312"/>
          <w:color w:val="auto"/>
          <w:kern w:val="0"/>
          <w:sz w:val="32"/>
          <w:szCs w:val="32"/>
          <w:highlight w:val="none"/>
          <w:lang w:val="en-US" w:eastAsia="zh-CN"/>
        </w:rPr>
        <w:t>，具体是：</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1.许昌市统计局（本级）</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2.许昌市统计局（事业）</w:t>
      </w:r>
    </w:p>
    <w:p>
      <w:pPr>
        <w:widowControl/>
        <w:ind w:firstLine="640" w:firstLineChars="200"/>
        <w:jc w:val="left"/>
        <w:rPr>
          <w:rFonts w:hint="eastAsia" w:ascii="黑体" w:hAnsi="宋体" w:eastAsia="黑体" w:cs="宋体"/>
          <w:kern w:val="0"/>
          <w:sz w:val="32"/>
          <w:szCs w:val="32"/>
        </w:rPr>
      </w:pPr>
      <w:r>
        <w:rPr>
          <w:rFonts w:hint="eastAsia" w:ascii="仿宋_GB2312" w:hAnsi="仿宋_GB2312" w:eastAsia="仿宋_GB2312" w:cs="仿宋_GB2312"/>
          <w:kern w:val="0"/>
          <w:sz w:val="32"/>
          <w:szCs w:val="32"/>
        </w:rPr>
        <w:t>3.许昌市统计局（服务业统计中心）</w:t>
      </w:r>
    </w:p>
    <w:p>
      <w:pPr>
        <w:widowControl/>
        <w:ind w:firstLine="640" w:firstLineChars="200"/>
        <w:jc w:val="left"/>
        <w:rPr>
          <w:rFonts w:hint="eastAsia" w:ascii="仿宋_GB2312" w:hAnsi="仿宋_GB2312" w:eastAsia="仿宋_GB2312" w:cs="仿宋_GB2312"/>
          <w:kern w:val="0"/>
          <w:sz w:val="32"/>
          <w:szCs w:val="32"/>
          <w:lang w:eastAsia="zh-CN"/>
        </w:rPr>
        <w:sectPr>
          <w:pgSz w:w="11906" w:h="16838"/>
          <w:pgMar w:top="1440" w:right="1800" w:bottom="1440" w:left="1800" w:header="720" w:footer="720" w:gutter="0"/>
          <w:pgNumType w:fmt="numberInDash"/>
          <w:cols w:space="720" w:num="1"/>
          <w:docGrid w:type="lines" w:linePitch="312" w:charSpace="0"/>
        </w:sectPr>
      </w:pPr>
      <w:r>
        <w:rPr>
          <w:rFonts w:hint="eastAsia" w:ascii="仿宋_GB2312" w:hAnsi="仿宋_GB2312" w:eastAsia="仿宋_GB2312" w:cs="仿宋_GB2312"/>
          <w:kern w:val="0"/>
          <w:sz w:val="32"/>
          <w:szCs w:val="32"/>
        </w:rPr>
        <w:t>4.许昌市统计局（数据管理中心</w:t>
      </w:r>
      <w:r>
        <w:rPr>
          <w:rFonts w:hint="eastAsia" w:ascii="仿宋_GB2312" w:hAnsi="仿宋_GB2312" w:eastAsia="仿宋_GB2312" w:cs="仿宋_GB2312"/>
          <w:kern w:val="0"/>
          <w:sz w:val="32"/>
          <w:szCs w:val="32"/>
          <w:lang w:eastAsia="zh-CN"/>
        </w:rPr>
        <w:t>）</w:t>
      </w:r>
    </w:p>
    <w:p>
      <w:pPr>
        <w:widowControl/>
        <w:jc w:val="left"/>
        <w:rPr>
          <w:rFonts w:hint="eastAsia" w:ascii="仿宋_GB2312" w:hAnsi="仿宋_GB2312" w:eastAsia="仿宋_GB2312" w:cs="仿宋_GB2312"/>
          <w:kern w:val="0"/>
          <w:sz w:val="32"/>
          <w:szCs w:val="32"/>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2021年度部门决算表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20"/>
        <w:gridCol w:w="862"/>
        <w:gridCol w:w="1449"/>
        <w:gridCol w:w="4632"/>
        <w:gridCol w:w="862"/>
        <w:gridCol w:w="14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174" w:type="dxa"/>
            <w:gridSpan w:val="6"/>
            <w:tcBorders>
              <w:top w:val="nil"/>
              <w:left w:val="nil"/>
              <w:bottom w:val="nil"/>
              <w:right w:val="nil"/>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174" w:type="dxa"/>
            <w:gridSpan w:val="6"/>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31" w:type="dxa"/>
            <w:gridSpan w:val="3"/>
            <w:tcBorders>
              <w:top w:val="nil"/>
              <w:left w:val="nil"/>
              <w:bottom w:val="nil"/>
              <w:right w:val="nil"/>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部门：许昌市统计局</w:t>
            </w:r>
          </w:p>
        </w:tc>
        <w:tc>
          <w:tcPr>
            <w:tcW w:w="6943" w:type="dxa"/>
            <w:gridSpan w:val="3"/>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23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694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92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86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44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463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86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44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92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862" w:type="dxa"/>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4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3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862" w:type="dxa"/>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4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92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86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4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1,078.98</w:t>
            </w:r>
          </w:p>
        </w:tc>
        <w:tc>
          <w:tcPr>
            <w:tcW w:w="463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86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44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92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86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4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63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86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44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92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86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4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63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86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44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92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86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4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63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86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44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92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86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4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63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86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44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92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86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4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63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86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44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92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86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44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63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86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44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92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86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4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63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86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44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920"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86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44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63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86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44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920"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86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4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63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86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44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920"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86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44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63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86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44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920"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86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44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63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86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44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920"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86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44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63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86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44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920"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86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44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63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86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44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920"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86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44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63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86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44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920"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86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44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63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86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44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920"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86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44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63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86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44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920"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86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44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63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86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44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920"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86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44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63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86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44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920"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86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44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63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86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44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920"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86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44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63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86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44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920"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86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44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63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86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44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920"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86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44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63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86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44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920" w:type="dxa"/>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0"/>
                <w:szCs w:val="20"/>
                <w:u w:val="none"/>
              </w:rPr>
            </w:pPr>
          </w:p>
        </w:tc>
        <w:tc>
          <w:tcPr>
            <w:tcW w:w="86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44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463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86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44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920"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86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44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463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86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44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920"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86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44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463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86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44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92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6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44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1,078.98</w:t>
            </w:r>
          </w:p>
        </w:tc>
        <w:tc>
          <w:tcPr>
            <w:tcW w:w="463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6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44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1,246.40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92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86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44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63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86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44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92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86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44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389.69</w:t>
            </w:r>
          </w:p>
        </w:tc>
        <w:tc>
          <w:tcPr>
            <w:tcW w:w="463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86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44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920"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86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44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632"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86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449"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92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62"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44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1,468.67</w:t>
            </w:r>
          </w:p>
        </w:tc>
        <w:tc>
          <w:tcPr>
            <w:tcW w:w="463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6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44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1,468.67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174" w:type="dxa"/>
            <w:gridSpan w:val="6"/>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43"/>
        <w:gridCol w:w="3647"/>
        <w:gridCol w:w="1603"/>
        <w:gridCol w:w="1457"/>
        <w:gridCol w:w="1222"/>
        <w:gridCol w:w="1222"/>
        <w:gridCol w:w="1222"/>
        <w:gridCol w:w="1222"/>
        <w:gridCol w:w="12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174" w:type="dxa"/>
            <w:gridSpan w:val="9"/>
            <w:tcBorders>
              <w:top w:val="nil"/>
              <w:left w:val="nil"/>
              <w:bottom w:val="nil"/>
              <w:right w:val="nil"/>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174" w:type="dxa"/>
            <w:gridSpan w:val="9"/>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050" w:type="dxa"/>
            <w:gridSpan w:val="4"/>
            <w:tcBorders>
              <w:top w:val="nil"/>
              <w:left w:val="nil"/>
              <w:bottom w:val="nil"/>
              <w:right w:val="nil"/>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部门：许昌市统计局</w:t>
            </w:r>
          </w:p>
        </w:tc>
        <w:tc>
          <w:tcPr>
            <w:tcW w:w="6124" w:type="dxa"/>
            <w:gridSpan w:val="5"/>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99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03"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45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222"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222"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222"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222"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236"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43"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364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0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5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2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2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2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2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3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43"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64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0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5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2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2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2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2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3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43"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64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0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5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2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2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2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2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3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990" w:type="dxa"/>
            <w:gridSpan w:val="2"/>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60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5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2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2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2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2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3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990" w:type="dxa"/>
            <w:gridSpan w:val="2"/>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60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1,078.98</w:t>
            </w:r>
          </w:p>
        </w:tc>
        <w:tc>
          <w:tcPr>
            <w:tcW w:w="145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1,078.98</w:t>
            </w:r>
          </w:p>
        </w:tc>
        <w:tc>
          <w:tcPr>
            <w:tcW w:w="12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000000"/>
                <w:sz w:val="22"/>
                <w:szCs w:val="22"/>
                <w:u w:val="none"/>
              </w:rPr>
            </w:pPr>
          </w:p>
        </w:tc>
        <w:tc>
          <w:tcPr>
            <w:tcW w:w="12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000000"/>
                <w:sz w:val="22"/>
                <w:szCs w:val="22"/>
                <w:u w:val="none"/>
              </w:rPr>
            </w:pPr>
          </w:p>
        </w:tc>
        <w:tc>
          <w:tcPr>
            <w:tcW w:w="12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000000"/>
                <w:sz w:val="22"/>
                <w:szCs w:val="22"/>
                <w:u w:val="none"/>
              </w:rPr>
            </w:pPr>
          </w:p>
        </w:tc>
        <w:tc>
          <w:tcPr>
            <w:tcW w:w="12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000000"/>
                <w:sz w:val="22"/>
                <w:szCs w:val="22"/>
                <w:u w:val="none"/>
              </w:rPr>
            </w:pPr>
          </w:p>
        </w:tc>
        <w:tc>
          <w:tcPr>
            <w:tcW w:w="123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43"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364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60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935.33</w:t>
            </w:r>
          </w:p>
        </w:tc>
        <w:tc>
          <w:tcPr>
            <w:tcW w:w="145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935.33</w:t>
            </w:r>
          </w:p>
        </w:tc>
        <w:tc>
          <w:tcPr>
            <w:tcW w:w="12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3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43"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w:t>
            </w:r>
          </w:p>
        </w:tc>
        <w:tc>
          <w:tcPr>
            <w:tcW w:w="364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统计信息事务</w:t>
            </w:r>
          </w:p>
        </w:tc>
        <w:tc>
          <w:tcPr>
            <w:tcW w:w="160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930.30</w:t>
            </w:r>
          </w:p>
        </w:tc>
        <w:tc>
          <w:tcPr>
            <w:tcW w:w="145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930.30</w:t>
            </w:r>
          </w:p>
        </w:tc>
        <w:tc>
          <w:tcPr>
            <w:tcW w:w="12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3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43"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2010501</w:t>
            </w:r>
          </w:p>
        </w:tc>
        <w:tc>
          <w:tcPr>
            <w:tcW w:w="364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60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753.15</w:t>
            </w:r>
          </w:p>
        </w:tc>
        <w:tc>
          <w:tcPr>
            <w:tcW w:w="145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753.15</w:t>
            </w:r>
          </w:p>
        </w:tc>
        <w:tc>
          <w:tcPr>
            <w:tcW w:w="12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3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43"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2010550</w:t>
            </w:r>
          </w:p>
        </w:tc>
        <w:tc>
          <w:tcPr>
            <w:tcW w:w="364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60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177.15</w:t>
            </w:r>
          </w:p>
        </w:tc>
        <w:tc>
          <w:tcPr>
            <w:tcW w:w="145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177.15</w:t>
            </w:r>
          </w:p>
        </w:tc>
        <w:tc>
          <w:tcPr>
            <w:tcW w:w="12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3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43"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364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60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w:t>
            </w:r>
          </w:p>
        </w:tc>
        <w:tc>
          <w:tcPr>
            <w:tcW w:w="145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w:t>
            </w:r>
          </w:p>
        </w:tc>
        <w:tc>
          <w:tcPr>
            <w:tcW w:w="12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3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43"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364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160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w:t>
            </w:r>
          </w:p>
        </w:tc>
        <w:tc>
          <w:tcPr>
            <w:tcW w:w="145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w:t>
            </w:r>
          </w:p>
        </w:tc>
        <w:tc>
          <w:tcPr>
            <w:tcW w:w="12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3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43"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64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60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111.95</w:t>
            </w:r>
          </w:p>
        </w:tc>
        <w:tc>
          <w:tcPr>
            <w:tcW w:w="145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111.95</w:t>
            </w:r>
          </w:p>
        </w:tc>
        <w:tc>
          <w:tcPr>
            <w:tcW w:w="12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3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43"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364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60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111.95</w:t>
            </w:r>
          </w:p>
        </w:tc>
        <w:tc>
          <w:tcPr>
            <w:tcW w:w="145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111.95</w:t>
            </w:r>
          </w:p>
        </w:tc>
        <w:tc>
          <w:tcPr>
            <w:tcW w:w="12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3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43"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364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160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71.97</w:t>
            </w:r>
          </w:p>
        </w:tc>
        <w:tc>
          <w:tcPr>
            <w:tcW w:w="145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71.97</w:t>
            </w:r>
          </w:p>
        </w:tc>
        <w:tc>
          <w:tcPr>
            <w:tcW w:w="12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3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43"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364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160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w:t>
            </w:r>
          </w:p>
        </w:tc>
        <w:tc>
          <w:tcPr>
            <w:tcW w:w="145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w:t>
            </w:r>
          </w:p>
        </w:tc>
        <w:tc>
          <w:tcPr>
            <w:tcW w:w="12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3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43"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64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60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36.77</w:t>
            </w:r>
          </w:p>
        </w:tc>
        <w:tc>
          <w:tcPr>
            <w:tcW w:w="145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36.77</w:t>
            </w:r>
          </w:p>
        </w:tc>
        <w:tc>
          <w:tcPr>
            <w:tcW w:w="12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3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43"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364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60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31.69</w:t>
            </w:r>
          </w:p>
        </w:tc>
        <w:tc>
          <w:tcPr>
            <w:tcW w:w="145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31.69</w:t>
            </w:r>
          </w:p>
        </w:tc>
        <w:tc>
          <w:tcPr>
            <w:tcW w:w="12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3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43"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364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60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31.69</w:t>
            </w:r>
          </w:p>
        </w:tc>
        <w:tc>
          <w:tcPr>
            <w:tcW w:w="145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31.69</w:t>
            </w:r>
          </w:p>
        </w:tc>
        <w:tc>
          <w:tcPr>
            <w:tcW w:w="12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3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43"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364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60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14.34</w:t>
            </w:r>
          </w:p>
        </w:tc>
        <w:tc>
          <w:tcPr>
            <w:tcW w:w="145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14.34</w:t>
            </w:r>
          </w:p>
        </w:tc>
        <w:tc>
          <w:tcPr>
            <w:tcW w:w="12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3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43"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364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160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3.77</w:t>
            </w:r>
          </w:p>
        </w:tc>
        <w:tc>
          <w:tcPr>
            <w:tcW w:w="145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3.77</w:t>
            </w:r>
          </w:p>
        </w:tc>
        <w:tc>
          <w:tcPr>
            <w:tcW w:w="12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3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43"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364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160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13.59</w:t>
            </w:r>
          </w:p>
        </w:tc>
        <w:tc>
          <w:tcPr>
            <w:tcW w:w="145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13.59</w:t>
            </w:r>
          </w:p>
        </w:tc>
        <w:tc>
          <w:tcPr>
            <w:tcW w:w="12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3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174"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25"/>
        <w:gridCol w:w="4023"/>
        <w:gridCol w:w="1999"/>
        <w:gridCol w:w="1627"/>
        <w:gridCol w:w="1622"/>
        <w:gridCol w:w="1191"/>
        <w:gridCol w:w="1191"/>
        <w:gridCol w:w="11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174" w:type="dxa"/>
            <w:gridSpan w:val="8"/>
            <w:tcBorders>
              <w:top w:val="nil"/>
              <w:left w:val="nil"/>
              <w:bottom w:val="nil"/>
              <w:right w:val="nil"/>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174" w:type="dxa"/>
            <w:gridSpan w:val="8"/>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974" w:type="dxa"/>
            <w:gridSpan w:val="4"/>
            <w:tcBorders>
              <w:top w:val="nil"/>
              <w:left w:val="nil"/>
              <w:bottom w:val="nil"/>
              <w:right w:val="nil"/>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部门：许昌市统计局</w:t>
            </w:r>
          </w:p>
        </w:tc>
        <w:tc>
          <w:tcPr>
            <w:tcW w:w="5200" w:type="dxa"/>
            <w:gridSpan w:val="4"/>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3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999"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62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622"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191"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191"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196"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25"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402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99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2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2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9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9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9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25"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02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9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2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2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9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9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9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25"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02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9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2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2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9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9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9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348" w:type="dxa"/>
            <w:gridSpan w:val="2"/>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99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2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9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9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9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348" w:type="dxa"/>
            <w:gridSpan w:val="2"/>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99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1,246.40</w:t>
            </w:r>
          </w:p>
        </w:tc>
        <w:tc>
          <w:tcPr>
            <w:tcW w:w="162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1,221.04</w:t>
            </w:r>
          </w:p>
        </w:tc>
        <w:tc>
          <w:tcPr>
            <w:tcW w:w="1622"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25.35</w:t>
            </w: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000000"/>
                <w:sz w:val="22"/>
                <w:szCs w:val="22"/>
                <w:u w:val="none"/>
              </w:rPr>
            </w:pP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000000"/>
                <w:sz w:val="22"/>
                <w:szCs w:val="22"/>
                <w:u w:val="none"/>
              </w:rPr>
            </w:pPr>
          </w:p>
        </w:tc>
        <w:tc>
          <w:tcPr>
            <w:tcW w:w="119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2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402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99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1,050.73</w:t>
            </w:r>
          </w:p>
        </w:tc>
        <w:tc>
          <w:tcPr>
            <w:tcW w:w="162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1,025.38</w:t>
            </w:r>
          </w:p>
        </w:tc>
        <w:tc>
          <w:tcPr>
            <w:tcW w:w="1622"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25.35</w:t>
            </w: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9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2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w:t>
            </w:r>
          </w:p>
        </w:tc>
        <w:tc>
          <w:tcPr>
            <w:tcW w:w="402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统计信息事务</w:t>
            </w:r>
          </w:p>
        </w:tc>
        <w:tc>
          <w:tcPr>
            <w:tcW w:w="199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1,045.70</w:t>
            </w:r>
          </w:p>
        </w:tc>
        <w:tc>
          <w:tcPr>
            <w:tcW w:w="162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1,020.35</w:t>
            </w:r>
          </w:p>
        </w:tc>
        <w:tc>
          <w:tcPr>
            <w:tcW w:w="1622"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25.35</w:t>
            </w: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9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2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2010501</w:t>
            </w:r>
          </w:p>
        </w:tc>
        <w:tc>
          <w:tcPr>
            <w:tcW w:w="402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99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816.37</w:t>
            </w:r>
          </w:p>
        </w:tc>
        <w:tc>
          <w:tcPr>
            <w:tcW w:w="162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816.37</w:t>
            </w:r>
          </w:p>
        </w:tc>
        <w:tc>
          <w:tcPr>
            <w:tcW w:w="16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9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2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2010507</w:t>
            </w:r>
          </w:p>
        </w:tc>
        <w:tc>
          <w:tcPr>
            <w:tcW w:w="402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专项普查活动</w:t>
            </w:r>
          </w:p>
        </w:tc>
        <w:tc>
          <w:tcPr>
            <w:tcW w:w="199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3.31</w:t>
            </w:r>
          </w:p>
        </w:tc>
        <w:tc>
          <w:tcPr>
            <w:tcW w:w="162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622"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3.31</w:t>
            </w: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9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2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2010550</w:t>
            </w:r>
          </w:p>
        </w:tc>
        <w:tc>
          <w:tcPr>
            <w:tcW w:w="402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99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203.98</w:t>
            </w:r>
          </w:p>
        </w:tc>
        <w:tc>
          <w:tcPr>
            <w:tcW w:w="162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203.98</w:t>
            </w:r>
          </w:p>
        </w:tc>
        <w:tc>
          <w:tcPr>
            <w:tcW w:w="16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9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2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2010599</w:t>
            </w:r>
          </w:p>
        </w:tc>
        <w:tc>
          <w:tcPr>
            <w:tcW w:w="402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其他统计信息事务支出</w:t>
            </w:r>
          </w:p>
        </w:tc>
        <w:tc>
          <w:tcPr>
            <w:tcW w:w="199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22.05</w:t>
            </w:r>
          </w:p>
        </w:tc>
        <w:tc>
          <w:tcPr>
            <w:tcW w:w="162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622"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22.05</w:t>
            </w: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9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2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402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99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w:t>
            </w:r>
          </w:p>
        </w:tc>
        <w:tc>
          <w:tcPr>
            <w:tcW w:w="162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w:t>
            </w:r>
          </w:p>
        </w:tc>
        <w:tc>
          <w:tcPr>
            <w:tcW w:w="16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9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2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402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199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w:t>
            </w:r>
          </w:p>
        </w:tc>
        <w:tc>
          <w:tcPr>
            <w:tcW w:w="162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w:t>
            </w:r>
          </w:p>
        </w:tc>
        <w:tc>
          <w:tcPr>
            <w:tcW w:w="16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9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2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02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99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144.19</w:t>
            </w:r>
          </w:p>
        </w:tc>
        <w:tc>
          <w:tcPr>
            <w:tcW w:w="162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144.19</w:t>
            </w:r>
          </w:p>
        </w:tc>
        <w:tc>
          <w:tcPr>
            <w:tcW w:w="16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9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2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402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99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144.19</w:t>
            </w:r>
          </w:p>
        </w:tc>
        <w:tc>
          <w:tcPr>
            <w:tcW w:w="162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144.19</w:t>
            </w:r>
          </w:p>
        </w:tc>
        <w:tc>
          <w:tcPr>
            <w:tcW w:w="16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9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2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402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199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82.02</w:t>
            </w:r>
          </w:p>
        </w:tc>
        <w:tc>
          <w:tcPr>
            <w:tcW w:w="162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82.02</w:t>
            </w:r>
          </w:p>
        </w:tc>
        <w:tc>
          <w:tcPr>
            <w:tcW w:w="16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9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2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402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199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w:t>
            </w:r>
          </w:p>
        </w:tc>
        <w:tc>
          <w:tcPr>
            <w:tcW w:w="162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w:t>
            </w:r>
          </w:p>
        </w:tc>
        <w:tc>
          <w:tcPr>
            <w:tcW w:w="16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9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2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402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99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58.81</w:t>
            </w:r>
          </w:p>
        </w:tc>
        <w:tc>
          <w:tcPr>
            <w:tcW w:w="162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58.81</w:t>
            </w:r>
          </w:p>
        </w:tc>
        <w:tc>
          <w:tcPr>
            <w:tcW w:w="16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9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2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402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99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51.48</w:t>
            </w:r>
          </w:p>
        </w:tc>
        <w:tc>
          <w:tcPr>
            <w:tcW w:w="162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51.48</w:t>
            </w:r>
          </w:p>
        </w:tc>
        <w:tc>
          <w:tcPr>
            <w:tcW w:w="16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9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2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402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99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51.48</w:t>
            </w:r>
          </w:p>
        </w:tc>
        <w:tc>
          <w:tcPr>
            <w:tcW w:w="162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51.48</w:t>
            </w:r>
          </w:p>
        </w:tc>
        <w:tc>
          <w:tcPr>
            <w:tcW w:w="16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9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2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402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99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23.66</w:t>
            </w:r>
          </w:p>
        </w:tc>
        <w:tc>
          <w:tcPr>
            <w:tcW w:w="162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23.66</w:t>
            </w:r>
          </w:p>
        </w:tc>
        <w:tc>
          <w:tcPr>
            <w:tcW w:w="16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9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2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402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199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5.88</w:t>
            </w:r>
          </w:p>
        </w:tc>
        <w:tc>
          <w:tcPr>
            <w:tcW w:w="162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5.88</w:t>
            </w:r>
          </w:p>
        </w:tc>
        <w:tc>
          <w:tcPr>
            <w:tcW w:w="16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9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2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402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199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21.93</w:t>
            </w:r>
          </w:p>
        </w:tc>
        <w:tc>
          <w:tcPr>
            <w:tcW w:w="162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21.93</w:t>
            </w:r>
          </w:p>
        </w:tc>
        <w:tc>
          <w:tcPr>
            <w:tcW w:w="16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9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4174" w:type="dxa"/>
            <w:gridSpan w:val="8"/>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35"/>
        <w:gridCol w:w="629"/>
        <w:gridCol w:w="1434"/>
        <w:gridCol w:w="3698"/>
        <w:gridCol w:w="654"/>
        <w:gridCol w:w="1202"/>
        <w:gridCol w:w="1434"/>
        <w:gridCol w:w="981"/>
        <w:gridCol w:w="9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174" w:type="dxa"/>
            <w:gridSpan w:val="9"/>
            <w:tcBorders>
              <w:top w:val="nil"/>
              <w:left w:val="nil"/>
              <w:bottom w:val="nil"/>
              <w:right w:val="nil"/>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174" w:type="dxa"/>
            <w:gridSpan w:val="9"/>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996" w:type="dxa"/>
            <w:gridSpan w:val="4"/>
            <w:tcBorders>
              <w:top w:val="nil"/>
              <w:left w:val="nil"/>
              <w:bottom w:val="nil"/>
              <w:right w:val="nil"/>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部门：许昌市统计局</w:t>
            </w:r>
          </w:p>
        </w:tc>
        <w:tc>
          <w:tcPr>
            <w:tcW w:w="5178" w:type="dxa"/>
            <w:gridSpan w:val="5"/>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29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8876" w:type="dxa"/>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 w:hRule="atLeast"/>
        </w:trPr>
        <w:tc>
          <w:tcPr>
            <w:tcW w:w="3235"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2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43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69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5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20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43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98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90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3235"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2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3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69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5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0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3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8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0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23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629" w:type="dxa"/>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3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69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654" w:type="dxa"/>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0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3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8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0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23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62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3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1,078.98</w:t>
            </w:r>
          </w:p>
        </w:tc>
        <w:tc>
          <w:tcPr>
            <w:tcW w:w="369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65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202"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1,050.73</w:t>
            </w:r>
          </w:p>
        </w:tc>
        <w:tc>
          <w:tcPr>
            <w:tcW w:w="143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1,050.73</w:t>
            </w:r>
          </w:p>
        </w:tc>
        <w:tc>
          <w:tcPr>
            <w:tcW w:w="98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0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23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62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3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69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65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20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43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8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0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23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三、国有资本经营财政拨款</w:t>
            </w:r>
          </w:p>
        </w:tc>
        <w:tc>
          <w:tcPr>
            <w:tcW w:w="62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3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69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65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20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43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8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0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235"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62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3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69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65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20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43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8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0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235"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62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3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69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65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20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43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8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0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235"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62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3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69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65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20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43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8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0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235"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62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43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69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65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20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43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8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0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235"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62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3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69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65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202"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144.19</w:t>
            </w:r>
          </w:p>
        </w:tc>
        <w:tc>
          <w:tcPr>
            <w:tcW w:w="143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144.19</w:t>
            </w:r>
          </w:p>
        </w:tc>
        <w:tc>
          <w:tcPr>
            <w:tcW w:w="98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0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235"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62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43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69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65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202"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51.48</w:t>
            </w:r>
          </w:p>
        </w:tc>
        <w:tc>
          <w:tcPr>
            <w:tcW w:w="143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51.48</w:t>
            </w:r>
          </w:p>
        </w:tc>
        <w:tc>
          <w:tcPr>
            <w:tcW w:w="98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0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235"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62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3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69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65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20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43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8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0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235"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62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43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69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65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20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43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8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0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235"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62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43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69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65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20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43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8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0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235"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62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43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69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65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20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43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8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0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235"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62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43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69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65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20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43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8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0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235"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62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43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69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65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20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43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8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0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235"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62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43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69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65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20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43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8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0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235"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62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43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69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65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20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43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8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0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235"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62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43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69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65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0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43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8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0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235"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62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43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69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65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20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43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8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0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235"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62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43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69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65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20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43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8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0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235"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62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43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69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65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20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43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8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0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235"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62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43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69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65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20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43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8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0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235"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62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43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69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65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20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43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8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0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235" w:type="dxa"/>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0"/>
                <w:szCs w:val="20"/>
                <w:u w:val="none"/>
              </w:rPr>
            </w:pPr>
          </w:p>
        </w:tc>
        <w:tc>
          <w:tcPr>
            <w:tcW w:w="62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43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69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65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20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43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8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0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235"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62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43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69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65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20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43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8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0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235"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62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43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69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65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20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43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8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0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23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2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43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1,078.98</w:t>
            </w:r>
          </w:p>
        </w:tc>
        <w:tc>
          <w:tcPr>
            <w:tcW w:w="369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65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202"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1,246.40</w:t>
            </w:r>
          </w:p>
        </w:tc>
        <w:tc>
          <w:tcPr>
            <w:tcW w:w="143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1,246.40</w:t>
            </w:r>
          </w:p>
        </w:tc>
        <w:tc>
          <w:tcPr>
            <w:tcW w:w="98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0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23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62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43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389.69</w:t>
            </w:r>
          </w:p>
        </w:tc>
        <w:tc>
          <w:tcPr>
            <w:tcW w:w="369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65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202"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222.27</w:t>
            </w:r>
          </w:p>
        </w:tc>
        <w:tc>
          <w:tcPr>
            <w:tcW w:w="143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222.27</w:t>
            </w:r>
          </w:p>
        </w:tc>
        <w:tc>
          <w:tcPr>
            <w:tcW w:w="98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0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23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62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43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389.69</w:t>
            </w:r>
          </w:p>
        </w:tc>
        <w:tc>
          <w:tcPr>
            <w:tcW w:w="3698"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65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20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43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8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0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23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62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43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698"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65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20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43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8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0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23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62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43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698"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65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20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43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8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0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23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29"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43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1,468.67</w:t>
            </w:r>
          </w:p>
        </w:tc>
        <w:tc>
          <w:tcPr>
            <w:tcW w:w="369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5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202"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1,468.67</w:t>
            </w:r>
          </w:p>
        </w:tc>
        <w:tc>
          <w:tcPr>
            <w:tcW w:w="143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1,468.67</w:t>
            </w:r>
          </w:p>
        </w:tc>
        <w:tc>
          <w:tcPr>
            <w:tcW w:w="98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0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4174"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48"/>
        <w:gridCol w:w="5820"/>
        <w:gridCol w:w="2395"/>
        <w:gridCol w:w="2393"/>
        <w:gridCol w:w="21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174" w:type="dxa"/>
            <w:gridSpan w:val="5"/>
            <w:tcBorders>
              <w:top w:val="nil"/>
              <w:left w:val="nil"/>
              <w:bottom w:val="nil"/>
              <w:right w:val="nil"/>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174" w:type="dxa"/>
            <w:gridSpan w:val="5"/>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663" w:type="dxa"/>
            <w:gridSpan w:val="3"/>
            <w:tcBorders>
              <w:top w:val="nil"/>
              <w:left w:val="nil"/>
              <w:bottom w:val="nil"/>
              <w:right w:val="nil"/>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部门：许昌市统计局</w:t>
            </w:r>
          </w:p>
        </w:tc>
        <w:tc>
          <w:tcPr>
            <w:tcW w:w="4511" w:type="dxa"/>
            <w:gridSpan w:val="2"/>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26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906"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48"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582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39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39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11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 w:hRule="atLeast"/>
        </w:trPr>
        <w:tc>
          <w:tcPr>
            <w:tcW w:w="1448"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82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39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39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11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48"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82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39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39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11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268" w:type="dxa"/>
            <w:gridSpan w:val="2"/>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3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39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11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268" w:type="dxa"/>
            <w:gridSpan w:val="2"/>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39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1,246.40</w:t>
            </w:r>
          </w:p>
        </w:tc>
        <w:tc>
          <w:tcPr>
            <w:tcW w:w="239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1,221.04</w:t>
            </w:r>
          </w:p>
        </w:tc>
        <w:tc>
          <w:tcPr>
            <w:tcW w:w="211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48"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582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239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1,050.73</w:t>
            </w:r>
          </w:p>
        </w:tc>
        <w:tc>
          <w:tcPr>
            <w:tcW w:w="239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1,025.38</w:t>
            </w:r>
          </w:p>
        </w:tc>
        <w:tc>
          <w:tcPr>
            <w:tcW w:w="211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48"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w:t>
            </w:r>
          </w:p>
        </w:tc>
        <w:tc>
          <w:tcPr>
            <w:tcW w:w="582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统计信息事务</w:t>
            </w:r>
          </w:p>
        </w:tc>
        <w:tc>
          <w:tcPr>
            <w:tcW w:w="239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1,045.70</w:t>
            </w:r>
          </w:p>
        </w:tc>
        <w:tc>
          <w:tcPr>
            <w:tcW w:w="239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1,020.35</w:t>
            </w:r>
          </w:p>
        </w:tc>
        <w:tc>
          <w:tcPr>
            <w:tcW w:w="211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48"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2010501</w:t>
            </w:r>
          </w:p>
        </w:tc>
        <w:tc>
          <w:tcPr>
            <w:tcW w:w="582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239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816.37</w:t>
            </w:r>
          </w:p>
        </w:tc>
        <w:tc>
          <w:tcPr>
            <w:tcW w:w="239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816.37</w:t>
            </w:r>
          </w:p>
        </w:tc>
        <w:tc>
          <w:tcPr>
            <w:tcW w:w="211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48"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2010507</w:t>
            </w:r>
          </w:p>
        </w:tc>
        <w:tc>
          <w:tcPr>
            <w:tcW w:w="582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专项普查活动</w:t>
            </w:r>
          </w:p>
        </w:tc>
        <w:tc>
          <w:tcPr>
            <w:tcW w:w="239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3.31</w:t>
            </w:r>
          </w:p>
        </w:tc>
        <w:tc>
          <w:tcPr>
            <w:tcW w:w="239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211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48"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2010550</w:t>
            </w:r>
          </w:p>
        </w:tc>
        <w:tc>
          <w:tcPr>
            <w:tcW w:w="582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239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203.98</w:t>
            </w:r>
          </w:p>
        </w:tc>
        <w:tc>
          <w:tcPr>
            <w:tcW w:w="239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203.98</w:t>
            </w:r>
          </w:p>
        </w:tc>
        <w:tc>
          <w:tcPr>
            <w:tcW w:w="211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48"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2010599</w:t>
            </w:r>
          </w:p>
        </w:tc>
        <w:tc>
          <w:tcPr>
            <w:tcW w:w="582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其他统计信息事务支出</w:t>
            </w:r>
          </w:p>
        </w:tc>
        <w:tc>
          <w:tcPr>
            <w:tcW w:w="239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22.05</w:t>
            </w:r>
          </w:p>
        </w:tc>
        <w:tc>
          <w:tcPr>
            <w:tcW w:w="239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211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48"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582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239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w:t>
            </w:r>
          </w:p>
        </w:tc>
        <w:tc>
          <w:tcPr>
            <w:tcW w:w="239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w:t>
            </w:r>
          </w:p>
        </w:tc>
        <w:tc>
          <w:tcPr>
            <w:tcW w:w="211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48"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582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239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w:t>
            </w:r>
          </w:p>
        </w:tc>
        <w:tc>
          <w:tcPr>
            <w:tcW w:w="239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w:t>
            </w:r>
          </w:p>
        </w:tc>
        <w:tc>
          <w:tcPr>
            <w:tcW w:w="211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48"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582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239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144.19</w:t>
            </w:r>
          </w:p>
        </w:tc>
        <w:tc>
          <w:tcPr>
            <w:tcW w:w="239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144.19</w:t>
            </w:r>
          </w:p>
        </w:tc>
        <w:tc>
          <w:tcPr>
            <w:tcW w:w="211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48"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582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239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144.19</w:t>
            </w:r>
          </w:p>
        </w:tc>
        <w:tc>
          <w:tcPr>
            <w:tcW w:w="239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144.19</w:t>
            </w:r>
          </w:p>
        </w:tc>
        <w:tc>
          <w:tcPr>
            <w:tcW w:w="211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48"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582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239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82.02</w:t>
            </w:r>
          </w:p>
        </w:tc>
        <w:tc>
          <w:tcPr>
            <w:tcW w:w="239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82.02</w:t>
            </w:r>
          </w:p>
        </w:tc>
        <w:tc>
          <w:tcPr>
            <w:tcW w:w="211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48"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582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239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w:t>
            </w:r>
          </w:p>
        </w:tc>
        <w:tc>
          <w:tcPr>
            <w:tcW w:w="239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w:t>
            </w:r>
          </w:p>
        </w:tc>
        <w:tc>
          <w:tcPr>
            <w:tcW w:w="211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48"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582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239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58.81</w:t>
            </w:r>
          </w:p>
        </w:tc>
        <w:tc>
          <w:tcPr>
            <w:tcW w:w="239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58.81</w:t>
            </w:r>
          </w:p>
        </w:tc>
        <w:tc>
          <w:tcPr>
            <w:tcW w:w="211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48"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582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239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51.48</w:t>
            </w:r>
          </w:p>
        </w:tc>
        <w:tc>
          <w:tcPr>
            <w:tcW w:w="239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51.48</w:t>
            </w:r>
          </w:p>
        </w:tc>
        <w:tc>
          <w:tcPr>
            <w:tcW w:w="211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48"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582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239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51.48</w:t>
            </w:r>
          </w:p>
        </w:tc>
        <w:tc>
          <w:tcPr>
            <w:tcW w:w="239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51.48</w:t>
            </w:r>
          </w:p>
        </w:tc>
        <w:tc>
          <w:tcPr>
            <w:tcW w:w="211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48"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582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239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23.66</w:t>
            </w:r>
          </w:p>
        </w:tc>
        <w:tc>
          <w:tcPr>
            <w:tcW w:w="239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23.66</w:t>
            </w:r>
          </w:p>
        </w:tc>
        <w:tc>
          <w:tcPr>
            <w:tcW w:w="211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48"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582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239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5.88</w:t>
            </w:r>
          </w:p>
        </w:tc>
        <w:tc>
          <w:tcPr>
            <w:tcW w:w="239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5.88</w:t>
            </w:r>
          </w:p>
        </w:tc>
        <w:tc>
          <w:tcPr>
            <w:tcW w:w="211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48"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582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239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21.93</w:t>
            </w:r>
          </w:p>
        </w:tc>
        <w:tc>
          <w:tcPr>
            <w:tcW w:w="239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21.93</w:t>
            </w:r>
          </w:p>
        </w:tc>
        <w:tc>
          <w:tcPr>
            <w:tcW w:w="211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174" w:type="dxa"/>
            <w:gridSpan w:val="5"/>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注：本表反映部门本年度一般公共预算财政拨款支出情况。本套报表金额单位转换时可能存在尾数误差。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7"/>
        <w:gridCol w:w="2045"/>
        <w:gridCol w:w="1296"/>
        <w:gridCol w:w="985"/>
        <w:gridCol w:w="1908"/>
        <w:gridCol w:w="1333"/>
        <w:gridCol w:w="1079"/>
        <w:gridCol w:w="3516"/>
        <w:gridCol w:w="9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174" w:type="dxa"/>
            <w:gridSpan w:val="9"/>
            <w:tcBorders>
              <w:top w:val="nil"/>
              <w:left w:val="nil"/>
              <w:bottom w:val="nil"/>
              <w:right w:val="nil"/>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174" w:type="dxa"/>
            <w:gridSpan w:val="9"/>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321" w:type="dxa"/>
            <w:gridSpan w:val="5"/>
            <w:tcBorders>
              <w:top w:val="nil"/>
              <w:left w:val="nil"/>
              <w:bottom w:val="nil"/>
              <w:right w:val="nil"/>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部门：许昌市统计局</w:t>
            </w:r>
          </w:p>
        </w:tc>
        <w:tc>
          <w:tcPr>
            <w:tcW w:w="6853" w:type="dxa"/>
            <w:gridSpan w:val="4"/>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42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9746" w:type="dxa"/>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087"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04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29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98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190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3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107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351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2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087"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04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9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8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0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3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7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51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2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087"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204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129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983.15</w:t>
            </w:r>
          </w:p>
        </w:tc>
        <w:tc>
          <w:tcPr>
            <w:tcW w:w="98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190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133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148.98</w:t>
            </w:r>
          </w:p>
        </w:tc>
        <w:tc>
          <w:tcPr>
            <w:tcW w:w="107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351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9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087"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204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29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508.23</w:t>
            </w:r>
          </w:p>
        </w:tc>
        <w:tc>
          <w:tcPr>
            <w:tcW w:w="98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190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133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72.30</w:t>
            </w:r>
          </w:p>
        </w:tc>
        <w:tc>
          <w:tcPr>
            <w:tcW w:w="107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351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9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087"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204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29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253.11</w:t>
            </w:r>
          </w:p>
        </w:tc>
        <w:tc>
          <w:tcPr>
            <w:tcW w:w="98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190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133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7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351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9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087"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204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129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38.71</w:t>
            </w:r>
          </w:p>
        </w:tc>
        <w:tc>
          <w:tcPr>
            <w:tcW w:w="98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190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133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7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351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92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087"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204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29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8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190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133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7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351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9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087"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204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29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6.13</w:t>
            </w:r>
          </w:p>
        </w:tc>
        <w:tc>
          <w:tcPr>
            <w:tcW w:w="98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190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133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7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351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92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087"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204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29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58.81</w:t>
            </w:r>
          </w:p>
        </w:tc>
        <w:tc>
          <w:tcPr>
            <w:tcW w:w="98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190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133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7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351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9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087"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204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29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8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190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133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107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351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9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087"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204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29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29.54</w:t>
            </w:r>
          </w:p>
        </w:tc>
        <w:tc>
          <w:tcPr>
            <w:tcW w:w="98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190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133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7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351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9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087"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204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29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21.93</w:t>
            </w:r>
          </w:p>
        </w:tc>
        <w:tc>
          <w:tcPr>
            <w:tcW w:w="98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190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133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7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351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9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087"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204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其他社会保障缴费</w:t>
            </w:r>
          </w:p>
        </w:tc>
        <w:tc>
          <w:tcPr>
            <w:tcW w:w="129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6.07</w:t>
            </w:r>
          </w:p>
        </w:tc>
        <w:tc>
          <w:tcPr>
            <w:tcW w:w="98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190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133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11.46</w:t>
            </w:r>
          </w:p>
        </w:tc>
        <w:tc>
          <w:tcPr>
            <w:tcW w:w="107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351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9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087"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204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29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58.70</w:t>
            </w:r>
          </w:p>
        </w:tc>
        <w:tc>
          <w:tcPr>
            <w:tcW w:w="98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1908" w:type="dxa"/>
            <w:tcBorders>
              <w:top w:val="nil"/>
              <w:left w:val="nil"/>
              <w:bottom w:val="single" w:color="000000" w:sz="4" w:space="0"/>
              <w:right w:val="single" w:color="000000" w:sz="4" w:space="0"/>
            </w:tcBorders>
            <w:noWrap w:val="0"/>
            <w:vAlign w:val="center"/>
          </w:tcPr>
          <w:p>
            <w:pPr>
              <w:rPr>
                <w:rFonts w:hint="eastAsia"/>
              </w:rPr>
            </w:pPr>
            <w:r>
              <w:rPr>
                <w:rFonts w:hint="eastAsia"/>
                <w:lang w:val="en-US" w:eastAsia="zh-CN"/>
              </w:rPr>
              <w:t xml:space="preserve">  因公出国（境）费用</w:t>
            </w:r>
          </w:p>
        </w:tc>
        <w:tc>
          <w:tcPr>
            <w:tcW w:w="133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7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351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9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087"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204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29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8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190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133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7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351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9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087"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204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其他工资福利支出</w:t>
            </w:r>
          </w:p>
        </w:tc>
        <w:tc>
          <w:tcPr>
            <w:tcW w:w="129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w:t>
            </w:r>
          </w:p>
        </w:tc>
        <w:tc>
          <w:tcPr>
            <w:tcW w:w="98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190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133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7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351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9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087"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204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29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85.38</w:t>
            </w:r>
          </w:p>
        </w:tc>
        <w:tc>
          <w:tcPr>
            <w:tcW w:w="98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190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133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0.53</w:t>
            </w:r>
          </w:p>
        </w:tc>
        <w:tc>
          <w:tcPr>
            <w:tcW w:w="107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351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9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087"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204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29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8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190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133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w:t>
            </w:r>
          </w:p>
        </w:tc>
        <w:tc>
          <w:tcPr>
            <w:tcW w:w="107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351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9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087"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204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29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85.38</w:t>
            </w:r>
          </w:p>
        </w:tc>
        <w:tc>
          <w:tcPr>
            <w:tcW w:w="98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190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133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0.18</w:t>
            </w:r>
          </w:p>
        </w:tc>
        <w:tc>
          <w:tcPr>
            <w:tcW w:w="107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351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9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087"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204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29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8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190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133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7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351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9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087"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204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29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8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190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133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7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351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9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087"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204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29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8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190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133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7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351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9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087"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204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129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8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190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133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7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351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9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087"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204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29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8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190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133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7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39906</w:t>
            </w:r>
          </w:p>
        </w:tc>
        <w:tc>
          <w:tcPr>
            <w:tcW w:w="351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赠与</w:t>
            </w:r>
          </w:p>
        </w:tc>
        <w:tc>
          <w:tcPr>
            <w:tcW w:w="9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087"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204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129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8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190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133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w:t>
            </w:r>
          </w:p>
        </w:tc>
        <w:tc>
          <w:tcPr>
            <w:tcW w:w="107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351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9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087"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204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29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8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190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133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07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3516" w:type="dxa"/>
            <w:tcBorders>
              <w:top w:val="nil"/>
              <w:left w:val="nil"/>
              <w:bottom w:val="single" w:color="000000" w:sz="4" w:space="0"/>
              <w:right w:val="single" w:color="000000" w:sz="4" w:space="0"/>
            </w:tcBorders>
            <w:noWrap w:val="0"/>
            <w:vAlign w:val="center"/>
          </w:tcPr>
          <w:p>
            <w:pPr>
              <w:rPr>
                <w:rFonts w:hint="eastAsia"/>
              </w:rPr>
            </w:pPr>
            <w:r>
              <w:rPr>
                <w:rFonts w:hint="eastAsia"/>
                <w:lang w:val="en-US" w:eastAsia="zh-CN"/>
              </w:rPr>
              <w:t xml:space="preserve">  对民间非营利组织和群众性自治组织补贴</w:t>
            </w:r>
          </w:p>
        </w:tc>
        <w:tc>
          <w:tcPr>
            <w:tcW w:w="9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087"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204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个人农业生产补贴</w:t>
            </w:r>
          </w:p>
        </w:tc>
        <w:tc>
          <w:tcPr>
            <w:tcW w:w="129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8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1908" w:type="dxa"/>
            <w:tcBorders>
              <w:top w:val="nil"/>
              <w:left w:val="nil"/>
              <w:bottom w:val="single" w:color="000000" w:sz="4" w:space="0"/>
              <w:right w:val="single" w:color="000000" w:sz="4" w:space="0"/>
            </w:tcBorders>
            <w:noWrap w:val="0"/>
            <w:vAlign w:val="center"/>
          </w:tcPr>
          <w:p>
            <w:pPr>
              <w:rPr>
                <w:rFonts w:hint="eastAsia"/>
              </w:rPr>
            </w:pPr>
            <w:r>
              <w:rPr>
                <w:rFonts w:hint="eastAsia"/>
                <w:lang w:val="en-US" w:eastAsia="zh-CN"/>
              </w:rPr>
              <w:t xml:space="preserve">  公务用车运行维护费</w:t>
            </w:r>
          </w:p>
        </w:tc>
        <w:tc>
          <w:tcPr>
            <w:tcW w:w="133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w:t>
            </w:r>
          </w:p>
        </w:tc>
        <w:tc>
          <w:tcPr>
            <w:tcW w:w="107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351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9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087"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204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29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8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190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133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43.76</w:t>
            </w:r>
          </w:p>
        </w:tc>
        <w:tc>
          <w:tcPr>
            <w:tcW w:w="1079"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9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087"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2045" w:type="dxa"/>
            <w:tcBorders>
              <w:top w:val="nil"/>
              <w:left w:val="nil"/>
              <w:bottom w:val="single" w:color="000000" w:sz="4" w:space="0"/>
              <w:right w:val="single" w:color="000000" w:sz="4" w:space="0"/>
            </w:tcBorders>
            <w:noWrap w:val="0"/>
            <w:vAlign w:val="center"/>
          </w:tcPr>
          <w:p>
            <w:pPr>
              <w:rPr>
                <w:rFonts w:hint="eastAsia"/>
              </w:rPr>
            </w:pPr>
            <w:r>
              <w:rPr>
                <w:rFonts w:hint="eastAsia"/>
                <w:lang w:val="en-US" w:eastAsia="zh-CN"/>
              </w:rPr>
              <w:t xml:space="preserve">  其他对个人和家庭的补助</w:t>
            </w:r>
          </w:p>
        </w:tc>
        <w:tc>
          <w:tcPr>
            <w:tcW w:w="129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8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1908" w:type="dxa"/>
            <w:tcBorders>
              <w:top w:val="nil"/>
              <w:left w:val="nil"/>
              <w:bottom w:val="single" w:color="000000" w:sz="4" w:space="0"/>
              <w:right w:val="single" w:color="000000" w:sz="4" w:space="0"/>
            </w:tcBorders>
            <w:noWrap w:val="0"/>
            <w:vAlign w:val="center"/>
          </w:tcPr>
          <w:p>
            <w:pPr>
              <w:rPr>
                <w:rFonts w:hint="eastAsia"/>
              </w:rPr>
            </w:pPr>
            <w:r>
              <w:rPr>
                <w:rFonts w:hint="eastAsia"/>
                <w:lang w:val="en-US" w:eastAsia="zh-CN"/>
              </w:rPr>
              <w:t xml:space="preserve">  税金及附加费用</w:t>
            </w:r>
          </w:p>
        </w:tc>
        <w:tc>
          <w:tcPr>
            <w:tcW w:w="133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79"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9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087"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045"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129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8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1908" w:type="dxa"/>
            <w:tcBorders>
              <w:top w:val="nil"/>
              <w:left w:val="nil"/>
              <w:bottom w:val="single" w:color="000000" w:sz="4" w:space="0"/>
              <w:right w:val="single" w:color="000000" w:sz="4" w:space="0"/>
            </w:tcBorders>
            <w:noWrap w:val="0"/>
            <w:vAlign w:val="center"/>
          </w:tcPr>
          <w:p>
            <w:pPr>
              <w:rPr>
                <w:rFonts w:hint="eastAsia"/>
              </w:rPr>
            </w:pPr>
            <w:r>
              <w:rPr>
                <w:rFonts w:hint="eastAsia"/>
                <w:lang w:val="en-US" w:eastAsia="zh-CN"/>
              </w:rPr>
              <w:t xml:space="preserve">  其他商品和服务支出</w:t>
            </w:r>
          </w:p>
        </w:tc>
        <w:tc>
          <w:tcPr>
            <w:tcW w:w="133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1079"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9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132" w:type="dxa"/>
            <w:gridSpan w:val="2"/>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129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1,068.53</w:t>
            </w:r>
          </w:p>
        </w:tc>
        <w:tc>
          <w:tcPr>
            <w:tcW w:w="8821" w:type="dxa"/>
            <w:gridSpan w:val="5"/>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92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174"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64"/>
        <w:gridCol w:w="1164"/>
        <w:gridCol w:w="1164"/>
        <w:gridCol w:w="1164"/>
        <w:gridCol w:w="1167"/>
        <w:gridCol w:w="1173"/>
        <w:gridCol w:w="1167"/>
        <w:gridCol w:w="1164"/>
        <w:gridCol w:w="1164"/>
        <w:gridCol w:w="1164"/>
        <w:gridCol w:w="1167"/>
        <w:gridCol w:w="11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993" w:type="dxa"/>
            <w:gridSpan w:val="12"/>
            <w:tcBorders>
              <w:top w:val="nil"/>
              <w:left w:val="nil"/>
              <w:bottom w:val="nil"/>
              <w:right w:val="nil"/>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44"/>
                <w:szCs w:val="44"/>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993" w:type="dxa"/>
            <w:gridSpan w:val="12"/>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163" w:type="dxa"/>
            <w:gridSpan w:val="7"/>
            <w:tcBorders>
              <w:top w:val="nil"/>
              <w:left w:val="nil"/>
              <w:bottom w:val="nil"/>
              <w:right w:val="nil"/>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部门：许昌市统计局</w:t>
            </w:r>
          </w:p>
        </w:tc>
        <w:tc>
          <w:tcPr>
            <w:tcW w:w="5830" w:type="dxa"/>
            <w:gridSpan w:val="5"/>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6996"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6997" w:type="dxa"/>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64"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6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495"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17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116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6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495"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17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1164"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6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16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17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6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6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16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17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64"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6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7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6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7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64"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8.35</w:t>
            </w:r>
          </w:p>
        </w:tc>
        <w:tc>
          <w:tcPr>
            <w:tcW w:w="116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6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16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6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17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w:t>
            </w:r>
          </w:p>
        </w:tc>
        <w:tc>
          <w:tcPr>
            <w:tcW w:w="116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w:t>
            </w:r>
          </w:p>
        </w:tc>
        <w:tc>
          <w:tcPr>
            <w:tcW w:w="116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6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w:t>
            </w:r>
          </w:p>
        </w:tc>
        <w:tc>
          <w:tcPr>
            <w:tcW w:w="116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6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w:t>
            </w:r>
          </w:p>
        </w:tc>
        <w:tc>
          <w:tcPr>
            <w:tcW w:w="117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3993" w:type="dxa"/>
            <w:gridSpan w:val="12"/>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50"/>
        <w:gridCol w:w="1822"/>
        <w:gridCol w:w="1500"/>
        <w:gridCol w:w="1500"/>
        <w:gridCol w:w="1500"/>
        <w:gridCol w:w="1500"/>
        <w:gridCol w:w="1500"/>
        <w:gridCol w:w="15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174" w:type="dxa"/>
            <w:gridSpan w:val="8"/>
            <w:tcBorders>
              <w:top w:val="nil"/>
              <w:left w:val="nil"/>
              <w:bottom w:val="nil"/>
              <w:right w:val="nil"/>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174" w:type="dxa"/>
            <w:gridSpan w:val="8"/>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350" w:type="dxa"/>
            <w:tcBorders>
              <w:top w:val="nil"/>
              <w:left w:val="nil"/>
              <w:bottom w:val="nil"/>
              <w:right w:val="nil"/>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部门：许昌市统计局</w:t>
            </w:r>
          </w:p>
        </w:tc>
        <w:tc>
          <w:tcPr>
            <w:tcW w:w="4822" w:type="dxa"/>
            <w:gridSpan w:val="3"/>
            <w:tcBorders>
              <w:top w:val="nil"/>
              <w:left w:val="nil"/>
              <w:bottom w:val="nil"/>
              <w:right w:val="nil"/>
            </w:tcBorders>
            <w:noWrap w:val="0"/>
            <w:vAlign w:val="bottom"/>
          </w:tcPr>
          <w:p>
            <w:pPr>
              <w:jc w:val="left"/>
              <w:rPr>
                <w:rFonts w:hint="eastAsia" w:ascii="Arial" w:hAnsi="Arial" w:cs="Arial"/>
                <w:i w:val="0"/>
                <w:iCs w:val="0"/>
                <w:color w:val="000000"/>
                <w:sz w:val="20"/>
                <w:szCs w:val="20"/>
                <w:u w:val="none"/>
              </w:rPr>
            </w:pPr>
          </w:p>
        </w:tc>
        <w:tc>
          <w:tcPr>
            <w:tcW w:w="6002" w:type="dxa"/>
            <w:gridSpan w:val="4"/>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17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50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50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4500"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1502"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35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182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5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0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50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50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50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35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2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0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35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2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0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172" w:type="dxa"/>
            <w:gridSpan w:val="2"/>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5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0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172" w:type="dxa"/>
            <w:gridSpan w:val="2"/>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5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000000"/>
                <w:sz w:val="22"/>
                <w:szCs w:val="22"/>
                <w:u w:val="none"/>
              </w:rPr>
            </w:pPr>
          </w:p>
        </w:tc>
        <w:tc>
          <w:tcPr>
            <w:tcW w:w="15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000000"/>
                <w:sz w:val="22"/>
                <w:szCs w:val="22"/>
                <w:u w:val="none"/>
              </w:rPr>
            </w:pPr>
          </w:p>
        </w:tc>
        <w:tc>
          <w:tcPr>
            <w:tcW w:w="15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000000"/>
                <w:sz w:val="22"/>
                <w:szCs w:val="22"/>
                <w:u w:val="none"/>
              </w:rPr>
            </w:pPr>
          </w:p>
        </w:tc>
        <w:tc>
          <w:tcPr>
            <w:tcW w:w="15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000000"/>
                <w:sz w:val="22"/>
                <w:szCs w:val="22"/>
                <w:u w:val="none"/>
              </w:rPr>
            </w:pPr>
          </w:p>
        </w:tc>
        <w:tc>
          <w:tcPr>
            <w:tcW w:w="15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000000"/>
                <w:sz w:val="22"/>
                <w:szCs w:val="22"/>
                <w:u w:val="none"/>
              </w:rPr>
            </w:pPr>
          </w:p>
        </w:tc>
        <w:tc>
          <w:tcPr>
            <w:tcW w:w="150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350"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1822"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15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5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5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5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5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50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174" w:type="dxa"/>
            <w:gridSpan w:val="8"/>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注：本表反映部门本年度政府性基金预算财政拨款收入、支出及结转和结余情况。本表金额转换为万元时，因四舍五入可能存在尾差。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174" w:type="dxa"/>
            <w:gridSpan w:val="8"/>
            <w:tcBorders>
              <w:top w:val="nil"/>
              <w:left w:val="nil"/>
              <w:bottom w:val="nil"/>
              <w:right w:val="nil"/>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说明：我部门没有政府性基金收入，也没有使用政府性基金安排的支出，故本表无数据。</w:t>
            </w:r>
          </w:p>
        </w:tc>
      </w:tr>
    </w:tbl>
    <w:p>
      <w:pPr>
        <w:widowControl/>
        <w:spacing w:line="590" w:lineRule="exact"/>
        <w:jc w:val="left"/>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2021年度部门决算情况说明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年度收、支总计均为1468.67万元。与上年度相比，收、支总计各减少99.67万元，下降6.36%。主要原因是</w:t>
      </w:r>
      <w:r>
        <w:rPr>
          <w:rFonts w:hint="eastAsia" w:ascii="仿宋_GB2312" w:hAnsi="仿宋_GB2312" w:eastAsia="仿宋_GB2312" w:cs="仿宋_GB2312"/>
          <w:sz w:val="32"/>
          <w:szCs w:val="32"/>
          <w:highlight w:val="none"/>
          <w:lang w:eastAsia="zh-CN"/>
        </w:rPr>
        <w:t>基本支出和项目支出</w:t>
      </w:r>
      <w:r>
        <w:rPr>
          <w:rFonts w:hint="eastAsia" w:ascii="仿宋_GB2312" w:hAnsi="仿宋_GB2312" w:eastAsia="仿宋_GB2312" w:cs="仿宋_GB2312"/>
          <w:sz w:val="32"/>
          <w:szCs w:val="32"/>
          <w:highlight w:val="none"/>
        </w:rPr>
        <w:t>年末结转和结余</w:t>
      </w:r>
      <w:r>
        <w:rPr>
          <w:rFonts w:hint="eastAsia" w:ascii="仿宋_GB2312" w:hAnsi="仿宋_GB2312" w:eastAsia="仿宋_GB2312" w:cs="仿宋_GB2312"/>
          <w:sz w:val="32"/>
          <w:szCs w:val="32"/>
          <w:highlight w:val="none"/>
          <w:lang w:eastAsia="zh-CN"/>
        </w:rPr>
        <w:t>减少</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年度收入合计1078.98万元，其中：财政拨款收入1078.98万元，占</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highlight w:val="none"/>
        </w:rPr>
        <w:t>万元；事业收入</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highlight w:val="none"/>
        </w:rPr>
        <w:t>万元；经营收入</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highlight w:val="none"/>
        </w:rPr>
        <w:t>万元；附属单位上缴收入</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highlight w:val="none"/>
        </w:rPr>
        <w:t>万元；其他收入</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highlight w:val="none"/>
        </w:rPr>
        <w:t>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年度支出合计1246.40万元，其中：基本支出1221.04万元，占97.97%；项目支出25.35万元，占2.03%；上缴上级支出</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highlight w:val="none"/>
        </w:rPr>
        <w:t>万元；经营支出</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highlight w:val="none"/>
        </w:rPr>
        <w:t>万元；对附属单位补助支出</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highlight w:val="none"/>
        </w:rPr>
        <w:t>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年度财政拨款收、支总计均为1468.67万元。与上年度相比，财政拨款收、支总计各减少99.67万元，下降6.36%。主要原因是</w:t>
      </w:r>
      <w:r>
        <w:rPr>
          <w:rFonts w:hint="eastAsia" w:ascii="仿宋_GB2312" w:hAnsi="仿宋_GB2312" w:eastAsia="仿宋_GB2312" w:cs="仿宋_GB2312"/>
          <w:sz w:val="32"/>
          <w:szCs w:val="32"/>
          <w:highlight w:val="none"/>
          <w:lang w:eastAsia="zh-CN"/>
        </w:rPr>
        <w:t>基本支出和项目支出</w:t>
      </w:r>
      <w:r>
        <w:rPr>
          <w:rFonts w:hint="eastAsia" w:ascii="仿宋_GB2312" w:hAnsi="仿宋_GB2312" w:eastAsia="仿宋_GB2312" w:cs="仿宋_GB2312"/>
          <w:sz w:val="32"/>
          <w:szCs w:val="32"/>
          <w:highlight w:val="none"/>
        </w:rPr>
        <w:t>年末结转和结余</w:t>
      </w:r>
      <w:r>
        <w:rPr>
          <w:rFonts w:hint="eastAsia" w:ascii="仿宋_GB2312" w:hAnsi="仿宋_GB2312" w:eastAsia="仿宋_GB2312" w:cs="仿宋_GB2312"/>
          <w:sz w:val="32"/>
          <w:szCs w:val="32"/>
          <w:highlight w:val="none"/>
          <w:lang w:eastAsia="zh-CN"/>
        </w:rPr>
        <w:t>减少</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2"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年度一般公共预算财政拨款支出1246.40万元，占支出合计的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%。与上年度相比，一般公共预算财政拨款支出增加</w:t>
      </w:r>
      <w:r>
        <w:rPr>
          <w:rFonts w:hint="eastAsia" w:ascii="仿宋_GB2312" w:hAnsi="仿宋_GB2312" w:eastAsia="仿宋_GB2312" w:cs="仿宋_GB2312"/>
          <w:sz w:val="32"/>
          <w:szCs w:val="32"/>
          <w:highlight w:val="none"/>
          <w:lang w:val="en-US" w:eastAsia="zh-CN"/>
        </w:rPr>
        <w:t>62.85</w:t>
      </w:r>
      <w:r>
        <w:rPr>
          <w:rFonts w:hint="eastAsia" w:ascii="仿宋_GB2312" w:hAnsi="仿宋_GB2312" w:eastAsia="仿宋_GB2312" w:cs="仿宋_GB2312"/>
          <w:sz w:val="32"/>
          <w:szCs w:val="32"/>
          <w:highlight w:val="none"/>
        </w:rPr>
        <w:t>万元，增长5.31%。主要原因是</w:t>
      </w:r>
      <w:r>
        <w:rPr>
          <w:rFonts w:hint="eastAsia" w:ascii="仿宋_GB2312" w:hAnsi="仿宋_GB2312" w:eastAsia="仿宋_GB2312" w:cs="仿宋_GB2312"/>
          <w:sz w:val="32"/>
          <w:szCs w:val="32"/>
          <w:highlight w:val="none"/>
          <w:lang w:eastAsia="zh-CN"/>
        </w:rPr>
        <w:t>工资晋级晋档导致</w:t>
      </w:r>
      <w:r>
        <w:rPr>
          <w:rFonts w:hint="eastAsia" w:ascii="仿宋_GB2312" w:hAnsi="仿宋_GB2312" w:eastAsia="仿宋_GB2312" w:cs="仿宋_GB2312"/>
          <w:sz w:val="32"/>
          <w:szCs w:val="32"/>
          <w:highlight w:val="none"/>
        </w:rPr>
        <w:t>人员经费</w:t>
      </w:r>
      <w:r>
        <w:rPr>
          <w:rFonts w:hint="eastAsia" w:ascii="仿宋_GB2312" w:hAnsi="仿宋_GB2312" w:eastAsia="仿宋_GB2312" w:cs="仿宋_GB2312"/>
          <w:sz w:val="32"/>
          <w:szCs w:val="32"/>
          <w:highlight w:val="none"/>
          <w:lang w:eastAsia="zh-CN"/>
        </w:rPr>
        <w:t>调整</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年度一般公共预算财政拨款支出1246.40万元，主要用于以下方面：一般公共服务（类）支出1050.73万元，占84.30%；社会保障和就业（类）支出144.19万元，占11.57%；卫生健康（类）支出51.48万元，占4.13%。</w:t>
      </w:r>
    </w:p>
    <w:p>
      <w:pPr>
        <w:widowControl/>
        <w:spacing w:line="590" w:lineRule="exact"/>
        <w:ind w:firstLine="642"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color w:val="auto"/>
          <w:sz w:val="32"/>
          <w:szCs w:val="32"/>
          <w:highlight w:val="none"/>
        </w:rPr>
        <w:t>1155.74 万元，</w:t>
      </w:r>
      <w:r>
        <w:rPr>
          <w:rFonts w:hint="eastAsia" w:ascii="仿宋_GB2312" w:hAnsi="仿宋_GB2312" w:eastAsia="仿宋_GB2312" w:cs="仿宋_GB2312"/>
          <w:sz w:val="32"/>
          <w:szCs w:val="32"/>
          <w:highlight w:val="none"/>
        </w:rPr>
        <w:t>支出决算为1246.40万元，完成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预算的107.84%。其中：</w:t>
      </w:r>
    </w:p>
    <w:p>
      <w:pPr>
        <w:widowControl/>
        <w:spacing w:line="59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1．一般公共服务（类）统计信息事务（款）行政运行（项）。</w:t>
      </w:r>
      <w:r>
        <w:rPr>
          <w:rFonts w:hint="eastAsia" w:ascii="仿宋_GB2312" w:hAnsi="仿宋_GB2312" w:eastAsia="仿宋_GB2312" w:cs="仿宋_GB2312"/>
          <w:sz w:val="32"/>
          <w:szCs w:val="32"/>
        </w:rPr>
        <w:t>年初预算为774.05 万元，支出决算为816.37万元，完成年初预算的105.47%。决算数与年初预算数存在差异的主要原因是</w:t>
      </w:r>
      <w:r>
        <w:rPr>
          <w:rFonts w:hint="eastAsia" w:ascii="仿宋_GB2312" w:hAnsi="仿宋_GB2312" w:eastAsia="仿宋_GB2312" w:cs="仿宋_GB2312"/>
          <w:sz w:val="32"/>
          <w:szCs w:val="32"/>
          <w:highlight w:val="none"/>
          <w:lang w:eastAsia="zh-CN"/>
        </w:rPr>
        <w:t>工资晋级晋档导致</w:t>
      </w:r>
      <w:r>
        <w:rPr>
          <w:rFonts w:hint="eastAsia" w:ascii="仿宋_GB2312" w:hAnsi="仿宋_GB2312" w:eastAsia="仿宋_GB2312" w:cs="仿宋_GB2312"/>
          <w:sz w:val="32"/>
          <w:szCs w:val="32"/>
          <w:highlight w:val="none"/>
        </w:rPr>
        <w:t>人员经费</w:t>
      </w:r>
      <w:r>
        <w:rPr>
          <w:rFonts w:hint="eastAsia" w:ascii="仿宋_GB2312" w:hAnsi="仿宋_GB2312" w:eastAsia="仿宋_GB2312" w:cs="仿宋_GB2312"/>
          <w:sz w:val="32"/>
          <w:szCs w:val="32"/>
          <w:highlight w:val="none"/>
          <w:lang w:eastAsia="zh-CN"/>
        </w:rPr>
        <w:t>调整</w:t>
      </w:r>
      <w:r>
        <w:rPr>
          <w:rFonts w:hint="eastAsia" w:ascii="仿宋_GB2312" w:hAnsi="仿宋_GB2312" w:eastAsia="仿宋_GB2312" w:cs="仿宋_GB2312"/>
          <w:sz w:val="32"/>
          <w:szCs w:val="32"/>
        </w:rPr>
        <w:t>。</w:t>
      </w:r>
    </w:p>
    <w:p>
      <w:pPr>
        <w:widowControl/>
        <w:spacing w:line="59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．一般公共服务（类）统计信息事务（款）专项普查活动（项）。</w:t>
      </w:r>
      <w:r>
        <w:rPr>
          <w:rFonts w:hint="eastAsia" w:ascii="仿宋_GB2312" w:hAnsi="仿宋_GB2312" w:eastAsia="仿宋_GB2312" w:cs="仿宋_GB2312"/>
          <w:sz w:val="32"/>
          <w:szCs w:val="32"/>
        </w:rPr>
        <w:t>年初预算为0万元，支出决算为3.31万元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决算数与年初预算数存在差异的主要原因是</w:t>
      </w:r>
      <w:r>
        <w:rPr>
          <w:rFonts w:hint="eastAsia" w:ascii="仿宋_GB2312" w:hAnsi="仿宋_GB2312" w:eastAsia="仿宋_GB2312" w:cs="仿宋_GB2312"/>
          <w:sz w:val="32"/>
          <w:szCs w:val="32"/>
          <w:lang w:eastAsia="zh-CN"/>
        </w:rPr>
        <w:t>使用结转和结余资金，</w:t>
      </w:r>
      <w:r>
        <w:rPr>
          <w:rFonts w:hint="eastAsia" w:ascii="仿宋_GB2312" w:hAnsi="仿宋_GB2312" w:eastAsia="仿宋_GB2312" w:cs="仿宋_GB2312"/>
          <w:sz w:val="32"/>
          <w:szCs w:val="32"/>
        </w:rPr>
        <w:t>2020年度开展全国第七次人口普查，部分工作尚未结束。</w:t>
      </w:r>
    </w:p>
    <w:p>
      <w:pPr>
        <w:widowControl/>
        <w:spacing w:line="59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．一般公共服务（类）统计信息事务（款）事业运行（项）。</w:t>
      </w:r>
      <w:r>
        <w:rPr>
          <w:rFonts w:hint="eastAsia" w:ascii="仿宋_GB2312" w:hAnsi="仿宋_GB2312" w:eastAsia="仿宋_GB2312" w:cs="仿宋_GB2312"/>
          <w:sz w:val="32"/>
          <w:szCs w:val="32"/>
        </w:rPr>
        <w:t>年初预算为183.05 万元，支出决算为203.98万元，完成年初预算的111.43%。决算数与年初预算数存在差异的主要原因是</w:t>
      </w:r>
      <w:r>
        <w:rPr>
          <w:rFonts w:hint="eastAsia" w:ascii="仿宋_GB2312" w:hAnsi="仿宋_GB2312" w:eastAsia="仿宋_GB2312" w:cs="仿宋_GB2312"/>
          <w:sz w:val="32"/>
          <w:szCs w:val="32"/>
          <w:highlight w:val="none"/>
          <w:lang w:eastAsia="zh-CN"/>
        </w:rPr>
        <w:t>工资晋级晋档导致</w:t>
      </w:r>
      <w:r>
        <w:rPr>
          <w:rFonts w:hint="eastAsia" w:ascii="仿宋_GB2312" w:hAnsi="仿宋_GB2312" w:eastAsia="仿宋_GB2312" w:cs="仿宋_GB2312"/>
          <w:sz w:val="32"/>
          <w:szCs w:val="32"/>
          <w:highlight w:val="none"/>
        </w:rPr>
        <w:t>人员经费</w:t>
      </w:r>
      <w:r>
        <w:rPr>
          <w:rFonts w:hint="eastAsia" w:ascii="仿宋_GB2312" w:hAnsi="仿宋_GB2312" w:eastAsia="仿宋_GB2312" w:cs="仿宋_GB2312"/>
          <w:sz w:val="32"/>
          <w:szCs w:val="32"/>
          <w:highlight w:val="none"/>
          <w:lang w:eastAsia="zh-CN"/>
        </w:rPr>
        <w:t>调整</w:t>
      </w:r>
      <w:r>
        <w:rPr>
          <w:rFonts w:hint="eastAsia" w:ascii="仿宋_GB2312" w:hAnsi="仿宋_GB2312" w:eastAsia="仿宋_GB2312" w:cs="仿宋_GB2312"/>
          <w:sz w:val="32"/>
          <w:szCs w:val="32"/>
        </w:rPr>
        <w:t>。</w:t>
      </w:r>
    </w:p>
    <w:p>
      <w:pPr>
        <w:widowControl/>
        <w:spacing w:line="59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．一般公共服务（类）统计信息事务（款）其他统计信息事务支出（项）。</w:t>
      </w:r>
      <w:r>
        <w:rPr>
          <w:rFonts w:hint="eastAsia" w:ascii="仿宋_GB2312" w:hAnsi="仿宋_GB2312" w:eastAsia="仿宋_GB2312" w:cs="仿宋_GB2312"/>
          <w:sz w:val="32"/>
          <w:szCs w:val="32"/>
        </w:rPr>
        <w:t>年初预算为0万元，支出决算为22.05万元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决算数与年初预算数存在差异的主要原因是</w:t>
      </w:r>
      <w:r>
        <w:rPr>
          <w:rFonts w:hint="eastAsia" w:ascii="仿宋_GB2312" w:hAnsi="仿宋_GB2312" w:eastAsia="仿宋_GB2312" w:cs="仿宋_GB2312"/>
          <w:sz w:val="32"/>
          <w:szCs w:val="32"/>
          <w:lang w:eastAsia="zh-CN"/>
        </w:rPr>
        <w:t>使用结转和结余资金，</w:t>
      </w:r>
      <w:r>
        <w:rPr>
          <w:rFonts w:hint="eastAsia" w:ascii="仿宋_GB2312" w:hAnsi="仿宋_GB2312" w:eastAsia="仿宋_GB2312" w:cs="仿宋_GB2312"/>
          <w:sz w:val="32"/>
          <w:szCs w:val="32"/>
        </w:rPr>
        <w:t>2020年度开展全国第七次人口普查，部分工作尚未结束。</w:t>
      </w:r>
    </w:p>
    <w:p>
      <w:pPr>
        <w:widowControl/>
        <w:spacing w:line="590" w:lineRule="exact"/>
        <w:ind w:firstLine="642"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．一般公共服务（类）群众团体事务（款）工会事务（项）</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年初预算为5.03万元，支出决算为5.03万元，完成年初预算的100%。决算数与年初预算数</w:t>
      </w:r>
      <w:r>
        <w:rPr>
          <w:rFonts w:hint="eastAsia" w:ascii="仿宋_GB2312" w:hAnsi="仿宋_GB2312" w:eastAsia="仿宋_GB2312" w:cs="仿宋_GB2312"/>
          <w:sz w:val="32"/>
          <w:szCs w:val="32"/>
          <w:lang w:eastAsia="zh-CN"/>
        </w:rPr>
        <w:t>不</w:t>
      </w:r>
      <w:r>
        <w:rPr>
          <w:rFonts w:hint="eastAsia" w:ascii="仿宋_GB2312" w:hAnsi="仿宋_GB2312" w:eastAsia="仿宋_GB2312" w:cs="仿宋_GB2312"/>
          <w:sz w:val="32"/>
          <w:szCs w:val="32"/>
        </w:rPr>
        <w:t>存在差异</w:t>
      </w:r>
      <w:r>
        <w:rPr>
          <w:rFonts w:hint="eastAsia" w:ascii="仿宋_GB2312" w:hAnsi="仿宋_GB2312" w:eastAsia="仿宋_GB2312" w:cs="仿宋_GB2312"/>
          <w:sz w:val="32"/>
          <w:szCs w:val="32"/>
          <w:lang w:eastAsia="zh-CN"/>
        </w:rPr>
        <w:t>。</w:t>
      </w:r>
    </w:p>
    <w:p>
      <w:pPr>
        <w:widowControl/>
        <w:spacing w:line="590" w:lineRule="exact"/>
        <w:ind w:firstLine="642" w:firstLineChars="200"/>
        <w:rPr>
          <w:rFonts w:hint="eastAsia" w:ascii="仿宋_GB2312" w:hAnsi="宋体" w:eastAsia="仿宋_GB2312" w:cs="Courier New"/>
          <w:sz w:val="32"/>
          <w:szCs w:val="32"/>
        </w:rPr>
      </w:pPr>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b/>
          <w:bCs/>
          <w:sz w:val="32"/>
          <w:szCs w:val="32"/>
        </w:rPr>
        <w:t>．</w:t>
      </w:r>
      <w:r>
        <w:rPr>
          <w:rFonts w:hint="eastAsia" w:ascii="仿宋_GB2312" w:hAnsi="宋体" w:eastAsia="仿宋_GB2312" w:cs="Courier New"/>
          <w:b/>
          <w:bCs/>
          <w:sz w:val="32"/>
          <w:szCs w:val="32"/>
        </w:rPr>
        <w:t>社会保障和就业（类）行政事业单位养老支出（款）行政单位离退休（项）。</w:t>
      </w:r>
      <w:r>
        <w:rPr>
          <w:rFonts w:hint="eastAsia" w:ascii="仿宋_GB2312" w:hAnsi="宋体" w:eastAsia="仿宋_GB2312" w:cs="Courier New"/>
          <w:sz w:val="32"/>
          <w:szCs w:val="32"/>
        </w:rPr>
        <w:t>年初预算为73.13万元，支出决算为82.02万元，完成年初预算的112.16%。决算数与年初预算数存在差异的主要原因是人员经费调整。</w:t>
      </w:r>
    </w:p>
    <w:p>
      <w:pPr>
        <w:widowControl/>
        <w:spacing w:line="59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7</w:t>
      </w:r>
      <w:r>
        <w:rPr>
          <w:rFonts w:hint="eastAsia" w:ascii="仿宋_GB2312" w:hAnsi="仿宋_GB2312" w:eastAsia="仿宋_GB2312" w:cs="仿宋_GB2312"/>
          <w:b/>
          <w:bCs/>
          <w:sz w:val="32"/>
          <w:szCs w:val="32"/>
        </w:rPr>
        <w:t>．</w:t>
      </w:r>
      <w:r>
        <w:rPr>
          <w:rFonts w:hint="eastAsia" w:ascii="仿宋_GB2312" w:hAnsi="宋体" w:eastAsia="仿宋_GB2312" w:cs="Courier New"/>
          <w:b/>
          <w:bCs/>
          <w:sz w:val="32"/>
          <w:szCs w:val="32"/>
        </w:rPr>
        <w:t>社会保障和就业（类）行政事业单位养老支出（款） 事业单位离退休（项）。</w:t>
      </w:r>
      <w:r>
        <w:rPr>
          <w:rFonts w:hint="eastAsia" w:ascii="仿宋_GB2312" w:hAnsi="宋体" w:eastAsia="仿宋_GB2312" w:cs="Courier New"/>
          <w:sz w:val="32"/>
          <w:szCs w:val="32"/>
        </w:rPr>
        <w:t>年初预算为3.42万元，支出决算为3.36万元，</w:t>
      </w:r>
      <w:r>
        <w:rPr>
          <w:rFonts w:hint="eastAsia" w:ascii="仿宋_GB2312" w:hAnsi="仿宋_GB2312" w:eastAsia="仿宋_GB2312" w:cs="仿宋_GB2312"/>
          <w:sz w:val="32"/>
          <w:szCs w:val="32"/>
        </w:rPr>
        <w:t>完成年初预算的98.25%。决算数与年初预算数存在差异的主要原因是人员经费调整。</w:t>
      </w:r>
    </w:p>
    <w:p>
      <w:pPr>
        <w:widowControl/>
        <w:spacing w:line="590" w:lineRule="exact"/>
        <w:ind w:firstLine="642" w:firstLineChars="200"/>
        <w:rPr>
          <w:rFonts w:hint="eastAsia" w:ascii="仿宋_GB2312" w:hAnsi="宋体" w:eastAsia="仿宋_GB2312" w:cs="Courier New"/>
          <w:b/>
          <w:bCs/>
          <w:sz w:val="32"/>
          <w:szCs w:val="32"/>
        </w:rPr>
      </w:pPr>
      <w:r>
        <w:rPr>
          <w:rFonts w:hint="eastAsia" w:ascii="仿宋_GB2312" w:hAnsi="仿宋_GB2312" w:eastAsia="仿宋_GB2312" w:cs="仿宋_GB2312"/>
          <w:b/>
          <w:bCs/>
          <w:sz w:val="32"/>
          <w:szCs w:val="32"/>
          <w:lang w:val="en-US" w:eastAsia="zh-CN"/>
        </w:rPr>
        <w:t>8</w:t>
      </w:r>
      <w:r>
        <w:rPr>
          <w:rFonts w:hint="eastAsia" w:ascii="仿宋_GB2312" w:hAnsi="仿宋_GB2312" w:eastAsia="仿宋_GB2312" w:cs="仿宋_GB2312"/>
          <w:b/>
          <w:bCs/>
          <w:sz w:val="32"/>
          <w:szCs w:val="32"/>
        </w:rPr>
        <w:t>．</w:t>
      </w:r>
      <w:r>
        <w:rPr>
          <w:rFonts w:hint="eastAsia" w:ascii="仿宋_GB2312" w:hAnsi="宋体" w:eastAsia="仿宋_GB2312" w:cs="Courier New"/>
          <w:b/>
          <w:bCs/>
          <w:sz w:val="32"/>
          <w:szCs w:val="32"/>
        </w:rPr>
        <w:t>社会保障和就业（类）行政事业单位养老支出（款）机关事业单位基本养老保险缴费支出（项）。</w:t>
      </w:r>
      <w:r>
        <w:rPr>
          <w:rFonts w:hint="eastAsia" w:ascii="仿宋_GB2312" w:hAnsi="宋体" w:eastAsia="仿宋_GB2312" w:cs="Courier New"/>
          <w:sz w:val="32"/>
          <w:szCs w:val="32"/>
        </w:rPr>
        <w:t>年初预算为61.38万元，支出决算为58.81万元，</w:t>
      </w:r>
      <w:r>
        <w:rPr>
          <w:rFonts w:hint="eastAsia" w:ascii="仿宋_GB2312" w:hAnsi="仿宋_GB2312" w:eastAsia="仿宋_GB2312" w:cs="仿宋_GB2312"/>
          <w:sz w:val="32"/>
          <w:szCs w:val="32"/>
        </w:rPr>
        <w:t>完成年初预算的95.81%。决算数与年初预算数存在差异的主要原因是人员经费调整。</w:t>
      </w:r>
    </w:p>
    <w:p>
      <w:pPr>
        <w:widowControl/>
        <w:spacing w:line="59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9</w:t>
      </w:r>
      <w:r>
        <w:rPr>
          <w:rFonts w:hint="eastAsia" w:ascii="仿宋_GB2312" w:hAnsi="仿宋_GB2312" w:eastAsia="仿宋_GB2312" w:cs="仿宋_GB2312"/>
          <w:b/>
          <w:bCs/>
          <w:sz w:val="32"/>
          <w:szCs w:val="32"/>
        </w:rPr>
        <w:t>．</w:t>
      </w:r>
      <w:r>
        <w:rPr>
          <w:rFonts w:hint="eastAsia" w:ascii="仿宋_GB2312" w:hAnsi="宋体" w:eastAsia="仿宋_GB2312" w:cs="Courier New"/>
          <w:b/>
          <w:bCs/>
          <w:sz w:val="32"/>
          <w:szCs w:val="32"/>
        </w:rPr>
        <w:t>卫生健康支出（类）行政事业单位医疗（款）行政单位医疗（项）。</w:t>
      </w:r>
      <w:r>
        <w:rPr>
          <w:rFonts w:hint="eastAsia" w:ascii="仿宋_GB2312" w:hAnsi="宋体" w:eastAsia="仿宋_GB2312" w:cs="Courier New"/>
          <w:sz w:val="32"/>
          <w:szCs w:val="32"/>
        </w:rPr>
        <w:t>年初预算为25.41万元，支出决算为23.66万元，</w:t>
      </w:r>
      <w:r>
        <w:rPr>
          <w:rFonts w:hint="eastAsia" w:ascii="仿宋_GB2312" w:hAnsi="仿宋_GB2312" w:eastAsia="仿宋_GB2312" w:cs="仿宋_GB2312"/>
          <w:sz w:val="32"/>
          <w:szCs w:val="32"/>
        </w:rPr>
        <w:t>完成年初预算的93.11%。决算数与年初预算数存在差异的主要原因是人员经费调整。</w:t>
      </w:r>
    </w:p>
    <w:p>
      <w:pPr>
        <w:widowControl/>
        <w:spacing w:line="590" w:lineRule="exact"/>
        <w:ind w:firstLine="642" w:firstLineChars="200"/>
        <w:rPr>
          <w:rFonts w:hint="eastAsia" w:ascii="仿宋_GB2312" w:hAnsi="宋体" w:eastAsia="仿宋_GB2312" w:cs="Courier New"/>
          <w:sz w:val="32"/>
          <w:szCs w:val="32"/>
        </w:rPr>
      </w:pPr>
      <w:r>
        <w:rPr>
          <w:rFonts w:hint="eastAsia" w:ascii="仿宋_GB2312" w:hAnsi="仿宋_GB2312" w:eastAsia="仿宋_GB2312" w:cs="仿宋_GB2312"/>
          <w:b/>
          <w:bCs/>
          <w:sz w:val="32"/>
          <w:szCs w:val="32"/>
          <w:lang w:val="en-US" w:eastAsia="zh-CN"/>
        </w:rPr>
        <w:t>10</w:t>
      </w:r>
      <w:r>
        <w:rPr>
          <w:rFonts w:hint="eastAsia" w:ascii="仿宋_GB2312" w:hAnsi="仿宋_GB2312" w:eastAsia="仿宋_GB2312" w:cs="仿宋_GB2312"/>
          <w:b/>
          <w:bCs/>
          <w:sz w:val="32"/>
          <w:szCs w:val="32"/>
        </w:rPr>
        <w:t>．</w:t>
      </w:r>
      <w:r>
        <w:rPr>
          <w:rFonts w:hint="eastAsia" w:ascii="仿宋_GB2312" w:hAnsi="宋体" w:eastAsia="仿宋_GB2312" w:cs="Courier New"/>
          <w:b/>
          <w:bCs/>
          <w:sz w:val="32"/>
          <w:szCs w:val="32"/>
        </w:rPr>
        <w:t>卫生健康支出（类）行政事业单位医疗（款）事业单位医疗（项）。</w:t>
      </w:r>
      <w:r>
        <w:rPr>
          <w:rFonts w:hint="eastAsia" w:ascii="仿宋_GB2312" w:hAnsi="宋体" w:eastAsia="仿宋_GB2312" w:cs="Courier New"/>
          <w:sz w:val="32"/>
          <w:szCs w:val="32"/>
        </w:rPr>
        <w:t>年初预算为6.07万元，支出决算为5.88万元，完成年初预算的96.87%。决算数与年初预算数存在差异的主要原因是人员经费调整。</w:t>
      </w:r>
    </w:p>
    <w:p>
      <w:pPr>
        <w:widowControl/>
        <w:spacing w:line="59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11</w:t>
      </w:r>
      <w:r>
        <w:rPr>
          <w:rFonts w:hint="eastAsia" w:ascii="仿宋_GB2312" w:hAnsi="仿宋_GB2312" w:eastAsia="仿宋_GB2312" w:cs="仿宋_GB2312"/>
          <w:b/>
          <w:bCs/>
          <w:sz w:val="32"/>
          <w:szCs w:val="32"/>
        </w:rPr>
        <w:t>．</w:t>
      </w:r>
      <w:r>
        <w:rPr>
          <w:rFonts w:hint="eastAsia" w:ascii="仿宋_GB2312" w:hAnsi="宋体" w:eastAsia="仿宋_GB2312" w:cs="Courier New"/>
          <w:b/>
          <w:bCs/>
          <w:sz w:val="32"/>
          <w:szCs w:val="32"/>
        </w:rPr>
        <w:t>卫生健康支出（类）行政事业单位医疗（款）公务员医疗补助（项）。</w:t>
      </w:r>
      <w:r>
        <w:rPr>
          <w:rFonts w:hint="eastAsia" w:ascii="仿宋_GB2312" w:hAnsi="宋体" w:eastAsia="仿宋_GB2312" w:cs="Courier New"/>
          <w:sz w:val="32"/>
          <w:szCs w:val="32"/>
        </w:rPr>
        <w:t>年初预算为24.20万元，支出决算为21.93万元，完成年初预算的90.62%。决算数与年初预算数存在差异的主要原因是人员经费调整。</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年度一般公共预算财政拨款基本支出1221.04万元。其中：人员经费1068.53万元，主要包括：基本工资、津贴补贴、</w:t>
      </w:r>
      <w:r>
        <w:rPr>
          <w:rFonts w:hint="eastAsia" w:ascii="仿宋_GB2312" w:hAnsi="仿宋_GB2312" w:eastAsia="仿宋_GB2312" w:cs="仿宋_GB2312"/>
          <w:sz w:val="32"/>
          <w:szCs w:val="32"/>
          <w:highlight w:val="none"/>
          <w:lang w:eastAsia="zh-CN"/>
        </w:rPr>
        <w:t>奖金、</w:t>
      </w:r>
      <w:r>
        <w:rPr>
          <w:rFonts w:hint="eastAsia" w:ascii="仿宋_GB2312" w:hAnsi="仿宋_GB2312" w:eastAsia="仿宋_GB2312" w:cs="仿宋_GB2312"/>
          <w:sz w:val="32"/>
          <w:szCs w:val="32"/>
          <w:highlight w:val="none"/>
        </w:rPr>
        <w:t>绩效工资、机关事业单位基本养老保险缴费、</w:t>
      </w:r>
      <w:r>
        <w:rPr>
          <w:rFonts w:hint="eastAsia" w:ascii="仿宋_GB2312" w:hAnsi="仿宋_GB2312" w:eastAsia="仿宋_GB2312" w:cs="仿宋_GB2312"/>
          <w:sz w:val="32"/>
          <w:szCs w:val="32"/>
          <w:highlight w:val="none"/>
          <w:lang w:val="en-US" w:eastAsia="zh-CN"/>
        </w:rPr>
        <w:t>职工基本医疗保险缴费、公务员医疗补助缴费、</w:t>
      </w:r>
      <w:r>
        <w:rPr>
          <w:rFonts w:hint="eastAsia" w:ascii="仿宋_GB2312" w:hAnsi="仿宋_GB2312" w:eastAsia="仿宋_GB2312" w:cs="仿宋_GB2312"/>
          <w:sz w:val="32"/>
          <w:szCs w:val="32"/>
          <w:highlight w:val="none"/>
        </w:rPr>
        <w:t>其他社会保障缴费、</w:t>
      </w:r>
      <w:r>
        <w:rPr>
          <w:rFonts w:hint="eastAsia" w:ascii="仿宋_GB2312" w:hAnsi="仿宋_GB2312" w:eastAsia="仿宋_GB2312" w:cs="仿宋_GB2312"/>
          <w:sz w:val="32"/>
          <w:szCs w:val="32"/>
          <w:highlight w:val="none"/>
          <w:lang w:eastAsia="zh-CN"/>
        </w:rPr>
        <w:t>住房公积金、</w:t>
      </w:r>
      <w:r>
        <w:rPr>
          <w:rFonts w:hint="eastAsia" w:ascii="仿宋_GB2312" w:hAnsi="仿宋_GB2312" w:eastAsia="仿宋_GB2312" w:cs="仿宋_GB2312"/>
          <w:sz w:val="32"/>
          <w:szCs w:val="32"/>
          <w:highlight w:val="none"/>
        </w:rPr>
        <w:t>其他工资福利支出、退休费；公用经费152.51万元，主要包括：办公费、邮电费、差旅费、会议费、培训费、公务接待费、工会经费、福利费、公务用车运行维护费、其他交通费用、其他商品和服务支出、办公设备购置。</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2"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年度“三公”经费财政拨款支出预算为8.35万元，支出决算为3.58万元，完成预算的</w:t>
      </w:r>
      <w:r>
        <w:rPr>
          <w:rFonts w:hint="eastAsia" w:ascii="仿宋_GB2312" w:hAnsi="仿宋_GB2312" w:eastAsia="仿宋_GB2312" w:cs="仿宋_GB2312"/>
          <w:sz w:val="32"/>
          <w:szCs w:val="32"/>
        </w:rPr>
        <w:t>42.87</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年度“三公”经费支出决算数与预算数存在差异的主要原因是</w:t>
      </w:r>
      <w:r>
        <w:rPr>
          <w:rFonts w:hint="eastAsia" w:ascii="仿宋_GB2312" w:hAnsi="仿宋_GB2312" w:eastAsia="仿宋_GB2312" w:cs="仿宋_GB2312"/>
          <w:sz w:val="32"/>
          <w:szCs w:val="32"/>
        </w:rPr>
        <w:t>认真贯彻落实中央八项规定的精神，厉行节约、反对铺张浪费，杜绝违反党风廉政建设的有关规定，进一步规范“三公”经费管理，严格控制“三公”经费支出</w:t>
      </w:r>
      <w:r>
        <w:rPr>
          <w:rFonts w:hint="eastAsia" w:ascii="仿宋_GB2312" w:hAnsi="仿宋_GB2312" w:eastAsia="仿宋_GB2312" w:cs="仿宋_GB2312"/>
          <w:sz w:val="32"/>
          <w:szCs w:val="32"/>
          <w:highlight w:val="none"/>
        </w:rPr>
        <w:t>。</w:t>
      </w:r>
    </w:p>
    <w:p>
      <w:pPr>
        <w:widowControl/>
        <w:spacing w:line="590" w:lineRule="exact"/>
        <w:ind w:firstLine="642"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万元；公务用车购置及运行费支出决算3.40万元，完成预算的85%，占94.97%；公务接待费支出决算0.18万元，完成预算的4.14%，占5.03%。具体情况如下：</w:t>
      </w:r>
    </w:p>
    <w:p>
      <w:pPr>
        <w:widowControl/>
        <w:spacing w:line="590" w:lineRule="exact"/>
        <w:ind w:firstLine="642"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rPr>
        <w:t>1．</w:t>
      </w:r>
      <w:r>
        <w:rPr>
          <w:rFonts w:hint="eastAsia" w:ascii="仿宋_GB2312" w:hAnsi="仿宋_GB2312" w:eastAsia="仿宋_GB2312"/>
          <w:b/>
          <w:sz w:val="32"/>
          <w:szCs w:val="24"/>
          <w:lang w:val="en-US"/>
        </w:rPr>
        <w:t>因公出国（境）费</w:t>
      </w:r>
      <w:r>
        <w:rPr>
          <w:rFonts w:hint="eastAsia" w:ascii="仿宋_GB2312" w:hAnsi="仿宋_GB2312" w:eastAsia="仿宋_GB2312"/>
          <w:sz w:val="32"/>
          <w:szCs w:val="24"/>
          <w:lang w:val="en-US"/>
        </w:rPr>
        <w:t>预算为0万元，支出决算为0万元。决算数与预算数不存在差异</w:t>
      </w:r>
      <w:r>
        <w:rPr>
          <w:rFonts w:hint="eastAsia" w:ascii="仿宋_GB2312" w:hAnsi="仿宋_GB2312" w:eastAsia="仿宋_GB2312" w:cs="仿宋_GB2312"/>
          <w:sz w:val="32"/>
          <w:szCs w:val="32"/>
          <w:highlight w:val="none"/>
        </w:rPr>
        <w:t>。</w:t>
      </w:r>
      <w:r>
        <w:rPr>
          <w:rFonts w:hint="eastAsia" w:ascii="仿宋_GB2312" w:hAnsi="仿宋_GB2312" w:eastAsia="仿宋_GB2312"/>
          <w:sz w:val="32"/>
          <w:szCs w:val="24"/>
          <w:lang w:val="en-US"/>
        </w:rPr>
        <w:t>因公出国（境）团组数0个，因公出国（境）人次数0人。</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预算为4万元，支出决算为3.40万元，完成预算的85%。决算数与预算数存在差异的主要原因是</w:t>
      </w:r>
      <w:r>
        <w:rPr>
          <w:rFonts w:hint="eastAsia" w:ascii="仿宋_GB2312" w:eastAsia="仿宋_GB2312"/>
          <w:sz w:val="32"/>
          <w:szCs w:val="32"/>
        </w:rPr>
        <w:t>认真贯彻落实中央八项规定的精神，厉行节约、反对铺张浪费，杜绝违反党风廉政建设的有关规定，进一步规范“三公”经费管理，严格控制“三公”经费支出</w:t>
      </w:r>
      <w:r>
        <w:rPr>
          <w:rFonts w:hint="eastAsia" w:ascii="仿宋_GB2312" w:hAnsi="仿宋_GB2312" w:eastAsia="仿宋_GB2312" w:cs="仿宋_GB2312"/>
          <w:sz w:val="32"/>
          <w:szCs w:val="32"/>
          <w:highlight w:val="none"/>
        </w:rPr>
        <w:t>。其中：</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rPr>
        <w:t>3.40万元。主要用于</w:t>
      </w:r>
      <w:r>
        <w:rPr>
          <w:rFonts w:hint="eastAsia" w:ascii="仿宋_GB2312" w:eastAsia="仿宋_GB2312"/>
          <w:sz w:val="32"/>
          <w:szCs w:val="32"/>
          <w:lang w:eastAsia="zh-CN"/>
        </w:rPr>
        <w:t>部门</w:t>
      </w:r>
      <w:r>
        <w:rPr>
          <w:rFonts w:hint="eastAsia" w:ascii="仿宋_GB2312" w:eastAsia="仿宋_GB2312"/>
          <w:sz w:val="32"/>
          <w:szCs w:val="32"/>
        </w:rPr>
        <w:t>公务用车燃料费、维修费、过路过桥费、保险费等支出</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w:t>
      </w:r>
      <w:r>
        <w:rPr>
          <w:rFonts w:hint="eastAsia" w:ascii="仿宋_GB2312" w:hAnsi="仿宋_GB2312" w:eastAsia="仿宋_GB2312" w:cs="仿宋_GB2312"/>
          <w:sz w:val="32"/>
          <w:szCs w:val="32"/>
          <w:highlight w:val="none"/>
          <w:lang w:eastAsia="zh-CN"/>
        </w:rPr>
        <w:t>部门</w:t>
      </w:r>
      <w:r>
        <w:rPr>
          <w:rFonts w:hint="eastAsia" w:ascii="仿宋_GB2312" w:hAnsi="仿宋_GB2312" w:eastAsia="仿宋_GB2312" w:cs="仿宋_GB2312"/>
          <w:sz w:val="32"/>
          <w:szCs w:val="32"/>
          <w:highlight w:val="none"/>
        </w:rPr>
        <w:t>开支财政拨款的公务用车保有量为</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辆</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预算为4.35万元，支出决算为0.18万元，完成预算的4.14%。决算数与预算数存在差异的主要原因是</w:t>
      </w:r>
      <w:r>
        <w:rPr>
          <w:rFonts w:hint="eastAsia" w:ascii="仿宋_GB2312" w:eastAsia="仿宋_GB2312"/>
          <w:sz w:val="32"/>
          <w:szCs w:val="32"/>
        </w:rPr>
        <w:t>认真贯彻落实中央八项规定的精神，厉行节约、反对铺张浪费，杜绝违反党风廉政建设的有关规定，进一步规范“三公”经费管理，严格控制“三公”经费支出</w:t>
      </w:r>
      <w:r>
        <w:rPr>
          <w:rFonts w:hint="eastAsia" w:ascii="仿宋_GB2312" w:hAnsi="仿宋_GB2312" w:eastAsia="仿宋_GB2312" w:cs="仿宋_GB2312"/>
          <w:sz w:val="32"/>
          <w:szCs w:val="32"/>
          <w:highlight w:val="none"/>
        </w:rPr>
        <w:t>。其中：</w:t>
      </w:r>
    </w:p>
    <w:p>
      <w:pPr>
        <w:widowControl/>
        <w:spacing w:line="590" w:lineRule="exact"/>
        <w:ind w:firstLine="642" w:firstLineChars="200"/>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rPr>
        <w:t>0.18万元。主要用于</w:t>
      </w:r>
      <w:r>
        <w:rPr>
          <w:rFonts w:hint="eastAsia" w:ascii="仿宋_GB2312" w:hAnsi="仿宋_GB2312" w:eastAsia="仿宋_GB2312" w:cs="仿宋_GB2312"/>
          <w:sz w:val="32"/>
          <w:szCs w:val="32"/>
        </w:rPr>
        <w:t>日常公务接待</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22</w:t>
      </w:r>
      <w:r>
        <w:rPr>
          <w:rFonts w:hint="eastAsia" w:ascii="仿宋_GB2312" w:hAnsi="仿宋_GB2312" w:eastAsia="仿宋_GB2312" w:cs="仿宋_GB2312"/>
          <w:sz w:val="32"/>
          <w:szCs w:val="32"/>
          <w:highlight w:val="none"/>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不存在</w:t>
      </w:r>
      <w:r>
        <w:rPr>
          <w:rFonts w:hint="eastAsia" w:ascii="仿宋_GB2312" w:hAnsi="仿宋_GB2312" w:eastAsia="仿宋_GB2312" w:cs="仿宋_GB2312"/>
          <w:sz w:val="32"/>
          <w:szCs w:val="32"/>
          <w:highlight w:val="none"/>
        </w:rPr>
        <w:t>项目年末结转和结余资金数额较大，</w:t>
      </w:r>
      <w:r>
        <w:rPr>
          <w:rFonts w:hint="eastAsia" w:ascii="仿宋_GB2312" w:hAnsi="仿宋_GB2312" w:eastAsia="仿宋_GB2312" w:cs="仿宋_GB2312"/>
          <w:sz w:val="32"/>
          <w:szCs w:val="32"/>
          <w:highlight w:val="none"/>
          <w:lang w:eastAsia="zh-CN"/>
        </w:rPr>
        <w:t>情况说明</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我部门</w:t>
      </w:r>
      <w:r>
        <w:rPr>
          <w:rFonts w:hint="eastAsia" w:ascii="仿宋_GB2312" w:hAnsi="仿宋_GB2312" w:eastAsia="仿宋_GB2312" w:cs="仿宋_GB2312"/>
          <w:sz w:val="32"/>
          <w:szCs w:val="32"/>
          <w:highlight w:val="none"/>
          <w:lang w:val="en-US" w:eastAsia="zh-CN"/>
        </w:rPr>
        <w:t>2021年度没有</w:t>
      </w:r>
      <w:r>
        <w:rPr>
          <w:rFonts w:hint="eastAsia" w:ascii="仿宋_GB2312" w:hAnsi="仿宋_GB2312" w:eastAsia="仿宋_GB2312" w:cs="仿宋_GB2312"/>
          <w:sz w:val="32"/>
          <w:szCs w:val="32"/>
          <w:highlight w:val="none"/>
        </w:rPr>
        <w:t>政府性基金</w:t>
      </w:r>
      <w:r>
        <w:rPr>
          <w:rFonts w:hint="eastAsia" w:ascii="仿宋_GB2312" w:hAnsi="仿宋_GB2312" w:eastAsia="仿宋_GB2312" w:cs="仿宋_GB2312"/>
          <w:sz w:val="32"/>
          <w:szCs w:val="32"/>
          <w:highlight w:val="none"/>
          <w:lang w:eastAsia="zh-CN"/>
        </w:rPr>
        <w:t>收入，也没有使用</w:t>
      </w:r>
      <w:r>
        <w:rPr>
          <w:rFonts w:hint="eastAsia" w:ascii="仿宋_GB2312" w:hAnsi="仿宋_GB2312" w:eastAsia="仿宋_GB2312" w:cs="仿宋_GB2312"/>
          <w:sz w:val="32"/>
          <w:szCs w:val="32"/>
          <w:highlight w:val="none"/>
        </w:rPr>
        <w:t>政府性基金</w:t>
      </w:r>
      <w:r>
        <w:rPr>
          <w:rFonts w:hint="eastAsia" w:ascii="仿宋_GB2312" w:hAnsi="仿宋_GB2312" w:eastAsia="仿宋_GB2312" w:cs="仿宋_GB2312"/>
          <w:sz w:val="32"/>
          <w:szCs w:val="32"/>
          <w:highlight w:val="none"/>
          <w:lang w:eastAsia="zh-CN"/>
        </w:rPr>
        <w:t>安排的支出</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年度机关运行经费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预算为152.51万元，支出决算为152.51万元，完成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rPr>
        <w:t>授予中小企业合同金额0万元，其中：授予小微企业合同金额0万元。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highlight w:val="yellow"/>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w:t>
      </w:r>
      <w:r>
        <w:rPr>
          <w:rFonts w:hint="eastAsia" w:ascii="仿宋_GB2312" w:hAnsi="仿宋_GB2312" w:eastAsia="仿宋_GB2312" w:cs="仿宋_GB2312"/>
          <w:sz w:val="32"/>
          <w:szCs w:val="32"/>
          <w:highlight w:val="none"/>
          <w:lang w:eastAsia="zh-CN"/>
        </w:rPr>
        <w:t>部门</w:t>
      </w:r>
      <w:r>
        <w:rPr>
          <w:rFonts w:hint="eastAsia" w:ascii="仿宋_GB2312" w:hAnsi="仿宋_GB2312" w:eastAsia="仿宋_GB2312" w:cs="仿宋_GB2312"/>
          <w:sz w:val="32"/>
          <w:szCs w:val="32"/>
          <w:highlight w:val="none"/>
        </w:rPr>
        <w:t>共有车辆</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w:t>
      </w:r>
      <w:r>
        <w:rPr>
          <w:rFonts w:hint="eastAsia" w:ascii="仿宋_GB2312" w:hAnsi="仿宋_GB2312" w:eastAsia="仿宋_GB2312" w:cs="仿宋_GB2312"/>
          <w:sz w:val="32"/>
          <w:szCs w:val="32"/>
          <w:highlight w:val="none"/>
          <w:lang w:eastAsia="zh-CN"/>
        </w:rPr>
        <w:t>部门</w:t>
      </w:r>
      <w:r>
        <w:rPr>
          <w:rFonts w:hint="eastAsia" w:ascii="仿宋_GB2312" w:hAnsi="仿宋_GB2312" w:eastAsia="仿宋_GB2312" w:cs="仿宋_GB2312"/>
          <w:sz w:val="32"/>
          <w:szCs w:val="32"/>
          <w:highlight w:val="none"/>
        </w:rPr>
        <w:t>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r>
        <w:rPr>
          <w:rFonts w:hint="eastAsia" w:ascii="仿宋_GB2312" w:hAnsi="仿宋_GB2312" w:eastAsia="仿宋_GB2312" w:cs="仿宋_GB2312"/>
          <w:sz w:val="32"/>
          <w:szCs w:val="32"/>
          <w:highlight w:val="none"/>
          <w:lang w:eastAsia="zh-CN"/>
        </w:rPr>
        <w:t>部门</w:t>
      </w:r>
      <w:r>
        <w:rPr>
          <w:rFonts w:hint="eastAsia" w:ascii="仿宋_GB2312" w:hAnsi="仿宋_GB2312" w:eastAsia="仿宋_GB2312" w:cs="仿宋_GB2312"/>
          <w:sz w:val="32"/>
          <w:szCs w:val="32"/>
          <w:highlight w:val="none"/>
        </w:rPr>
        <w:t>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590" w:lineRule="exact"/>
        <w:ind w:right="0" w:rightChars="0" w:firstLine="642"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我部门按照《中共许昌市委 许昌市人民政府关于全面实施预算绩效管理的实施意见》（许发〔2021〕13号）文件要求，对本部门整体支出和项目支出开展全过程预算绩效管理。</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统计</w:t>
      </w:r>
      <w:r>
        <w:rPr>
          <w:rFonts w:hint="eastAsia" w:ascii="仿宋_GB2312" w:eastAsia="仿宋_GB2312"/>
          <w:sz w:val="32"/>
          <w:szCs w:val="32"/>
        </w:rPr>
        <w:t>局党组高度重视绩效管理工作，专门成立了局预算绩效管理工作领导小组，提出绩效管理工作总体要求，对评价依据</w:t>
      </w:r>
      <w:r>
        <w:rPr>
          <w:rFonts w:hint="eastAsia" w:ascii="仿宋_GB2312" w:eastAsia="仿宋_GB2312"/>
          <w:sz w:val="32"/>
          <w:szCs w:val="32"/>
          <w:lang w:eastAsia="zh-CN"/>
        </w:rPr>
        <w:t>、</w:t>
      </w:r>
      <w:r>
        <w:rPr>
          <w:rFonts w:hint="eastAsia" w:ascii="仿宋_GB2312" w:eastAsia="仿宋_GB2312"/>
          <w:sz w:val="32"/>
          <w:szCs w:val="32"/>
        </w:rPr>
        <w:t>评价目的</w:t>
      </w:r>
      <w:r>
        <w:rPr>
          <w:rFonts w:hint="eastAsia" w:ascii="仿宋_GB2312" w:eastAsia="仿宋_GB2312"/>
          <w:sz w:val="32"/>
          <w:szCs w:val="32"/>
          <w:lang w:eastAsia="zh-CN"/>
        </w:rPr>
        <w:t>、</w:t>
      </w:r>
      <w:r>
        <w:rPr>
          <w:rFonts w:hint="eastAsia" w:ascii="仿宋_GB2312" w:eastAsia="仿宋_GB2312"/>
          <w:sz w:val="32"/>
          <w:szCs w:val="32"/>
        </w:rPr>
        <w:t>考评对象</w:t>
      </w:r>
      <w:r>
        <w:rPr>
          <w:rFonts w:hint="eastAsia" w:ascii="仿宋_GB2312" w:eastAsia="仿宋_GB2312"/>
          <w:sz w:val="32"/>
          <w:szCs w:val="32"/>
          <w:lang w:eastAsia="zh-CN"/>
        </w:rPr>
        <w:t>、</w:t>
      </w:r>
      <w:r>
        <w:rPr>
          <w:rFonts w:hint="eastAsia" w:ascii="仿宋_GB2312" w:eastAsia="仿宋_GB2312"/>
          <w:sz w:val="32"/>
          <w:szCs w:val="32"/>
        </w:rPr>
        <w:t>方法步骤</w:t>
      </w:r>
      <w:r>
        <w:rPr>
          <w:rFonts w:hint="eastAsia" w:ascii="仿宋_GB2312" w:eastAsia="仿宋_GB2312"/>
          <w:sz w:val="32"/>
          <w:szCs w:val="32"/>
          <w:lang w:eastAsia="zh-CN"/>
        </w:rPr>
        <w:t>、</w:t>
      </w:r>
      <w:r>
        <w:rPr>
          <w:rFonts w:hint="eastAsia" w:ascii="仿宋_GB2312" w:eastAsia="仿宋_GB2312"/>
          <w:sz w:val="32"/>
          <w:szCs w:val="32"/>
        </w:rPr>
        <w:t>工作进度做出具体规定。年初开展绩效目标申报，确定年度目标，年中实施绩效监控，对预算支出情况进行分析，绩效目标基本实现。</w:t>
      </w:r>
    </w:p>
    <w:p>
      <w:pPr>
        <w:keepNext w:val="0"/>
        <w:keepLines w:val="0"/>
        <w:pageBreakBefore w:val="0"/>
        <w:widowControl/>
        <w:kinsoku/>
        <w:wordWrap/>
        <w:overflowPunct/>
        <w:topLinePunct w:val="0"/>
        <w:autoSpaceDE/>
        <w:autoSpaceDN/>
        <w:bidi w:val="0"/>
        <w:adjustRightInd/>
        <w:snapToGrid/>
        <w:spacing w:line="590" w:lineRule="exact"/>
        <w:ind w:right="0" w:rightChars="0" w:firstLine="642"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（二）部门整体和项目绩效自评结果。</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按照《许昌市财政局关于开展2021年度市级预算绩效自评工作的通知》（许财效）〔2022〕1号）等文件精神，我部门对本部门整体绩效目标和项目支出绩效目标进行了自评。一是部门整体绩效自评情况。</w:t>
      </w:r>
      <w:r>
        <w:rPr>
          <w:rFonts w:hint="eastAsia" w:ascii="仿宋_GB2312" w:hAnsi="仿宋_GB2312" w:eastAsia="仿宋_GB2312" w:cs="仿宋_GB2312"/>
          <w:sz w:val="32"/>
          <w:szCs w:val="32"/>
          <w:highlight w:val="none"/>
        </w:rPr>
        <w:t>通过对设定各项指标评价，分析项目绩效完成率，能够完成绩效目标任务</w:t>
      </w:r>
      <w:r>
        <w:rPr>
          <w:rFonts w:hint="eastAsia" w:ascii="仿宋_GB2312" w:hAnsi="仿宋_GB2312" w:eastAsia="仿宋_GB2312" w:cs="仿宋_GB2312"/>
          <w:color w:val="auto"/>
          <w:sz w:val="32"/>
          <w:szCs w:val="32"/>
          <w:highlight w:val="none"/>
          <w:lang w:val="en-US" w:eastAsia="zh-CN"/>
        </w:rPr>
        <w:t>。二是项目绩效自评情况。我部门共有1个项目批复了绩效目标，项目金额25.35万元。其中：</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许昌市统计局（本级）1个，项目金额25.35万元。</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98分。其中：1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590" w:lineRule="exact"/>
        <w:ind w:right="0" w:rightChars="0" w:firstLine="642"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bookmarkStart w:id="0" w:name="_GoBack"/>
      <w:bookmarkEnd w:id="0"/>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2021年度我部门没有开展重点绩效评价的项目。</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90101010101"/>
    <w:charset w:val="86"/>
    <w:family w:val="auto"/>
    <w:pitch w:val="default"/>
    <w:sig w:usb0="800002BF" w:usb1="38CF7CFA" w:usb2="00000016" w:usb3="00000000" w:csb0="6016019D" w:csb1="D3F7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altName w:val="宋体"/>
    <w:panose1 w:val="02010609030101010101"/>
    <w:charset w:val="86"/>
    <w:family w:val="modern"/>
    <w:pitch w:val="default"/>
    <w:sig w:usb0="00000000" w:usb1="00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false">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UG0wPswEAAFIDAAAOAAAAAAAAAAEAIAAAADQ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rPr>
                              <w:rFonts w:hint="eastAsia"/>
                            </w:rPr>
                          </w:pPr>
                        </w:p>
                      </w:txbxContent>
                    </wps:txbx>
                    <wps:bodyPr wrap="none" lIns="0" tIns="0" rIns="0" bIns="0" upright="false">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M6pebnPAAAABQEAAA8AAAAAAAAAAQAgAAAAOAAAAGRycy9kb3ducmV2&#10;LnhtbFBLAQIUABQAAAAIAIdO4kCXMAcHtgEAAFUDAAAOAAAAAAAAAAEAIAAAADQBAABkcnMvZTJv&#10;RG9jLnhtbFBLBQYAAAAABgAGAFkBAABcBQ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false">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FtmEerQBAABSAwAADgAAAAAAAAABACAAAAA0AQAAZHJzL2Uyb0Rv&#10;Yy54bWxQSwUGAAAAAAYABgBZAQAAWgU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true"/>
  <w:drawingGridHorizontalSpacing w:val="105"/>
  <w:drawingGridVerticalSpacing w:val="156"/>
  <w:displayHorizontalDrawingGridEvery w:val="1"/>
  <w:displayVerticalDrawingGridEvery w:val="1"/>
  <w:noPunctuationKerning w:val="true"/>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1ODUwYWRjZjBlZDg4NDY0MjNlNTEwYTVmMGIxMTgifQ=="/>
  </w:docVars>
  <w:rsids>
    <w:rsidRoot w:val="00172A27"/>
    <w:rsid w:val="067D47C8"/>
    <w:rsid w:val="1103435D"/>
    <w:rsid w:val="1BEFEFF5"/>
    <w:rsid w:val="2B724A7D"/>
    <w:rsid w:val="2F9B2F06"/>
    <w:rsid w:val="37F20E5E"/>
    <w:rsid w:val="37FF6CB3"/>
    <w:rsid w:val="3FBB252D"/>
    <w:rsid w:val="3FF7E20F"/>
    <w:rsid w:val="506F47EF"/>
    <w:rsid w:val="5A7C1332"/>
    <w:rsid w:val="5CC39B08"/>
    <w:rsid w:val="5DAB37DE"/>
    <w:rsid w:val="5E35E370"/>
    <w:rsid w:val="5F7F8A1A"/>
    <w:rsid w:val="62FE30EC"/>
    <w:rsid w:val="6B6AD43D"/>
    <w:rsid w:val="6DFECC11"/>
    <w:rsid w:val="6DFF1728"/>
    <w:rsid w:val="6FAF7602"/>
    <w:rsid w:val="6FC9B39E"/>
    <w:rsid w:val="6FDED0F9"/>
    <w:rsid w:val="6FFBCED7"/>
    <w:rsid w:val="70BF0C16"/>
    <w:rsid w:val="737EB4AC"/>
    <w:rsid w:val="75ED503F"/>
    <w:rsid w:val="769B15B6"/>
    <w:rsid w:val="76B7B248"/>
    <w:rsid w:val="77A21817"/>
    <w:rsid w:val="77B3A6E4"/>
    <w:rsid w:val="77D2190F"/>
    <w:rsid w:val="77FFAB3D"/>
    <w:rsid w:val="78371AEA"/>
    <w:rsid w:val="79165033"/>
    <w:rsid w:val="79BFE159"/>
    <w:rsid w:val="7A97D4AD"/>
    <w:rsid w:val="7BEB7E33"/>
    <w:rsid w:val="7DE7FBE7"/>
    <w:rsid w:val="7F9FA480"/>
    <w:rsid w:val="7FC76881"/>
    <w:rsid w:val="7FDD3F91"/>
    <w:rsid w:val="7FFDFBCD"/>
    <w:rsid w:val="7FFFE6D0"/>
    <w:rsid w:val="8FEF4070"/>
    <w:rsid w:val="9B94DF85"/>
    <w:rsid w:val="9FFD5B60"/>
    <w:rsid w:val="AD6F7BCA"/>
    <w:rsid w:val="B57F1512"/>
    <w:rsid w:val="B76BB925"/>
    <w:rsid w:val="B8FFE168"/>
    <w:rsid w:val="BF7A44BC"/>
    <w:rsid w:val="C5CBBC1A"/>
    <w:rsid w:val="CCFF2F78"/>
    <w:rsid w:val="D7B52966"/>
    <w:rsid w:val="D7F7B201"/>
    <w:rsid w:val="DFFF0587"/>
    <w:rsid w:val="E97B5542"/>
    <w:rsid w:val="EAFFCEC0"/>
    <w:rsid w:val="EEBD3A10"/>
    <w:rsid w:val="EEC7A106"/>
    <w:rsid w:val="EEDB03D4"/>
    <w:rsid w:val="F18FB683"/>
    <w:rsid w:val="F5E7346A"/>
    <w:rsid w:val="F5FEE8A2"/>
    <w:rsid w:val="F7BFEAC4"/>
    <w:rsid w:val="F7FFDDDF"/>
    <w:rsid w:val="F8EB1CD2"/>
    <w:rsid w:val="F99F8B58"/>
    <w:rsid w:val="F9EF89F4"/>
    <w:rsid w:val="FB7B4EF1"/>
    <w:rsid w:val="FBF39CD6"/>
    <w:rsid w:val="FBFFB480"/>
    <w:rsid w:val="FD7F3ED0"/>
    <w:rsid w:val="FDDF16C3"/>
    <w:rsid w:val="FDFF4D28"/>
    <w:rsid w:val="FF57CD3F"/>
    <w:rsid w:val="FFBD806C"/>
    <w:rsid w:val="FFBF5C40"/>
    <w:rsid w:val="FFE62ECC"/>
    <w:rsid w:val="FFEBDA80"/>
    <w:rsid w:val="FFF1E87F"/>
    <w:rsid w:val="FFF76E53"/>
    <w:rsid w:val="FFFF78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unhideWhenUsed/>
    <w:qFormat/>
    <w:uiPriority w:val="99"/>
    <w:rPr>
      <w:color w:val="800080"/>
      <w:u w:val="single"/>
    </w:rPr>
  </w:style>
  <w:style w:type="character" w:styleId="8">
    <w:name w:val="Hyperlink"/>
    <w:unhideWhenUsed/>
    <w:qFormat/>
    <w:uiPriority w:val="99"/>
    <w:rPr>
      <w:color w:val="0000FF"/>
      <w:u w:val="single"/>
    </w:rPr>
  </w:style>
  <w:style w:type="character" w:customStyle="1" w:styleId="9">
    <w:name w:val="font41"/>
    <w:qFormat/>
    <w:uiPriority w:val="0"/>
    <w:rPr>
      <w:rFonts w:hint="eastAsia" w:ascii="宋体" w:hAnsi="宋体" w:eastAsia="宋体" w:cs="宋体"/>
      <w:color w:val="000000"/>
      <w:sz w:val="24"/>
      <w:szCs w:val="24"/>
      <w:u w:val="none"/>
    </w:rPr>
  </w:style>
  <w:style w:type="character" w:customStyle="1" w:styleId="10">
    <w:name w:val="font51"/>
    <w:qFormat/>
    <w:uiPriority w:val="0"/>
    <w:rPr>
      <w:rFonts w:hint="eastAsia" w:ascii="宋体" w:hAnsi="宋体" w:eastAsia="宋体" w:cs="宋体"/>
      <w:color w:val="000000"/>
      <w:sz w:val="24"/>
      <w:szCs w:val="24"/>
      <w:u w:val="none"/>
    </w:rPr>
  </w:style>
  <w:style w:type="character" w:customStyle="1" w:styleId="11">
    <w:name w:val="页脚 Char Char Char"/>
    <w:link w:val="3"/>
    <w:qFormat/>
    <w:uiPriority w:val="99"/>
    <w:rPr>
      <w:kern w:val="2"/>
      <w:sz w:val="18"/>
      <w:szCs w:val="18"/>
    </w:rPr>
  </w:style>
  <w:style w:type="character" w:customStyle="1" w:styleId="12">
    <w:name w:val="font21"/>
    <w:qFormat/>
    <w:uiPriority w:val="0"/>
    <w:rPr>
      <w:rFonts w:hint="eastAsia" w:ascii="宋体" w:hAnsi="宋体" w:eastAsia="宋体" w:cs="宋体"/>
      <w:color w:val="000000"/>
      <w:sz w:val="22"/>
      <w:szCs w:val="22"/>
      <w:u w:val="none"/>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批注框文本 Char Char Char"/>
    <w:link w:val="2"/>
    <w:qFormat/>
    <w:uiPriority w:val="99"/>
    <w:rPr>
      <w:kern w:val="2"/>
      <w:sz w:val="18"/>
      <w:szCs w:val="18"/>
    </w:rPr>
  </w:style>
  <w:style w:type="character" w:customStyle="1" w:styleId="15">
    <w:name w:val="页眉 Char Char Char"/>
    <w:link w:val="4"/>
    <w:qFormat/>
    <w:uiPriority w:val="99"/>
    <w:rPr>
      <w:kern w:val="2"/>
      <w:sz w:val="18"/>
      <w:szCs w:val="18"/>
    </w:rPr>
  </w:style>
  <w:style w:type="character" w:customStyle="1" w:styleId="16">
    <w:name w:val="font1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33</Pages>
  <Words>8838</Words>
  <Characters>10876</Characters>
  <Lines>60</Lines>
  <Paragraphs>16</Paragraphs>
  <TotalTime>22</TotalTime>
  <ScaleCrop>false</ScaleCrop>
  <LinksUpToDate>false</LinksUpToDate>
  <CharactersWithSpaces>11125</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2007-12-03T11:41:00Z</dcterms:created>
  <dc:creator>管理者</dc:creator>
  <cp:lastModifiedBy>huanghe</cp:lastModifiedBy>
  <cp:lastPrinted>2023-02-20T16:51:00Z</cp:lastPrinted>
  <dcterms:modified xsi:type="dcterms:W3CDTF">2023-05-19T16:06:57Z</dcterms:modified>
  <dc:title>2021年度</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D84AA5B535F445E680C7A6C0A9008B46</vt:lpwstr>
  </property>
</Properties>
</file>