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r>
        <w:rPr>
          <w:rFonts w:hint="eastAsia" w:ascii="黑体" w:hAnsi="黑体" w:eastAsia="黑体" w:cs="黑体"/>
          <w:sz w:val="52"/>
          <w:szCs w:val="52"/>
          <w:highlight w:val="none"/>
          <w:lang w:eastAsia="zh-CN"/>
        </w:rPr>
        <w:t>许昌市科学技术局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许昌市科学技术局概况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许昌市科学技术局概况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根据《中共许昌市委办公室 许昌市人民政府办公室印发〈许昌市科学技术局职能配置内设机构和人员编制规定〉的通知》（室文〔2019〕46号），许昌市科学技术局的主要职责是：</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（一）贯彻执行国家科技工作法律、法规和方针、政策，牵头拟订实施创新驱动发展、科技发展、引进国外智力的规划和政策措施，并组织实施。</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二）统筹推进自主创新体系建设和科技体制改革。会同有关部门健全技术创新激励机制，优化科研体系建设，指导科研机构改革发展。推动企业科技创新能力建设，推进重大科技决策咨询制度建设，承担推进科技军民融合发展相关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（三）建立统一的市级</w:t>
      </w:r>
      <w:bookmarkStart w:id="0" w:name="OLE_LINK2"/>
      <w:bookmarkStart w:id="1" w:name="OLE_LINK1"/>
      <w:r>
        <w:rPr>
          <w:rFonts w:hint="eastAsia" w:ascii="仿宋_GB2312" w:hAnsi="仿宋_GB2312" w:eastAsia="仿宋_GB2312" w:cs="仿宋_GB2312"/>
          <w:kern w:val="0"/>
          <w:sz w:val="32"/>
          <w:szCs w:val="32"/>
          <w:highlight w:val="none"/>
          <w:lang w:val="en-US" w:eastAsia="zh-CN"/>
        </w:rPr>
        <w:t>科技管理信息系统</w:t>
      </w:r>
      <w:bookmarkEnd w:id="0"/>
      <w:bookmarkEnd w:id="1"/>
      <w:r>
        <w:rPr>
          <w:rFonts w:hint="eastAsia" w:ascii="仿宋_GB2312" w:hAnsi="仿宋_GB2312" w:eastAsia="仿宋_GB2312" w:cs="仿宋_GB2312"/>
          <w:kern w:val="0"/>
          <w:sz w:val="32"/>
          <w:szCs w:val="32"/>
          <w:highlight w:val="none"/>
          <w:lang w:val="en-US" w:eastAsia="zh-CN"/>
        </w:rPr>
        <w:t xml:space="preserve">和科研项目资金协调、评估、监管机制。会同有关部门提出优化配置科技资源的措施和建议，推动多元化科技投入体系建设。会同有关部门统筹管理市级财政科技计划（专项、基金等）并监督实施。促进科技金融紧密结合。 </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四）拟订全市基础研究规划并组织实施，组织协调基础研究和应用基础研究。拟订科技创新基地建设规划并监督实施，参与编制科技基础设施建设规划和监督实施，牵头组织许昌市重点实验室等创新平台建设，推动科研条件保障建设和科技资源开放共享。</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（五）编制市重大科技项目规划并监督实施，统筹关键共性技术、前沿引领技术、现代工程技术、颠覆性技术研发和创新，牵头组织重大技术攻关和成果应用示范。</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六）组织拟订高新技术发展及产业化、科技促进农业农村和社会发展的规划和措施。组织开展重点领域技术发展需求分析，提出关键核心技术需求并监督实施。指导科技创新创业载体平台建设。支持安全生产领域的科学技术研究。</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（七）牵头全市技术转移体系建设，拟订科技成果转移转化和促进产学研结合的相关措施并监督实施。</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（八）统筹区域科技创新体系建设。推动开展创新政策先行先试和体制机制改革创新。指导高新技术产业园区等科技园区建设。承担科技扶贫相关工作。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（九）负责科技监督评价体系建设和相关科技评估管理，推进科技评价机制改革，统筹科研诚信建设。组织实施创新调查和科技报告制度，指导全市科技保密工作。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（十）负责全市对外科技合作与交流工作。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（十一）负责引进国外智力和全市出国（境）培训工作。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（十二）会同有关部门拟订全市科技人才队伍建设规划和措施，组织实施相关科技人才计划。承担院士工作站的建设与管理。拟订科技普及和科学传播规划。</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（十三）完成市委、市政府交办的其他任务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许昌市科学技术局内设机构9个，包括：</w:t>
      </w:r>
      <w:r>
        <w:rPr>
          <w:rFonts w:hint="eastAsia" w:ascii="仿宋_GB2312" w:hAnsi="仿宋_GB2312" w:eastAsia="仿宋_GB2312" w:cs="仿宋_GB2312"/>
          <w:kern w:val="0"/>
          <w:sz w:val="32"/>
          <w:szCs w:val="32"/>
          <w:highlight w:val="none"/>
        </w:rPr>
        <w:t>办公室、发展规划和资源配置科、政策法规和监督诚信科（市国防动员委员会科技动员办公室）、基础研究和科技奖励科、科技人才合作和成果转化科（市技术市场管理办公室）、高新技术和区域创新科、农村和社会发展科技科、科技金融与服务业科、引进国外智力管理科(市外国专家局)。</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许昌市科学技术局</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年度部门决算编制范围的单位共3个，其中二级预算单位</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1.许昌市科学技术局（本级）</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2.许昌市科技创新公共服务中心</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3.许昌市外国专家局</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2"/>
        <w:gridCol w:w="819"/>
        <w:gridCol w:w="1368"/>
        <w:gridCol w:w="4387"/>
        <w:gridCol w:w="819"/>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13,585.44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2"/>
        <w:gridCol w:w="4745"/>
        <w:gridCol w:w="1450"/>
        <w:gridCol w:w="1450"/>
        <w:gridCol w:w="775"/>
        <w:gridCol w:w="919"/>
        <w:gridCol w:w="999"/>
        <w:gridCol w:w="891"/>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4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8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9,254.38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9,252.58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9,065.72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6"/>
        <w:gridCol w:w="222"/>
        <w:gridCol w:w="222"/>
        <w:gridCol w:w="3956"/>
        <w:gridCol w:w="1425"/>
        <w:gridCol w:w="1140"/>
        <w:gridCol w:w="1290"/>
        <w:gridCol w:w="767"/>
        <w:gridCol w:w="781"/>
        <w:gridCol w:w="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88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9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13,573.26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1,043.76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12,529.50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12,523.19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科技交流与合作</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其他科技交流与合作支出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5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8"/>
        <w:gridCol w:w="570"/>
        <w:gridCol w:w="1267"/>
        <w:gridCol w:w="4065"/>
        <w:gridCol w:w="570"/>
        <w:gridCol w:w="1242"/>
        <w:gridCol w:w="1420"/>
        <w:gridCol w:w="1097"/>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13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13,351.52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4,318.12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4,318.12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13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6"/>
        <w:gridCol w:w="222"/>
        <w:gridCol w:w="222"/>
        <w:gridCol w:w="3956"/>
        <w:gridCol w:w="1470"/>
        <w:gridCol w:w="1347"/>
        <w:gridCol w:w="2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670"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13,570.70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1,043.76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12,526.94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社会公益研究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科技条件专项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科技交流与合作</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其他科技交流与合作支出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科技重大专项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4,646.71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2742"/>
        <w:gridCol w:w="825"/>
        <w:gridCol w:w="766"/>
        <w:gridCol w:w="2460"/>
        <w:gridCol w:w="825"/>
        <w:gridCol w:w="766"/>
        <w:gridCol w:w="258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5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58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w:t>
            </w: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8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8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936.02</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1"/>
        <w:gridCol w:w="1875"/>
        <w:gridCol w:w="601"/>
        <w:gridCol w:w="1200"/>
        <w:gridCol w:w="1200"/>
        <w:gridCol w:w="1200"/>
        <w:gridCol w:w="601"/>
        <w:gridCol w:w="1875"/>
        <w:gridCol w:w="601"/>
        <w:gridCol w:w="1136"/>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29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4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4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5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29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2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6"/>
        <w:gridCol w:w="222"/>
        <w:gridCol w:w="222"/>
        <w:gridCol w:w="1096"/>
        <w:gridCol w:w="1512"/>
        <w:gridCol w:w="1512"/>
        <w:gridCol w:w="1512"/>
        <w:gridCol w:w="1512"/>
        <w:gridCol w:w="1512"/>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13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部门：许昌市科学技术局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13585.44</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2009.75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17.36</w:t>
      </w:r>
      <w:r>
        <w:rPr>
          <w:rFonts w:hint="eastAsia" w:ascii="仿宋_GB2312" w:hAnsi="仿宋_GB2312" w:eastAsia="仿宋_GB2312" w:cs="仿宋_GB2312"/>
          <w:sz w:val="32"/>
          <w:szCs w:val="32"/>
          <w:highlight w:val="none"/>
        </w:rPr>
        <w:t>%。主要原因是2021年度财政将拨付给县（市、区）的省级以上项目及奖励经费从我局拨出引起。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9254.38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9252.58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99.98</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1.8</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0.02</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13573.26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1043.76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7.69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12529.5</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92.31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13570.7</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2030.98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17.60</w:t>
      </w:r>
      <w:r>
        <w:rPr>
          <w:rFonts w:hint="eastAsia" w:ascii="仿宋_GB2312" w:hAnsi="仿宋_GB2312" w:eastAsia="仿宋_GB2312" w:cs="仿宋_GB2312"/>
          <w:sz w:val="32"/>
          <w:szCs w:val="32"/>
          <w:highlight w:val="none"/>
        </w:rPr>
        <w:t>%。主要原因是2021年度财政将拨付给县（市、区）的省级以上项目及奖励经费从我局拨出引起。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13570.7</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99.89</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6409.41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89.50</w:t>
      </w:r>
      <w:r>
        <w:rPr>
          <w:rFonts w:hint="eastAsia" w:ascii="仿宋_GB2312" w:hAnsi="仿宋_GB2312" w:eastAsia="仿宋_GB2312" w:cs="仿宋_GB2312"/>
          <w:sz w:val="32"/>
          <w:szCs w:val="32"/>
          <w:highlight w:val="none"/>
        </w:rPr>
        <w:t>%。主要原因是2021年度财政将拨付给县（市、区）的省级以上项目及奖励经费从我局拨出引起。</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13570.7</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3.92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rPr>
        <w:t>%；科学技术（类）支出</w:t>
      </w:r>
      <w:r>
        <w:rPr>
          <w:rFonts w:hint="eastAsia" w:ascii="仿宋_GB2312" w:hAnsi="仿宋_GB2312" w:eastAsia="仿宋_GB2312" w:cs="仿宋_GB2312"/>
          <w:sz w:val="32"/>
          <w:szCs w:val="32"/>
          <w:highlight w:val="none"/>
          <w:lang w:val="en-US" w:eastAsia="zh-CN"/>
        </w:rPr>
        <w:t>13351.52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98.39</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175.24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40.01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0.29</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976.64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13570.7</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1389.53</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3.92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2．科学技术支出（类）科学技术管理事务（款）行政运行（项）。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519.37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581.88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许昌市科学技术局机关</w:t>
      </w:r>
      <w:r>
        <w:rPr>
          <w:rFonts w:hint="eastAsia" w:ascii="仿宋_GB2312" w:hAnsi="仿宋_GB2312" w:eastAsia="仿宋_GB2312" w:cs="仿宋_GB2312"/>
          <w:sz w:val="32"/>
          <w:szCs w:val="32"/>
          <w:highlight w:val="none"/>
        </w:rPr>
        <w:t>本年度调入1人、晋升工资等引起。</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．科学技术支出（类）科学技术管理事务（款）一般行政管理事务（项）。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1090.87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43986.69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支付工程系列中级职称评审费2.44万元，2021年科技管理费及许昌英才计划第四批创新人才（团队）评审经费56.76万元，军民融合服务费，从“英才计划及科技技术研究开发资金”支25.76万元，引智专项经费，从“英才计划及科技技术研究开发资金”支5.91万元，拨付北理工阻燃材料市级资助经费，从“英才计划”支1000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．科学技术支出（类）科学技术管理事务（款）其他科学技术管理事务支出（项）。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255.90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459.07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179.39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项目支出增加，2021年科技大市场运行及租赁费是我市科技三项经费大项目中划拨来的，无法纳入年初预算，只能在调整预算中实现，且此笔经费于年底拨付，支付了一部分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．科学技术支出（类）应用研究（款）社会公益研究（项）。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598.00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预算数存在差异的主要原因是拨付科技研发专项19</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万元，2021年省科技创新体系能力建设专项（省科技奖励）经费210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万元，重大科技专项160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万元，2021年省科技创新体系能力建设专项经费90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万元，2021第二批河南省科技创新体系建设专项经费30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万元，第五批河南省科技创新体系建设专项经费89</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．科学技术支出（类）技术研究与开发（款）其他技术研究与开发支出（项）。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2780.00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预算数存在差异的主要原因是拨付2020年企业研发财政补助市级配套经费374</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万元，2020年省企业研发财政补助专项资金清算374</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万元，2021年高新技术企业新认定奖补资金-省级资金815</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万元，企业技术创新引导专项（上年结转）187</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万元，企业研发财政补助专项1030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．科学技术支出（类）科技条件与服务（款）科技条件专项（项）。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预算数存在差异的主要原因是拨付2020年第三批省科技基础条件专项经费3</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．科学技术支出（类）科技条件与服务（款）其他科技条件与服务支出（项）。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预算数存在差异的主要原因是拨付中央引导地方科技发展专项180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．科学技术支出（类）科技交流与合作（款）其他科技交流与合作支出（项）。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预算数存在差异的主要原因是拨付年初预算安排市级科技经费中产学研合作资金100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．科学技术支出（类）科技重大项目（款）科技重大专项（项）。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1052.00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预算数存在差异的主要原因是拨付2020年第四级重大科技专项后补助经费预算600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万元，2021年第二批省重大科技专项经费452</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．科学技术支出（类）其他科学技术支出（款）科技奖励（项）。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1860.00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预算数存在差异的主要原因是拨付解决科技创新奖励，从“英才计划”支1600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万元，解决科技创新奖励，从“预备费”支260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2．科学技术支出（类）其他科学技术支出（款）其他科学技术支出（项）。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4646.71</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预算数存在差异的主要原因是拨付2018年度许昌市重大科技专项验收结项支持资金620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万元，2020年科技特派员经费44</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万元，2020年许昌市第四批转型升级创新专项研发启动资金580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万元，许昌英才计划第一第二批通过结项项目剩余启动资金1445</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万元，拨付北理工阻燃材料研究中心市级资助经费1000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万元，许昌英才计划第四批创新创业人才（团队）项目扶持资金940</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，科技大市场</w:t>
      </w:r>
      <w:r>
        <w:rPr>
          <w:rFonts w:hint="eastAsia" w:ascii="仿宋_GB2312" w:hAnsi="仿宋_GB2312" w:eastAsia="仿宋_GB2312" w:cs="仿宋_GB2312"/>
          <w:sz w:val="32"/>
          <w:szCs w:val="32"/>
          <w:highlight w:val="none"/>
        </w:rPr>
        <w:t>2020年房租水电等运行费</w:t>
      </w:r>
      <w:r>
        <w:rPr>
          <w:rFonts w:hint="eastAsia" w:ascii="仿宋_GB2312" w:hAnsi="仿宋_GB2312" w:eastAsia="仿宋_GB2312" w:cs="仿宋_GB2312"/>
          <w:sz w:val="32"/>
          <w:szCs w:val="32"/>
          <w:highlight w:val="none"/>
          <w:lang w:eastAsia="zh-CN"/>
        </w:rPr>
        <w:t>结转支出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sz w:val="32"/>
          <w:szCs w:val="32"/>
        </w:rPr>
        <w:t>社会保障和就业支出</w:t>
      </w:r>
      <w:r>
        <w:rPr>
          <w:rFonts w:hint="eastAsia" w:ascii="仿宋_GB2312" w:hAnsi="仿宋_GB2312" w:eastAsia="仿宋_GB2312" w:cs="仿宋_GB2312"/>
          <w:b/>
          <w:bCs/>
          <w:sz w:val="32"/>
          <w:szCs w:val="32"/>
        </w:rPr>
        <w:t>（类）人力资源和社会保障管理事务（款）一般行政管理事务（项）。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万元。决算数与年初预算数存在差异的主要原因是</w:t>
      </w:r>
      <w:r>
        <w:rPr>
          <w:rFonts w:hint="eastAsia" w:ascii="仿宋_GB2312" w:hAnsi="仿宋" w:eastAsia="仿宋_GB2312" w:cs="仿宋"/>
          <w:color w:val="000000"/>
          <w:sz w:val="32"/>
          <w:szCs w:val="32"/>
          <w:lang w:eastAsia="zh-CN"/>
        </w:rPr>
        <w:t>因一体化管理系统的实施，</w:t>
      </w:r>
      <w:r>
        <w:rPr>
          <w:rFonts w:hint="eastAsia" w:ascii="仿宋_GB2312" w:hAnsi="仿宋" w:eastAsia="仿宋_GB2312" w:cs="仿宋"/>
          <w:color w:val="000000"/>
          <w:sz w:val="32"/>
          <w:szCs w:val="32"/>
        </w:rPr>
        <w:t>许昌市外国专家局账户暂停使用，2021年引智经费拨付至许昌市科学技术局账户进行支付管理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88.89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89.24</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lang w:val="en-US" w:eastAsia="zh-CN"/>
        </w:rPr>
        <w:t>完成年初预算的100.39%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本年度支出离休干部药费导致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zh-CN"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18.66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112.11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2021年许昌市科技创新公共服务中心</w:t>
      </w:r>
      <w:r>
        <w:rPr>
          <w:rFonts w:hint="eastAsia" w:ascii="仿宋_GB2312" w:hAnsi="仿宋_GB2312" w:eastAsia="仿宋_GB2312" w:cs="仿宋_GB2312"/>
          <w:color w:val="auto"/>
          <w:sz w:val="32"/>
          <w:szCs w:val="32"/>
          <w:highlight w:val="none"/>
          <w:lang w:val="en-US" w:eastAsia="zh-CN"/>
        </w:rPr>
        <w:t>一名退休职工退休。</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16</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47.23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49.46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104.72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预算数存在差异的主要原因是本年度2月调入1人、12月减少2人引起。</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zh-CN"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9.32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许昌市科技创新公共服务中心</w:t>
      </w:r>
      <w:r>
        <w:rPr>
          <w:rFonts w:hint="eastAsia" w:ascii="仿宋_GB2312" w:hAnsi="仿宋_GB2312" w:eastAsia="仿宋_GB2312" w:cs="仿宋_GB2312"/>
          <w:sz w:val="32"/>
          <w:szCs w:val="32"/>
          <w:highlight w:val="none"/>
          <w:lang w:eastAsia="zh-CN"/>
        </w:rPr>
        <w:t>一名退休职工去世，发放死亡抚恤金。</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18</w:t>
      </w:r>
      <w:r>
        <w:rPr>
          <w:rFonts w:hint="eastAsia" w:ascii="仿宋_GB2312" w:hAnsi="仿宋_GB2312" w:eastAsia="仿宋_GB2312" w:cs="仿宋_GB2312"/>
          <w:b/>
          <w:bCs/>
          <w:sz w:val="32"/>
          <w:szCs w:val="32"/>
          <w:highlight w:val="none"/>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17.40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101.05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预算数存在差异的主要原因是本年度2月调入1人、12月减少2人引起。</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zh-CN"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zh-CN"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92.09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部分支出用于年初结转金额。</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20</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预算数存在差异的主要原因是本年度2月调入1人、12月减少2人引起。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1043.76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936.02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奖金、绩效工资、</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其他工资福利支出、离休费、退休费、抚恤金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生活补助、医疗费补助；公用经费</w:t>
      </w:r>
      <w:r>
        <w:rPr>
          <w:rFonts w:hint="eastAsia" w:ascii="仿宋_GB2312" w:hAnsi="仿宋_GB2312" w:eastAsia="仿宋_GB2312" w:cs="仿宋_GB2312"/>
          <w:sz w:val="32"/>
          <w:szCs w:val="32"/>
          <w:highlight w:val="none"/>
          <w:lang w:val="en-US" w:eastAsia="zh-CN"/>
        </w:rPr>
        <w:t>107.74</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eastAsia="zh-CN"/>
        </w:rPr>
        <w:t>印刷费、水费、</w:t>
      </w:r>
      <w:r>
        <w:rPr>
          <w:rFonts w:hint="eastAsia" w:ascii="仿宋_GB2312" w:hAnsi="仿宋_GB2312" w:eastAsia="仿宋_GB2312" w:cs="仿宋_GB2312"/>
          <w:sz w:val="32"/>
          <w:szCs w:val="32"/>
          <w:highlight w:val="none"/>
        </w:rPr>
        <w:t>邮电费</w:t>
      </w:r>
      <w:r>
        <w:rPr>
          <w:rFonts w:hint="eastAsia" w:ascii="仿宋_GB2312" w:hAnsi="仿宋_GB2312" w:eastAsia="仿宋_GB2312" w:cs="仿宋_GB2312"/>
          <w:sz w:val="32"/>
          <w:szCs w:val="32"/>
          <w:highlight w:val="none"/>
          <w:lang w:eastAsia="zh-CN"/>
        </w:rPr>
        <w:t>、物业管理费</w:t>
      </w:r>
      <w:r>
        <w:rPr>
          <w:rFonts w:hint="eastAsia" w:ascii="仿宋_GB2312" w:hAnsi="仿宋_GB2312" w:eastAsia="仿宋_GB2312" w:cs="仿宋_GB2312"/>
          <w:sz w:val="32"/>
          <w:szCs w:val="32"/>
          <w:highlight w:val="none"/>
        </w:rPr>
        <w:t>、差旅费、维修（护）费、租赁费、会议费、培训费、公务接待费、劳务费</w:t>
      </w:r>
      <w:r>
        <w:rPr>
          <w:rFonts w:hint="eastAsia" w:ascii="仿宋_GB2312" w:hAnsi="仿宋_GB2312" w:eastAsia="仿宋_GB2312" w:cs="仿宋_GB2312"/>
          <w:sz w:val="32"/>
          <w:szCs w:val="32"/>
          <w:highlight w:val="none"/>
          <w:lang w:eastAsia="zh-CN"/>
        </w:rPr>
        <w:t>、委托业务费</w:t>
      </w:r>
      <w:r>
        <w:rPr>
          <w:rFonts w:hint="eastAsia" w:ascii="仿宋_GB2312" w:hAnsi="仿宋_GB2312" w:eastAsia="仿宋_GB2312" w:cs="仿宋_GB2312"/>
          <w:sz w:val="32"/>
          <w:szCs w:val="32"/>
          <w:highlight w:val="none"/>
        </w:rPr>
        <w:t>、工会经费、福利费、公务用车运行维护费、其他交通费用、办公设备购置。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4.43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95.27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因疫情导致公务接待实际发生数比年初预算少</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bookmarkStart w:id="2" w:name="_GoBack"/>
      <w:bookmarkEnd w:id="2"/>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4.34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97.97</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32.26</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2.03</w:t>
      </w:r>
      <w:r>
        <w:rPr>
          <w:rFonts w:hint="eastAsia" w:ascii="仿宋_GB2312" w:hAnsi="仿宋_GB2312" w:eastAsia="仿宋_GB2312" w:cs="仿宋_GB2312"/>
          <w:sz w:val="32"/>
          <w:szCs w:val="32"/>
          <w:highlight w:val="none"/>
        </w:rPr>
        <w:t>%。具体情况如下：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4.34</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4.34</w:t>
      </w:r>
      <w:r>
        <w:rPr>
          <w:rFonts w:hint="eastAsia" w:ascii="仿宋_GB2312" w:hAnsi="仿宋_GB2312" w:eastAsia="仿宋_GB2312" w:cs="仿宋_GB2312"/>
          <w:sz w:val="32"/>
          <w:szCs w:val="32"/>
          <w:highlight w:val="none"/>
        </w:rPr>
        <w:t>万元，完成预算的</w:t>
      </w:r>
      <w:r>
        <w:rPr>
          <w:rFonts w:hint="default" w:ascii="仿宋_GB2312" w:hAnsi="仿宋_GB2312" w:eastAsia="仿宋_GB2312" w:cs="仿宋_GB2312"/>
          <w:sz w:val="32"/>
          <w:szCs w:val="32"/>
          <w:highlight w:val="none"/>
          <w:lang w:val="en-US"/>
        </w:rPr>
        <w:t>100.00</w:t>
      </w:r>
      <w:r>
        <w:rPr>
          <w:rFonts w:hint="eastAsia" w:ascii="仿宋_GB2312" w:hAnsi="仿宋_GB2312" w:eastAsia="仿宋_GB2312" w:cs="仿宋_GB2312"/>
          <w:sz w:val="32"/>
          <w:szCs w:val="32"/>
          <w:highlight w:val="none"/>
        </w:rPr>
        <w:t>%。2021年度“三公”经费支出决算数与预算数不存在差异。其中：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万元，购置车辆</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default" w:ascii="仿宋_GB2312" w:hAnsi="仿宋_GB2312" w:eastAsia="仿宋_GB2312" w:cs="仿宋_GB2312"/>
          <w:sz w:val="32"/>
          <w:szCs w:val="32"/>
          <w:highlight w:val="none"/>
          <w:lang w:val="en-US"/>
        </w:rPr>
        <w:t>4.34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zh-CN" w:eastAsia="zh-CN"/>
        </w:rPr>
        <w:t>主要用于</w:t>
      </w:r>
      <w:r>
        <w:rPr>
          <w:rFonts w:hint="eastAsia" w:ascii="仿宋_GB2312" w:hAnsi="仿宋" w:eastAsia="仿宋_GB2312" w:cs="仿宋"/>
          <w:color w:val="000000"/>
          <w:sz w:val="32"/>
          <w:szCs w:val="32"/>
        </w:rPr>
        <w:t>车辆保险、汽油、过路过桥费</w:t>
      </w:r>
      <w:r>
        <w:rPr>
          <w:rFonts w:hint="eastAsia" w:ascii="仿宋_GB2312" w:hAnsi="仿宋" w:eastAsia="仿宋_GB2312" w:cs="仿宋"/>
          <w:color w:val="000000"/>
          <w:sz w:val="32"/>
          <w:szCs w:val="32"/>
          <w:lang w:eastAsia="zh-CN"/>
        </w:rPr>
        <w:t>、车辆维修</w:t>
      </w:r>
      <w:r>
        <w:rPr>
          <w:rFonts w:hint="eastAsia" w:ascii="仿宋_GB2312" w:hAnsi="仿宋" w:eastAsia="仿宋_GB2312" w:cs="仿宋"/>
          <w:color w:val="000000"/>
          <w:sz w:val="32"/>
          <w:szCs w:val="32"/>
        </w:rPr>
        <w:t>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default" w:ascii="仿宋_GB2312" w:hAnsi="仿宋_GB2312" w:eastAsia="仿宋_GB2312" w:cs="仿宋_GB2312"/>
          <w:sz w:val="32"/>
          <w:szCs w:val="32"/>
          <w:highlight w:val="none"/>
          <w:lang w:val="en-US"/>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0.10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32.26</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疫情导致公务接待实际发生数比年初预算少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rPr>
        <w:t>个、来访外宾</w:t>
      </w:r>
      <w:r>
        <w:rPr>
          <w:rFonts w:hint="default" w:ascii="仿宋_GB2312" w:hAnsi="仿宋_GB2312" w:eastAsia="仿宋_GB2312" w:cs="仿宋_GB2312"/>
          <w:sz w:val="32"/>
          <w:szCs w:val="32"/>
          <w:highlight w:val="none"/>
          <w:lang w:val="en-US"/>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default" w:ascii="仿宋_GB2312" w:hAnsi="仿宋_GB2312" w:eastAsia="仿宋_GB2312" w:cs="仿宋_GB2312"/>
          <w:sz w:val="32"/>
          <w:szCs w:val="32"/>
          <w:highlight w:val="none"/>
          <w:lang w:val="en-US"/>
        </w:rPr>
        <w:t>0.10</w:t>
      </w:r>
      <w:r>
        <w:rPr>
          <w:rFonts w:hint="eastAsia" w:ascii="仿宋_GB2312" w:hAnsi="仿宋_GB2312" w:eastAsia="仿宋_GB2312" w:cs="仿宋_GB2312"/>
          <w:sz w:val="32"/>
          <w:szCs w:val="32"/>
          <w:highlight w:val="none"/>
        </w:rPr>
        <w:t>万元。主要用于本年度接待省科技厅来人6人，鹤壁市科技局来人4人</w:t>
      </w:r>
      <w:r>
        <w:rPr>
          <w:rFonts w:hint="eastAsia" w:ascii="仿宋_GB2312" w:hAnsi="仿宋_GB2312" w:eastAsia="仿宋_GB2312" w:cs="仿宋_GB2312"/>
          <w:sz w:val="32"/>
          <w:szCs w:val="32"/>
          <w:highlight w:val="none"/>
          <w:lang w:eastAsia="zh-CN"/>
        </w:rPr>
        <w:t>的餐费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万元。不存在项目年末结转和结余资金数额较大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71.76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74.77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104.19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021年</w:t>
      </w:r>
      <w:r>
        <w:rPr>
          <w:rFonts w:hint="eastAsia" w:ascii="仿宋_GB2312" w:hAnsi="仿宋_GB2312" w:eastAsia="仿宋_GB2312" w:cs="仿宋_GB2312"/>
          <w:sz w:val="32"/>
          <w:szCs w:val="32"/>
          <w:highlight w:val="none"/>
          <w:lang w:eastAsia="zh-CN"/>
        </w:rPr>
        <w:t>科技局机关</w:t>
      </w:r>
      <w:r>
        <w:rPr>
          <w:rFonts w:hint="eastAsia" w:ascii="仿宋_GB2312" w:hAnsi="仿宋_GB2312" w:eastAsia="仿宋_GB2312" w:cs="仿宋_GB2312"/>
          <w:sz w:val="32"/>
          <w:szCs w:val="32"/>
          <w:highlight w:val="none"/>
        </w:rPr>
        <w:t>新进人员增加其他交通费用等引起。</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2021年度政府采购支出总额</w:t>
      </w:r>
      <w:r>
        <w:rPr>
          <w:rFonts w:hint="eastAsia" w:ascii="仿宋_GB2312" w:hAnsi="仿宋_GB2312" w:eastAsia="仿宋_GB2312" w:cs="仿宋_GB2312"/>
          <w:sz w:val="32"/>
          <w:szCs w:val="32"/>
          <w:highlight w:val="none"/>
          <w:lang w:val="en-US"/>
        </w:rPr>
        <w:t>38.29</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rPr>
        <w:t>38.29</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38.29</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在财政局的安排下，许昌市科学技术局由局机关科技金融与服务业科牵头，开展了绩效管理培训1次，局机关相关科室、局属单位市科技创新公共服务中心、市外国专家局共同参与完成了局整体绩效自评工作，评价基础数据来源于2021年4月的预算公开批复（许财预[2021]27号）、本级机关各科室、局属单位等提供，牵头科室对各科提供材料进行了审核汇总、现场勘验核实。</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许财效）〔2022〕1号）等文件精神，我部门对本部门整体绩效目标和项目支出绩效目标进行了自评。一是部门整体绩效自评情况，8个年度目标有6项已完成，2个部分完成，年度主要任务基本完成。二是项目绩效自评情况。我部门共有13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许昌市科学技术局（本级）单位10个，项目金额6051.64万元。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许昌市科技创新公共服务中心单位2个，项目金额286.40万元。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许昌市外国专家局单位</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color w:val="auto"/>
          <w:sz w:val="32"/>
          <w:szCs w:val="32"/>
          <w:highlight w:val="none"/>
          <w:lang w:val="en-US" w:eastAsia="zh-CN"/>
        </w:rPr>
        <w:t>，项目金额10万元。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96分。其中：9个项目评价等级为“优”、4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gHoJ38kBAACc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BKd5Jp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NGUyMmY2NmY0MDk2Y2YwNWVmNGM3ZDNkY2EyYzk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D4D4F82"/>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6BF736C"/>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20E025D"/>
    <w:rsid w:val="53906AE1"/>
    <w:rsid w:val="54F46F60"/>
    <w:rsid w:val="55A37BEA"/>
    <w:rsid w:val="562F0BF6"/>
    <w:rsid w:val="56362CD2"/>
    <w:rsid w:val="5784687B"/>
    <w:rsid w:val="57846959"/>
    <w:rsid w:val="578E6A87"/>
    <w:rsid w:val="57FDC722"/>
    <w:rsid w:val="5AC2203A"/>
    <w:rsid w:val="5CBB3334"/>
    <w:rsid w:val="5D115FAF"/>
    <w:rsid w:val="5E566EF3"/>
    <w:rsid w:val="5FCFBC59"/>
    <w:rsid w:val="62811722"/>
    <w:rsid w:val="62E75A72"/>
    <w:rsid w:val="64571880"/>
    <w:rsid w:val="649125B6"/>
    <w:rsid w:val="652F4C1A"/>
    <w:rsid w:val="666D37F1"/>
    <w:rsid w:val="67087D8F"/>
    <w:rsid w:val="671F687E"/>
    <w:rsid w:val="67BE11DF"/>
    <w:rsid w:val="67F415F8"/>
    <w:rsid w:val="682640D1"/>
    <w:rsid w:val="684B73E5"/>
    <w:rsid w:val="6A047A2A"/>
    <w:rsid w:val="6D345919"/>
    <w:rsid w:val="6DAC60EA"/>
    <w:rsid w:val="6EFB7548"/>
    <w:rsid w:val="6F3831C3"/>
    <w:rsid w:val="6F7B0035"/>
    <w:rsid w:val="6F8B71C1"/>
    <w:rsid w:val="70753482"/>
    <w:rsid w:val="707B522A"/>
    <w:rsid w:val="72FFFBA1"/>
    <w:rsid w:val="73194D05"/>
    <w:rsid w:val="735C6E94"/>
    <w:rsid w:val="73A83B0E"/>
    <w:rsid w:val="744D3EF9"/>
    <w:rsid w:val="74794411"/>
    <w:rsid w:val="75867C40"/>
    <w:rsid w:val="75B10B26"/>
    <w:rsid w:val="76432199"/>
    <w:rsid w:val="76E2E7B7"/>
    <w:rsid w:val="76F44829"/>
    <w:rsid w:val="77962A88"/>
    <w:rsid w:val="77A267C0"/>
    <w:rsid w:val="78882278"/>
    <w:rsid w:val="78B118A6"/>
    <w:rsid w:val="79135044"/>
    <w:rsid w:val="7A7D0F99"/>
    <w:rsid w:val="7CF3B71C"/>
    <w:rsid w:val="7DB7FFA8"/>
    <w:rsid w:val="7E4A0E7C"/>
    <w:rsid w:val="7EFD449D"/>
    <w:rsid w:val="B1DDA0FF"/>
    <w:rsid w:val="B7F65073"/>
    <w:rsid w:val="B7FB07D8"/>
    <w:rsid w:val="BEFFCA13"/>
    <w:rsid w:val="D2FF8BA9"/>
    <w:rsid w:val="D597EB21"/>
    <w:rsid w:val="EDFF0493"/>
    <w:rsid w:val="EFBE0032"/>
    <w:rsid w:val="EFBF3453"/>
    <w:rsid w:val="EFFFA07E"/>
    <w:rsid w:val="F7FDA6B3"/>
    <w:rsid w:val="FDEF7C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37</Pages>
  <Words>11622</Words>
  <Characters>14955</Characters>
  <Lines>60</Lines>
  <Paragraphs>16</Paragraphs>
  <TotalTime>86</TotalTime>
  <ScaleCrop>false</ScaleCrop>
  <LinksUpToDate>false</LinksUpToDate>
  <CharactersWithSpaces>15264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2007-12-03T03:41:00Z</dcterms:created>
  <dc:creator>管理者</dc:creator>
  <cp:lastModifiedBy>huanghe</cp:lastModifiedBy>
  <cp:lastPrinted>2018-07-28T10:50:00Z</cp:lastPrinted>
  <dcterms:modified xsi:type="dcterms:W3CDTF">2023-05-10T16:10:02Z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B22DC89A9B8D425797C20C3D80411859</vt:lpwstr>
  </property>
</Properties>
</file>