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kern w:val="0"/>
          <w:sz w:val="52"/>
          <w:szCs w:val="52"/>
        </w:rPr>
        <w:t>许昌市社会科学界联合会</w:t>
      </w:r>
      <w:r>
        <w:rPr>
          <w:rFonts w:hint="eastAsia" w:ascii="黑体" w:hAnsi="黑体" w:eastAsia="黑体" w:cs="黑体"/>
          <w:sz w:val="52"/>
          <w:szCs w:val="52"/>
        </w:rPr>
        <w:t>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kern w:val="0"/>
          <w:sz w:val="32"/>
          <w:szCs w:val="32"/>
        </w:rPr>
        <w:t>许昌市社会科学界联合会</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numPr>
          <w:ilvl w:val="0"/>
          <w:numId w:val="2"/>
        </w:numPr>
        <w:jc w:val="center"/>
        <w:outlineLvl w:val="0"/>
        <w:rPr>
          <w:rFonts w:ascii="黑体" w:hAnsi="黑体" w:eastAsia="黑体" w:cs="黑体"/>
          <w:bCs/>
          <w:color w:val="000000" w:themeColor="text1"/>
          <w:kern w:val="0"/>
          <w:sz w:val="48"/>
          <w:szCs w:val="48"/>
          <w14:textFill>
            <w14:solidFill>
              <w14:schemeClr w14:val="tx1"/>
            </w14:solidFill>
          </w14:textFill>
        </w:rPr>
      </w:pPr>
    </w:p>
    <w:p>
      <w:pPr>
        <w:widowControl/>
        <w:jc w:val="center"/>
        <w:outlineLvl w:val="0"/>
        <w:rPr>
          <w:rFonts w:ascii="黑体" w:hAnsi="宋体" w:eastAsia="黑体" w:cs="宋体"/>
          <w:color w:val="000000" w:themeColor="text1"/>
          <w:kern w:val="0"/>
          <w:sz w:val="48"/>
          <w:szCs w:val="48"/>
          <w14:textFill>
            <w14:solidFill>
              <w14:schemeClr w14:val="tx1"/>
            </w14:solidFill>
          </w14:textFill>
        </w:rPr>
      </w:pPr>
      <w:r>
        <w:rPr>
          <w:rFonts w:hint="eastAsia" w:ascii="黑体" w:hAnsi="黑体" w:eastAsia="黑体" w:cs="黑体"/>
          <w:bCs/>
          <w:color w:val="000000" w:themeColor="text1"/>
          <w:kern w:val="0"/>
          <w:sz w:val="48"/>
          <w:szCs w:val="48"/>
          <w14:textFill>
            <w14:solidFill>
              <w14:schemeClr w14:val="tx1"/>
            </w14:solidFill>
          </w14:textFill>
        </w:rPr>
        <w:t>许昌市社会科学界联合会</w:t>
      </w:r>
      <w:r>
        <w:rPr>
          <w:rFonts w:hint="eastAsia" w:ascii="黑体" w:hAnsi="黑体" w:eastAsia="黑体" w:cs="黑体"/>
          <w:color w:val="000000" w:themeColor="text1"/>
          <w:sz w:val="48"/>
          <w:szCs w:val="48"/>
          <w14:textFill>
            <w14:solidFill>
              <w14:schemeClr w14:val="tx1"/>
            </w14:solidFill>
          </w14:textFill>
        </w:rPr>
        <w:t>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pStyle w:val="2"/>
        <w:rPr>
          <w:rFonts w:ascii="黑体" w:hAnsi="黑体" w:eastAsia="黑体" w:cs="黑体"/>
          <w:kern w:val="0"/>
          <w:sz w:val="32"/>
          <w:szCs w:val="32"/>
        </w:rPr>
      </w:pPr>
    </w:p>
    <w:p>
      <w:pPr>
        <w:pStyle w:val="2"/>
        <w:rPr>
          <w:rFonts w:ascii="黑体" w:hAnsi="黑体" w:eastAsia="黑体" w:cs="黑体"/>
          <w:kern w:val="0"/>
          <w:sz w:val="32"/>
          <w:szCs w:val="32"/>
        </w:rPr>
      </w:pPr>
    </w:p>
    <w:p>
      <w:pPr>
        <w:pStyle w:val="2"/>
        <w:rPr>
          <w:rFonts w:ascii="黑体" w:hAnsi="黑体" w:eastAsia="黑体" w:cs="黑体"/>
          <w:kern w:val="0"/>
          <w:sz w:val="32"/>
          <w:szCs w:val="32"/>
        </w:rPr>
      </w:pPr>
    </w:p>
    <w:p>
      <w:pPr>
        <w:pStyle w:val="2"/>
        <w:rPr>
          <w:rFonts w:ascii="黑体" w:hAnsi="黑体" w:eastAsia="黑体" w:cs="黑体"/>
          <w:kern w:val="0"/>
          <w:sz w:val="32"/>
          <w:szCs w:val="32"/>
        </w:rPr>
      </w:pPr>
    </w:p>
    <w:p>
      <w:pPr>
        <w:pStyle w:val="2"/>
        <w:rPr>
          <w:rFonts w:ascii="黑体" w:hAnsi="黑体" w:eastAsia="黑体" w:cs="黑体"/>
          <w:kern w:val="0"/>
          <w:sz w:val="32"/>
          <w:szCs w:val="32"/>
        </w:rPr>
      </w:pPr>
    </w:p>
    <w:p>
      <w:pPr>
        <w:pStyle w:val="2"/>
        <w:rPr>
          <w:rFonts w:ascii="黑体" w:hAnsi="黑体" w:eastAsia="黑体" w:cs="黑体"/>
          <w:kern w:val="0"/>
          <w:sz w:val="32"/>
          <w:szCs w:val="32"/>
        </w:rPr>
      </w:pPr>
    </w:p>
    <w:p>
      <w:pPr>
        <w:widowControl/>
        <w:spacing w:line="560" w:lineRule="exact"/>
        <w:ind w:firstLine="640" w:firstLineChars="200"/>
        <w:jc w:val="left"/>
        <w:outlineLvl w:val="1"/>
        <w:rPr>
          <w:rFonts w:ascii="黑体" w:hAnsi="黑体" w:eastAsia="黑体" w:cs="黑体"/>
          <w:bCs/>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widowControl/>
        <w:spacing w:line="560" w:lineRule="exact"/>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(一)团结和组织全市社会科学工作者</w:t>
      </w:r>
      <w:r>
        <w:rPr>
          <w:rFonts w:hint="eastAsia" w:ascii="仿宋_GB2312" w:hAnsi="宋体" w:eastAsia="仿宋_GB2312" w:cs="宋体"/>
          <w:kern w:val="0"/>
          <w:sz w:val="32"/>
          <w:szCs w:val="32"/>
          <w:lang w:eastAsia="zh-CN"/>
        </w:rPr>
        <w:t>。</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(二)组织研究党的基本理论和路线方针政策</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 xml:space="preserve"> </w:t>
      </w:r>
    </w:p>
    <w:p>
      <w:pPr>
        <w:widowControl/>
        <w:spacing w:line="560" w:lineRule="exact"/>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(三)发挥智库作用，组织全市社会科学工作者围绕市委市政府中心工作</w:t>
      </w:r>
      <w:r>
        <w:rPr>
          <w:rFonts w:hint="eastAsia" w:ascii="仿宋_GB2312" w:hAnsi="宋体" w:eastAsia="仿宋_GB2312" w:cs="宋体"/>
          <w:kern w:val="0"/>
          <w:sz w:val="32"/>
          <w:szCs w:val="32"/>
          <w:lang w:eastAsia="zh-CN"/>
        </w:rPr>
        <w:t>。</w:t>
      </w:r>
    </w:p>
    <w:p>
      <w:pPr>
        <w:widowControl/>
        <w:spacing w:line="560" w:lineRule="exact"/>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(四)履行对本会团体会员及市级民办社科研究机构的业务管理服务和监督职责</w:t>
      </w:r>
      <w:r>
        <w:rPr>
          <w:rFonts w:hint="eastAsia" w:ascii="仿宋_GB2312" w:hAnsi="宋体" w:eastAsia="仿宋_GB2312" w:cs="宋体"/>
          <w:kern w:val="0"/>
          <w:sz w:val="32"/>
          <w:szCs w:val="32"/>
          <w:lang w:eastAsia="zh-CN"/>
        </w:rPr>
        <w:t>。</w:t>
      </w:r>
    </w:p>
    <w:p>
      <w:pPr>
        <w:widowControl/>
        <w:spacing w:line="560" w:lineRule="exact"/>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(五)贯彻落实《河南省社会科学普及条例》</w:t>
      </w:r>
      <w:r>
        <w:rPr>
          <w:rFonts w:hint="eastAsia" w:ascii="仿宋_GB2312" w:hAnsi="宋体" w:eastAsia="仿宋_GB2312" w:cs="宋体"/>
          <w:kern w:val="0"/>
          <w:sz w:val="32"/>
          <w:szCs w:val="32"/>
          <w:lang w:eastAsia="zh-CN"/>
        </w:rPr>
        <w:t>。</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(六)促进和加强社会科学学术团体之间、理论工作部门与实际工作部门之间、社会科学界与自然科学界之间的联系和协作，有计划的开展社会科学课题调研和联合攻关。</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(七)受市委市政府委托，做好社会科学优秀成果评奖活动和社科优秀专家、先进社科学术团体以及优秀社科工作者的评选活动。</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(八)办好综合性社会科学刊物《改革论坛》。</w:t>
      </w:r>
    </w:p>
    <w:p>
      <w:pPr>
        <w:widowControl/>
        <w:spacing w:line="560" w:lineRule="exact"/>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宋体" w:eastAsia="仿宋_GB2312" w:cs="宋体"/>
          <w:kern w:val="0"/>
          <w:sz w:val="32"/>
          <w:szCs w:val="32"/>
        </w:rPr>
        <w:t>许昌市社会科学界联合会</w:t>
      </w:r>
      <w:r>
        <w:rPr>
          <w:rFonts w:hint="eastAsia" w:ascii="仿宋_GB2312" w:hAnsi="仿宋_GB2312" w:eastAsia="仿宋_GB2312" w:cs="仿宋_GB2312"/>
          <w:kern w:val="0"/>
          <w:sz w:val="32"/>
          <w:szCs w:val="32"/>
        </w:rPr>
        <w:t>内设科室2个</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kern w:val="0"/>
          <w:sz w:val="32"/>
          <w:szCs w:val="32"/>
        </w:rPr>
        <w:t>包括：办公室、科普研究部。</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_GB2312" w:hAnsi="宋体" w:eastAsia="仿宋_GB2312" w:cs="宋体"/>
          <w:kern w:val="0"/>
          <w:sz w:val="32"/>
          <w:szCs w:val="32"/>
        </w:rPr>
        <w:t>许昌市社会科学界联合会</w:t>
      </w:r>
      <w:r>
        <w:rPr>
          <w:rFonts w:hint="eastAsia" w:ascii="仿宋_GB2312" w:hAnsi="仿宋_GB2312" w:eastAsia="仿宋_GB2312" w:cs="仿宋_GB2312"/>
          <w:kern w:val="0"/>
          <w:sz w:val="32"/>
          <w:szCs w:val="32"/>
        </w:rPr>
        <w:t>部门决算包括：本级决算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本决算为汇总决算，</w:t>
      </w:r>
      <w:r>
        <w:rPr>
          <w:rFonts w:hint="eastAsia" w:ascii="仿宋_GB2312" w:hAnsi="仿宋_GB2312" w:eastAsia="仿宋_GB2312" w:cs="仿宋_GB2312"/>
          <w:kern w:val="0"/>
          <w:sz w:val="32"/>
          <w:szCs w:val="32"/>
        </w:rPr>
        <w:t>纳入本部门2021年度部门决算</w:t>
      </w:r>
      <w:r>
        <w:rPr>
          <w:rFonts w:hint="eastAsia" w:ascii="仿宋_GB2312" w:hAnsi="仿宋_GB2312" w:eastAsia="仿宋_GB2312" w:cs="仿宋_GB2312"/>
          <w:kern w:val="0"/>
          <w:sz w:val="32"/>
          <w:szCs w:val="32"/>
          <w:lang w:eastAsia="zh-CN"/>
        </w:rPr>
        <w:t>编</w:t>
      </w:r>
      <w:r>
        <w:rPr>
          <w:rFonts w:hint="eastAsia" w:ascii="仿宋_GB2312" w:hAnsi="仿宋_GB2312" w:eastAsia="仿宋_GB2312" w:cs="仿宋_GB2312"/>
          <w:kern w:val="0"/>
          <w:sz w:val="32"/>
          <w:szCs w:val="32"/>
        </w:rPr>
        <w:t>制范围的单位共1个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具体是：</w:t>
      </w:r>
    </w:p>
    <w:p>
      <w:pPr>
        <w:widowControl/>
        <w:spacing w:line="560" w:lineRule="exact"/>
        <w:ind w:firstLine="640" w:firstLineChars="200"/>
        <w:jc w:val="left"/>
        <w:rPr>
          <w:rFonts w:ascii="黑体" w:hAnsi="宋体" w:eastAsia="黑体"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许昌市社会科学界联合会</w:t>
      </w:r>
    </w:p>
    <w:p>
      <w:pPr>
        <w:pStyle w:val="2"/>
        <w:rPr>
          <w:rFonts w:ascii="黑体" w:hAnsi="黑体" w:eastAsia="黑体" w:cs="黑体"/>
          <w:sz w:val="48"/>
          <w:szCs w:val="48"/>
        </w:rPr>
      </w:pPr>
    </w:p>
    <w:p>
      <w:pPr>
        <w:pStyle w:val="2"/>
        <w:rPr>
          <w:rFonts w:ascii="黑体" w:hAnsi="黑体" w:eastAsia="黑体" w:cs="黑体"/>
          <w:sz w:val="48"/>
          <w:szCs w:val="48"/>
        </w:rPr>
      </w:pPr>
    </w:p>
    <w:p>
      <w:pPr>
        <w:pStyle w:val="2"/>
        <w:rPr>
          <w:rFonts w:ascii="黑体" w:hAnsi="黑体" w:eastAsia="黑体" w:cs="黑体"/>
          <w:sz w:val="48"/>
          <w:szCs w:val="48"/>
        </w:rPr>
      </w:pPr>
    </w:p>
    <w:p>
      <w:pPr>
        <w:ind w:firstLine="480" w:firstLineChars="100"/>
        <w:outlineLvl w:val="0"/>
        <w:rPr>
          <w:rFonts w:ascii="黑体" w:hAnsi="黑体" w:eastAsia="黑体" w:cs="黑体"/>
          <w:sz w:val="48"/>
          <w:szCs w:val="48"/>
        </w:rPr>
      </w:pPr>
    </w:p>
    <w:p>
      <w:pPr>
        <w:pStyle w:val="2"/>
        <w:rPr>
          <w:rFonts w:ascii="黑体" w:hAnsi="黑体" w:eastAsia="黑体" w:cs="黑体"/>
          <w:sz w:val="48"/>
          <w:szCs w:val="48"/>
        </w:rPr>
      </w:pPr>
    </w:p>
    <w:p>
      <w:pPr>
        <w:pStyle w:val="2"/>
        <w:rPr>
          <w:rFonts w:ascii="黑体" w:hAnsi="黑体" w:eastAsia="黑体" w:cs="黑体"/>
          <w:sz w:val="48"/>
          <w:szCs w:val="48"/>
        </w:rPr>
      </w:pPr>
    </w:p>
    <w:p>
      <w:pPr>
        <w:pStyle w:val="2"/>
        <w:rPr>
          <w:rFonts w:ascii="黑体" w:hAnsi="黑体" w:eastAsia="黑体" w:cs="黑体"/>
          <w:sz w:val="48"/>
          <w:szCs w:val="48"/>
        </w:rPr>
      </w:pPr>
    </w:p>
    <w:p>
      <w:pPr>
        <w:jc w:val="center"/>
        <w:outlineLvl w:val="0"/>
        <w:rPr>
          <w:rFonts w:ascii="黑体" w:hAnsi="黑体" w:eastAsia="黑体" w:cs="黑体"/>
          <w:color w:val="000000" w:themeColor="text1"/>
          <w:sz w:val="48"/>
          <w:szCs w:val="48"/>
          <w14:textFill>
            <w14:solidFill>
              <w14:schemeClr w14:val="tx1"/>
            </w14:solidFill>
          </w14:textFill>
        </w:rPr>
      </w:pPr>
      <w:r>
        <w:rPr>
          <w:rFonts w:hint="eastAsia" w:ascii="黑体" w:hAnsi="黑体" w:eastAsia="黑体" w:cs="黑体"/>
          <w:color w:val="000000" w:themeColor="text1"/>
          <w:sz w:val="48"/>
          <w:szCs w:val="48"/>
          <w14:textFill>
            <w14:solidFill>
              <w14:schemeClr w14:val="tx1"/>
            </w14:solidFill>
          </w14:textFill>
        </w:rPr>
        <w:t>第二部分</w:t>
      </w:r>
    </w:p>
    <w:p>
      <w:pPr>
        <w:jc w:val="center"/>
        <w:outlineLvl w:val="0"/>
        <w:rPr>
          <w:rFonts w:ascii="黑体" w:hAnsi="黑体" w:eastAsia="黑体" w:cs="黑体"/>
          <w:color w:val="FF0000"/>
          <w:sz w:val="48"/>
          <w:szCs w:val="48"/>
        </w:rPr>
      </w:pPr>
      <w:r>
        <w:rPr>
          <w:rFonts w:hint="eastAsia" w:ascii="黑体" w:hAnsi="黑体" w:eastAsia="黑体" w:cs="黑体"/>
          <w:color w:val="000000" w:themeColor="text1"/>
          <w:sz w:val="48"/>
          <w:szCs w:val="48"/>
          <w14:textFill>
            <w14:solidFill>
              <w14:schemeClr w14:val="tx1"/>
            </w14:solidFill>
          </w14:textFill>
        </w:rPr>
        <w:t>2021年度部门决算表</w:t>
      </w: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4815"/>
        <w:gridCol w:w="853"/>
        <w:gridCol w:w="1286"/>
        <w:gridCol w:w="4534"/>
        <w:gridCol w:w="1034"/>
        <w:gridCol w:w="1559"/>
      </w:tblGrid>
      <w:tr>
        <w:tblPrEx>
          <w:tblCellMar>
            <w:top w:w="0" w:type="dxa"/>
            <w:left w:w="108" w:type="dxa"/>
            <w:bottom w:w="0" w:type="dxa"/>
            <w:right w:w="108" w:type="dxa"/>
          </w:tblCellMar>
        </w:tblPrEx>
        <w:trPr>
          <w:trHeight w:val="639" w:hRule="atLeast"/>
        </w:trPr>
        <w:tc>
          <w:tcPr>
            <w:tcW w:w="14081"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14081" w:type="dxa"/>
            <w:gridSpan w:val="6"/>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trHeight w:val="255" w:hRule="atLeast"/>
        </w:trPr>
        <w:tc>
          <w:tcPr>
            <w:tcW w:w="11408" w:type="dxa"/>
            <w:gridSpan w:val="4"/>
            <w:tcBorders>
              <w:top w:val="nil"/>
              <w:left w:val="nil"/>
              <w:bottom w:val="single" w:color="auto" w:sz="4" w:space="0"/>
              <w:right w:val="nil"/>
            </w:tcBorders>
            <w:noWrap/>
            <w:vAlign w:val="bottom"/>
          </w:tcPr>
          <w:p>
            <w:pPr>
              <w:rPr>
                <w:rFonts w:ascii="Arial" w:hAnsi="Arial" w:cs="Arial"/>
                <w:color w:val="000000"/>
                <w:sz w:val="20"/>
                <w:szCs w:val="20"/>
              </w:rPr>
            </w:pPr>
            <w:r>
              <w:rPr>
                <w:rFonts w:hint="eastAsia" w:ascii="宋体" w:hAnsi="宋体" w:cs="宋体"/>
                <w:color w:val="000000"/>
                <w:kern w:val="0"/>
                <w:sz w:val="20"/>
                <w:szCs w:val="20"/>
              </w:rPr>
              <w:t>部门：许昌市社会科学界联合会</w:t>
            </w:r>
          </w:p>
        </w:tc>
        <w:tc>
          <w:tcPr>
            <w:tcW w:w="2673" w:type="dxa"/>
            <w:gridSpan w:val="2"/>
            <w:tcBorders>
              <w:top w:val="nil"/>
              <w:left w:val="nil"/>
              <w:bottom w:val="single" w:color="auto" w:sz="4" w:space="0"/>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129.57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117.97</w:t>
            </w: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四、上级补助收入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五、事业收入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六、经营收入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七、附属单位上缴收入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八、其他收入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31.38</w:t>
            </w: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6.18</w:t>
            </w: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7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129.57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155.54</w:t>
            </w: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155.54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155.54</w:t>
            </w:r>
          </w:p>
        </w:tc>
      </w:tr>
      <w:tr>
        <w:tblPrEx>
          <w:tblCellMar>
            <w:top w:w="0" w:type="dxa"/>
            <w:left w:w="108" w:type="dxa"/>
            <w:bottom w:w="0" w:type="dxa"/>
            <w:right w:w="108" w:type="dxa"/>
          </w:tblCellMar>
        </w:tblPrEx>
        <w:trPr>
          <w:trHeight w:val="308" w:hRule="atLeast"/>
        </w:trPr>
        <w:tc>
          <w:tcPr>
            <w:tcW w:w="0" w:type="auto"/>
            <w:gridSpan w:val="6"/>
            <w:tcBorders>
              <w:top w:val="single" w:color="auto" w:sz="4" w:space="0"/>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229" w:type="dxa"/>
        <w:tblInd w:w="93" w:type="dxa"/>
        <w:tblLayout w:type="fixed"/>
        <w:tblCellMar>
          <w:top w:w="0" w:type="dxa"/>
          <w:left w:w="108" w:type="dxa"/>
          <w:bottom w:w="0" w:type="dxa"/>
          <w:right w:w="108" w:type="dxa"/>
        </w:tblCellMar>
      </w:tblPr>
      <w:tblGrid>
        <w:gridCol w:w="1250"/>
        <w:gridCol w:w="5058"/>
        <w:gridCol w:w="1711"/>
        <w:gridCol w:w="1694"/>
        <w:gridCol w:w="865"/>
        <w:gridCol w:w="856"/>
        <w:gridCol w:w="778"/>
        <w:gridCol w:w="782"/>
        <w:gridCol w:w="1235"/>
      </w:tblGrid>
      <w:tr>
        <w:tblPrEx>
          <w:tblCellMar>
            <w:top w:w="0" w:type="dxa"/>
            <w:left w:w="108" w:type="dxa"/>
            <w:bottom w:w="0" w:type="dxa"/>
            <w:right w:w="108" w:type="dxa"/>
          </w:tblCellMar>
        </w:tblPrEx>
        <w:trPr>
          <w:trHeight w:val="390" w:hRule="atLeast"/>
        </w:trPr>
        <w:tc>
          <w:tcPr>
            <w:tcW w:w="14229"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14229" w:type="dxa"/>
            <w:gridSpan w:val="9"/>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108" w:type="dxa"/>
            <w:bottom w:w="0" w:type="dxa"/>
            <w:right w:w="108" w:type="dxa"/>
          </w:tblCellMar>
        </w:tblPrEx>
        <w:trPr>
          <w:trHeight w:val="255" w:hRule="atLeast"/>
        </w:trPr>
        <w:tc>
          <w:tcPr>
            <w:tcW w:w="11434" w:type="dxa"/>
            <w:gridSpan w:val="6"/>
            <w:tcBorders>
              <w:top w:val="nil"/>
              <w:left w:val="nil"/>
              <w:bottom w:val="single" w:color="auto" w:sz="4" w:space="0"/>
              <w:right w:val="nil"/>
            </w:tcBorders>
            <w:noWrap/>
            <w:vAlign w:val="bottom"/>
          </w:tcPr>
          <w:p>
            <w:pPr>
              <w:rPr>
                <w:rFonts w:ascii="Arial" w:hAnsi="Arial" w:cs="Arial"/>
                <w:color w:val="000000"/>
                <w:sz w:val="20"/>
                <w:szCs w:val="20"/>
              </w:rPr>
            </w:pPr>
            <w:r>
              <w:rPr>
                <w:rFonts w:hint="eastAsia" w:ascii="宋体" w:hAnsi="宋体" w:cs="宋体"/>
                <w:color w:val="000000"/>
                <w:kern w:val="0"/>
                <w:sz w:val="20"/>
                <w:szCs w:val="20"/>
              </w:rPr>
              <w:t>部门：许昌市社会科学界联合会</w:t>
            </w:r>
          </w:p>
        </w:tc>
        <w:tc>
          <w:tcPr>
            <w:tcW w:w="2795" w:type="dxa"/>
            <w:gridSpan w:val="3"/>
            <w:tcBorders>
              <w:top w:val="nil"/>
              <w:left w:val="nil"/>
              <w:bottom w:val="single" w:color="auto" w:sz="4" w:space="0"/>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30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7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6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8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7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7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2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blPrEx>
          <w:tblCellMar>
            <w:top w:w="0" w:type="dxa"/>
            <w:left w:w="108" w:type="dxa"/>
            <w:bottom w:w="0" w:type="dxa"/>
            <w:right w:w="108" w:type="dxa"/>
          </w:tblCellMar>
        </w:tblPrEx>
        <w:trPr>
          <w:trHeight w:val="312" w:hRule="atLeast"/>
        </w:trPr>
        <w:tc>
          <w:tcPr>
            <w:tcW w:w="12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50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8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7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7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2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50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rPr>
            </w:pPr>
          </w:p>
        </w:tc>
        <w:tc>
          <w:tcPr>
            <w:tcW w:w="1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8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7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7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2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50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rPr>
            </w:pPr>
          </w:p>
        </w:tc>
        <w:tc>
          <w:tcPr>
            <w:tcW w:w="1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8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7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7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2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630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7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tblCellMar>
            <w:top w:w="0" w:type="dxa"/>
            <w:left w:w="108" w:type="dxa"/>
            <w:bottom w:w="0" w:type="dxa"/>
            <w:right w:w="108" w:type="dxa"/>
          </w:tblCellMar>
        </w:tblPrEx>
        <w:trPr>
          <w:trHeight w:val="308" w:hRule="atLeast"/>
        </w:trPr>
        <w:tc>
          <w:tcPr>
            <w:tcW w:w="630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129.57</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129.57</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color w:val="000000"/>
                <w:sz w:val="22"/>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color w:val="000000"/>
                <w:sz w:val="22"/>
              </w:rPr>
            </w:pP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color w:val="000000"/>
                <w:sz w:val="22"/>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color w:val="000000"/>
                <w:sz w:val="22"/>
              </w:rPr>
            </w:pP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50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101.52</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101.52</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505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101.52</w:t>
            </w:r>
          </w:p>
        </w:tc>
        <w:tc>
          <w:tcPr>
            <w:tcW w:w="169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101.52</w:t>
            </w:r>
          </w:p>
        </w:tc>
        <w:tc>
          <w:tcPr>
            <w:tcW w:w="86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56"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7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82"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23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2012901</w:t>
            </w:r>
          </w:p>
        </w:tc>
        <w:tc>
          <w:tcPr>
            <w:tcW w:w="505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100.95</w:t>
            </w:r>
          </w:p>
        </w:tc>
        <w:tc>
          <w:tcPr>
            <w:tcW w:w="169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100.95</w:t>
            </w:r>
          </w:p>
        </w:tc>
        <w:tc>
          <w:tcPr>
            <w:tcW w:w="86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56"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7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82"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23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505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0.57</w:t>
            </w:r>
          </w:p>
        </w:tc>
        <w:tc>
          <w:tcPr>
            <w:tcW w:w="169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0.57</w:t>
            </w:r>
          </w:p>
        </w:tc>
        <w:tc>
          <w:tcPr>
            <w:tcW w:w="86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56"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7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82"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23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505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25.24</w:t>
            </w:r>
          </w:p>
        </w:tc>
        <w:tc>
          <w:tcPr>
            <w:tcW w:w="169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25.24</w:t>
            </w:r>
          </w:p>
        </w:tc>
        <w:tc>
          <w:tcPr>
            <w:tcW w:w="86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56"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7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82"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23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505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25.24</w:t>
            </w:r>
          </w:p>
        </w:tc>
        <w:tc>
          <w:tcPr>
            <w:tcW w:w="169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25.24</w:t>
            </w:r>
          </w:p>
        </w:tc>
        <w:tc>
          <w:tcPr>
            <w:tcW w:w="86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56"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7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82"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23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505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22.65</w:t>
            </w:r>
          </w:p>
        </w:tc>
        <w:tc>
          <w:tcPr>
            <w:tcW w:w="169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22.65</w:t>
            </w:r>
          </w:p>
        </w:tc>
        <w:tc>
          <w:tcPr>
            <w:tcW w:w="86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56"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7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82"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23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505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w:t>
            </w:r>
          </w:p>
        </w:tc>
        <w:tc>
          <w:tcPr>
            <w:tcW w:w="169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w:t>
            </w:r>
          </w:p>
        </w:tc>
        <w:tc>
          <w:tcPr>
            <w:tcW w:w="86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56"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7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82"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23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505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2.82</w:t>
            </w:r>
          </w:p>
        </w:tc>
        <w:tc>
          <w:tcPr>
            <w:tcW w:w="169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2.82</w:t>
            </w:r>
          </w:p>
        </w:tc>
        <w:tc>
          <w:tcPr>
            <w:tcW w:w="86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56"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7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82"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23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505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2.82</w:t>
            </w:r>
          </w:p>
        </w:tc>
        <w:tc>
          <w:tcPr>
            <w:tcW w:w="169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2.82</w:t>
            </w:r>
          </w:p>
        </w:tc>
        <w:tc>
          <w:tcPr>
            <w:tcW w:w="86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56"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7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82"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23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505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w:t>
            </w:r>
          </w:p>
        </w:tc>
        <w:tc>
          <w:tcPr>
            <w:tcW w:w="169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w:t>
            </w:r>
          </w:p>
        </w:tc>
        <w:tc>
          <w:tcPr>
            <w:tcW w:w="86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56"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7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82"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23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505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1711"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1.54</w:t>
            </w:r>
          </w:p>
        </w:tc>
        <w:tc>
          <w:tcPr>
            <w:tcW w:w="169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1.54</w:t>
            </w:r>
          </w:p>
        </w:tc>
        <w:tc>
          <w:tcPr>
            <w:tcW w:w="86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56"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7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782"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235"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229" w:type="dxa"/>
            <w:gridSpan w:val="9"/>
            <w:tcBorders>
              <w:top w:val="single" w:color="auto" w:sz="4" w:space="0"/>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229" w:type="dxa"/>
        <w:tblInd w:w="93" w:type="dxa"/>
        <w:tblLayout w:type="fixed"/>
        <w:tblCellMar>
          <w:top w:w="0" w:type="dxa"/>
          <w:left w:w="108" w:type="dxa"/>
          <w:bottom w:w="0" w:type="dxa"/>
          <w:right w:w="108" w:type="dxa"/>
        </w:tblCellMar>
      </w:tblPr>
      <w:tblGrid>
        <w:gridCol w:w="1232"/>
        <w:gridCol w:w="5326"/>
        <w:gridCol w:w="1816"/>
        <w:gridCol w:w="1816"/>
        <w:gridCol w:w="960"/>
        <w:gridCol w:w="873"/>
        <w:gridCol w:w="868"/>
        <w:gridCol w:w="1338"/>
      </w:tblGrid>
      <w:tr>
        <w:tblPrEx>
          <w:tblCellMar>
            <w:top w:w="0" w:type="dxa"/>
            <w:left w:w="108" w:type="dxa"/>
            <w:bottom w:w="0" w:type="dxa"/>
            <w:right w:w="108" w:type="dxa"/>
          </w:tblCellMar>
        </w:tblPrEx>
        <w:trPr>
          <w:trHeight w:val="390" w:hRule="atLeast"/>
        </w:trPr>
        <w:tc>
          <w:tcPr>
            <w:tcW w:w="14229" w:type="dxa"/>
            <w:gridSpan w:val="8"/>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14229" w:type="dxa"/>
            <w:gridSpan w:val="8"/>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108" w:type="dxa"/>
            <w:bottom w:w="0" w:type="dxa"/>
            <w:right w:w="108" w:type="dxa"/>
          </w:tblCellMar>
        </w:tblPrEx>
        <w:trPr>
          <w:trHeight w:val="255" w:hRule="atLeast"/>
        </w:trPr>
        <w:tc>
          <w:tcPr>
            <w:tcW w:w="11150" w:type="dxa"/>
            <w:gridSpan w:val="5"/>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cs="宋体"/>
                <w:color w:val="000000"/>
                <w:kern w:val="0"/>
                <w:sz w:val="20"/>
                <w:szCs w:val="20"/>
              </w:rPr>
              <w:t>部门：许昌市社会科学界联合会</w:t>
            </w:r>
          </w:p>
        </w:tc>
        <w:tc>
          <w:tcPr>
            <w:tcW w:w="3079" w:type="dxa"/>
            <w:gridSpan w:val="3"/>
            <w:tcBorders>
              <w:top w:val="nil"/>
              <w:left w:val="nil"/>
              <w:bottom w:val="single" w:color="auto" w:sz="4" w:space="0"/>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5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8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8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3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12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53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8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8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3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53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8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8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3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53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8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8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3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65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65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155.54</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155.54</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color w:val="000000"/>
                <w:sz w:val="22"/>
              </w:rPr>
            </w:pP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color w:val="000000"/>
                <w:sz w:val="22"/>
              </w:rPr>
            </w:pPr>
          </w:p>
        </w:tc>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color w:val="000000"/>
                <w:sz w:val="22"/>
              </w:rPr>
            </w:pPr>
          </w:p>
        </w:tc>
        <w:tc>
          <w:tcPr>
            <w:tcW w:w="133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123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532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117.97</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117.97</w:t>
            </w:r>
          </w:p>
        </w:tc>
        <w:tc>
          <w:tcPr>
            <w:tcW w:w="960"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6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33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3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532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117.97</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117.97</w:t>
            </w:r>
          </w:p>
        </w:tc>
        <w:tc>
          <w:tcPr>
            <w:tcW w:w="960"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6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33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3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2012901</w:t>
            </w:r>
          </w:p>
        </w:tc>
        <w:tc>
          <w:tcPr>
            <w:tcW w:w="532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117.40</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117.40</w:t>
            </w:r>
          </w:p>
        </w:tc>
        <w:tc>
          <w:tcPr>
            <w:tcW w:w="960"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6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33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3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532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0.57</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0.57</w:t>
            </w:r>
          </w:p>
        </w:tc>
        <w:tc>
          <w:tcPr>
            <w:tcW w:w="960"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6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33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3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532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31.38</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31.38</w:t>
            </w:r>
          </w:p>
        </w:tc>
        <w:tc>
          <w:tcPr>
            <w:tcW w:w="960"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6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33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3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532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31.38</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31.38</w:t>
            </w:r>
          </w:p>
        </w:tc>
        <w:tc>
          <w:tcPr>
            <w:tcW w:w="960"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6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33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3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532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960"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6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33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3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532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6.51</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6.51</w:t>
            </w:r>
          </w:p>
        </w:tc>
        <w:tc>
          <w:tcPr>
            <w:tcW w:w="960"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6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33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3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532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6.18</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6.18</w:t>
            </w:r>
          </w:p>
        </w:tc>
        <w:tc>
          <w:tcPr>
            <w:tcW w:w="960"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6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33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3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532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6.18</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6.18</w:t>
            </w:r>
          </w:p>
        </w:tc>
        <w:tc>
          <w:tcPr>
            <w:tcW w:w="960"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6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33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3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532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3.44</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3.44</w:t>
            </w:r>
          </w:p>
        </w:tc>
        <w:tc>
          <w:tcPr>
            <w:tcW w:w="960"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6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33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3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5326"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2.74</w:t>
            </w:r>
          </w:p>
        </w:tc>
        <w:tc>
          <w:tcPr>
            <w:tcW w:w="181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2.74</w:t>
            </w:r>
          </w:p>
        </w:tc>
        <w:tc>
          <w:tcPr>
            <w:tcW w:w="960"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86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c>
          <w:tcPr>
            <w:tcW w:w="1338"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229" w:type="dxa"/>
            <w:gridSpan w:val="8"/>
            <w:tcBorders>
              <w:top w:val="single" w:color="auto" w:sz="4" w:space="0"/>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810" w:type="dxa"/>
        <w:tblInd w:w="100" w:type="dxa"/>
        <w:tblLayout w:type="fixed"/>
        <w:tblCellMar>
          <w:top w:w="0" w:type="dxa"/>
          <w:left w:w="108" w:type="dxa"/>
          <w:bottom w:w="0" w:type="dxa"/>
          <w:right w:w="108" w:type="dxa"/>
        </w:tblCellMar>
      </w:tblPr>
      <w:tblGrid>
        <w:gridCol w:w="3076"/>
        <w:gridCol w:w="553"/>
        <w:gridCol w:w="1165"/>
        <w:gridCol w:w="3306"/>
        <w:gridCol w:w="594"/>
        <w:gridCol w:w="1201"/>
        <w:gridCol w:w="1260"/>
        <w:gridCol w:w="1327"/>
        <w:gridCol w:w="1328"/>
      </w:tblGrid>
      <w:tr>
        <w:tblPrEx>
          <w:tblCellMar>
            <w:top w:w="0" w:type="dxa"/>
            <w:left w:w="108" w:type="dxa"/>
            <w:bottom w:w="0" w:type="dxa"/>
            <w:right w:w="108" w:type="dxa"/>
          </w:tblCellMar>
        </w:tblPrEx>
        <w:trPr>
          <w:trHeight w:val="315" w:hRule="atLeast"/>
        </w:trPr>
        <w:tc>
          <w:tcPr>
            <w:tcW w:w="13810" w:type="dxa"/>
            <w:gridSpan w:val="9"/>
            <w:tcBorders>
              <w:top w:val="nil"/>
              <w:left w:val="nil"/>
              <w:bottom w:val="nil"/>
              <w:right w:val="nil"/>
            </w:tcBorders>
            <w:noWrap/>
            <w:vAlign w:val="center"/>
          </w:tcPr>
          <w:p>
            <w:pPr>
              <w:widowControl/>
              <w:jc w:val="center"/>
              <w:textAlignment w:val="center"/>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trHeight w:val="315" w:hRule="atLeast"/>
        </w:trPr>
        <w:tc>
          <w:tcPr>
            <w:tcW w:w="13810" w:type="dxa"/>
            <w:gridSpan w:val="9"/>
            <w:tcBorders>
              <w:top w:val="nil"/>
              <w:left w:val="nil"/>
              <w:bottom w:val="nil"/>
              <w:right w:val="nil"/>
            </w:tcBorders>
            <w:shd w:val="clear" w:color="auto" w:fill="auto"/>
            <w:noWrap/>
            <w:vAlign w:val="center"/>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108" w:type="dxa"/>
            <w:bottom w:w="0" w:type="dxa"/>
            <w:right w:w="108" w:type="dxa"/>
          </w:tblCellMar>
        </w:tblPrEx>
        <w:trPr>
          <w:trHeight w:val="345" w:hRule="atLeast"/>
        </w:trPr>
        <w:tc>
          <w:tcPr>
            <w:tcW w:w="11155" w:type="dxa"/>
            <w:gridSpan w:val="7"/>
            <w:tcBorders>
              <w:top w:val="nil"/>
              <w:left w:val="nil"/>
              <w:bottom w:val="single" w:color="auto" w:sz="4" w:space="0"/>
              <w:right w:val="nil"/>
            </w:tcBorders>
            <w:shd w:val="clear" w:color="auto" w:fill="auto"/>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部门：许昌市社会科学界联合会</w:t>
            </w:r>
          </w:p>
        </w:tc>
        <w:tc>
          <w:tcPr>
            <w:tcW w:w="2655" w:type="dxa"/>
            <w:gridSpan w:val="2"/>
            <w:tcBorders>
              <w:top w:val="nil"/>
              <w:left w:val="nil"/>
              <w:bottom w:val="single" w:color="auto" w:sz="4" w:space="0"/>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rPr>
          <w:trHeight w:val="345" w:hRule="atLeast"/>
        </w:trPr>
        <w:tc>
          <w:tcPr>
            <w:tcW w:w="47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90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CellMar>
            <w:top w:w="0" w:type="dxa"/>
            <w:left w:w="108" w:type="dxa"/>
            <w:bottom w:w="0" w:type="dxa"/>
            <w:right w:w="108" w:type="dxa"/>
          </w:tblCellMar>
        </w:tblPrEx>
        <w:trPr>
          <w:trHeight w:val="315" w:hRule="atLeast"/>
        </w:trPr>
        <w:tc>
          <w:tcPr>
            <w:tcW w:w="30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1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2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1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13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blPrEx>
          <w:tblCellMar>
            <w:top w:w="0" w:type="dxa"/>
            <w:left w:w="108" w:type="dxa"/>
            <w:bottom w:w="0" w:type="dxa"/>
            <w:right w:w="108" w:type="dxa"/>
          </w:tblCellMar>
        </w:tblPrEx>
        <w:trPr>
          <w:trHeight w:val="718" w:hRule="atLeast"/>
        </w:trPr>
        <w:tc>
          <w:tcPr>
            <w:tcW w:w="30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1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3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5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2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3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3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5"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rPr>
            </w:pP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rPr>
            </w:pP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129.57</w:t>
            </w: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117.97</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117.97</w:t>
            </w: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31.38</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31.38</w:t>
            </w: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6.18</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6.18</w:t>
            </w: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 w:val="20"/>
                <w:szCs w:val="20"/>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0"/>
                <w:szCs w:val="20"/>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0"/>
                <w:szCs w:val="20"/>
              </w:rPr>
            </w:pP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129.57</w:t>
            </w: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155.54</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155.54</w:t>
            </w: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25.96</w:t>
            </w: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25.96</w:t>
            </w: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30"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45" w:hRule="atLeast"/>
        </w:trPr>
        <w:tc>
          <w:tcPr>
            <w:tcW w:w="30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5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155.54</w:t>
            </w:r>
          </w:p>
        </w:tc>
        <w:tc>
          <w:tcPr>
            <w:tcW w:w="3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155.54</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155.54</w:t>
            </w: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rPr>
          <w:trHeight w:val="315" w:hRule="atLeast"/>
        </w:trPr>
        <w:tc>
          <w:tcPr>
            <w:tcW w:w="13810" w:type="dxa"/>
            <w:gridSpan w:val="9"/>
            <w:tcBorders>
              <w:top w:val="single" w:color="auto" w:sz="4" w:space="0"/>
              <w:left w:val="nil"/>
              <w:bottom w:val="nil"/>
              <w:right w:val="nil"/>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tbl>
      <w:tblPr>
        <w:tblStyle w:val="7"/>
        <w:tblW w:w="14169" w:type="dxa"/>
        <w:tblInd w:w="93" w:type="dxa"/>
        <w:tblLayout w:type="fixed"/>
        <w:tblCellMar>
          <w:top w:w="0" w:type="dxa"/>
          <w:left w:w="108" w:type="dxa"/>
          <w:bottom w:w="0" w:type="dxa"/>
          <w:right w:w="108" w:type="dxa"/>
        </w:tblCellMar>
      </w:tblPr>
      <w:tblGrid>
        <w:gridCol w:w="1284"/>
        <w:gridCol w:w="5668"/>
        <w:gridCol w:w="2710"/>
        <w:gridCol w:w="2570"/>
        <w:gridCol w:w="1937"/>
      </w:tblGrid>
      <w:tr>
        <w:tblPrEx>
          <w:tblCellMar>
            <w:top w:w="0" w:type="dxa"/>
            <w:left w:w="108" w:type="dxa"/>
            <w:bottom w:w="0" w:type="dxa"/>
            <w:right w:w="108" w:type="dxa"/>
          </w:tblCellMar>
        </w:tblPrEx>
        <w:trPr>
          <w:trHeight w:val="390" w:hRule="atLeast"/>
        </w:trPr>
        <w:tc>
          <w:tcPr>
            <w:tcW w:w="14169" w:type="dxa"/>
            <w:gridSpan w:val="5"/>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14169" w:type="dxa"/>
            <w:gridSpan w:val="5"/>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CellMar>
            <w:top w:w="0" w:type="dxa"/>
            <w:left w:w="108" w:type="dxa"/>
            <w:bottom w:w="0" w:type="dxa"/>
            <w:right w:w="108" w:type="dxa"/>
          </w:tblCellMar>
        </w:tblPrEx>
        <w:trPr>
          <w:trHeight w:val="255" w:hRule="atLeast"/>
        </w:trPr>
        <w:tc>
          <w:tcPr>
            <w:tcW w:w="9662" w:type="dxa"/>
            <w:gridSpan w:val="3"/>
            <w:tcBorders>
              <w:top w:val="nil"/>
              <w:left w:val="nil"/>
              <w:bottom w:val="single" w:color="auto" w:sz="4" w:space="0"/>
              <w:right w:val="nil"/>
            </w:tcBorders>
            <w:shd w:val="clear" w:color="auto" w:fill="auto"/>
            <w:noWrap/>
            <w:vAlign w:val="bottom"/>
          </w:tcPr>
          <w:p>
            <w:pPr>
              <w:jc w:val="left"/>
              <w:rPr>
                <w:rFonts w:ascii="Arial" w:hAnsi="Arial" w:cs="Arial"/>
                <w:color w:val="000000"/>
                <w:sz w:val="20"/>
                <w:szCs w:val="20"/>
              </w:rPr>
            </w:pPr>
            <w:r>
              <w:rPr>
                <w:rFonts w:hint="eastAsia" w:ascii="宋体" w:hAnsi="宋体" w:cs="宋体"/>
                <w:color w:val="000000"/>
                <w:kern w:val="0"/>
                <w:sz w:val="20"/>
                <w:szCs w:val="20"/>
              </w:rPr>
              <w:t>部门：许昌市社会科学界联合会</w:t>
            </w:r>
          </w:p>
        </w:tc>
        <w:tc>
          <w:tcPr>
            <w:tcW w:w="257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37"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449" w:hRule="atLeast"/>
        </w:trPr>
        <w:tc>
          <w:tcPr>
            <w:tcW w:w="69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72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12" w:hRule="atLeast"/>
        </w:trPr>
        <w:tc>
          <w:tcPr>
            <w:tcW w:w="1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56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5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9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56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rPr>
            </w:pPr>
          </w:p>
        </w:tc>
        <w:tc>
          <w:tcPr>
            <w:tcW w:w="2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2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514" w:hRule="atLeast"/>
        </w:trPr>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56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rPr>
            </w:pPr>
          </w:p>
        </w:tc>
        <w:tc>
          <w:tcPr>
            <w:tcW w:w="2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2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69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08" w:hRule="atLeast"/>
        </w:trPr>
        <w:tc>
          <w:tcPr>
            <w:tcW w:w="69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155.54</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155.54</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56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117.97</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117.97</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56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117.97</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117.97</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2012901</w:t>
            </w:r>
          </w:p>
        </w:tc>
        <w:tc>
          <w:tcPr>
            <w:tcW w:w="56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117.40</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117.40</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56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0.57</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0.57</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56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31.38</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31.38</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56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31.38</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31.38</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56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56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6.51</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6.51</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56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6.18</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6.18</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56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6.18</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6.18</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56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3.44</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3.44</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56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2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2.74</w:t>
            </w:r>
          </w:p>
        </w:tc>
        <w:tc>
          <w:tcPr>
            <w:tcW w:w="2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2.74</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169" w:type="dxa"/>
            <w:gridSpan w:val="5"/>
            <w:tcBorders>
              <w:top w:val="single" w:color="auto" w:sz="4" w:space="0"/>
              <w:left w:val="nil"/>
              <w:bottom w:val="nil"/>
              <w:right w:val="nil"/>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81" w:type="dxa"/>
        <w:tblInd w:w="93" w:type="dxa"/>
        <w:tblLayout w:type="fixed"/>
        <w:tblCellMar>
          <w:top w:w="0" w:type="dxa"/>
          <w:left w:w="108" w:type="dxa"/>
          <w:bottom w:w="0" w:type="dxa"/>
          <w:right w:w="108" w:type="dxa"/>
        </w:tblCellMar>
      </w:tblPr>
      <w:tblGrid>
        <w:gridCol w:w="1280"/>
        <w:gridCol w:w="2692"/>
        <w:gridCol w:w="1125"/>
        <w:gridCol w:w="1403"/>
        <w:gridCol w:w="1972"/>
        <w:gridCol w:w="930"/>
        <w:gridCol w:w="1320"/>
        <w:gridCol w:w="2370"/>
        <w:gridCol w:w="989"/>
      </w:tblGrid>
      <w:tr>
        <w:tblPrEx>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一般公共预算财政拨款基本支出决算表</w:t>
            </w:r>
          </w:p>
        </w:tc>
      </w:tr>
      <w:tr>
        <w:tblPrEx>
          <w:tblCellMar>
            <w:top w:w="0" w:type="dxa"/>
            <w:left w:w="108" w:type="dxa"/>
            <w:bottom w:w="0" w:type="dxa"/>
            <w:right w:w="108" w:type="dxa"/>
          </w:tblCellMar>
        </w:tblPrEx>
        <w:trPr>
          <w:trHeight w:val="342" w:hRule="atLeast"/>
        </w:trPr>
        <w:tc>
          <w:tcPr>
            <w:tcW w:w="14081" w:type="dxa"/>
            <w:gridSpan w:val="9"/>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blPrEx>
          <w:tblCellMar>
            <w:top w:w="0" w:type="dxa"/>
            <w:left w:w="108" w:type="dxa"/>
            <w:bottom w:w="0" w:type="dxa"/>
            <w:right w:w="108" w:type="dxa"/>
          </w:tblCellMar>
        </w:tblPrEx>
        <w:trPr>
          <w:trHeight w:val="369" w:hRule="atLeast"/>
        </w:trPr>
        <w:tc>
          <w:tcPr>
            <w:tcW w:w="10722"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cs="宋体"/>
                <w:color w:val="000000"/>
                <w:kern w:val="0"/>
                <w:sz w:val="20"/>
                <w:szCs w:val="20"/>
              </w:rPr>
              <w:t>部门：许昌市社会科学界联合会</w:t>
            </w:r>
          </w:p>
        </w:tc>
        <w:tc>
          <w:tcPr>
            <w:tcW w:w="3359" w:type="dxa"/>
            <w:gridSpan w:val="2"/>
            <w:tcBorders>
              <w:top w:val="nil"/>
              <w:left w:val="nil"/>
              <w:bottom w:val="single" w:color="auto" w:sz="4" w:space="0"/>
              <w:right w:val="nil"/>
            </w:tcBorders>
            <w:shd w:val="clear" w:color="auto" w:fill="auto"/>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50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898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trHeight w:val="312" w:hRule="atLeast"/>
        </w:trPr>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1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14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3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12" w:hRule="atLeast"/>
        </w:trPr>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2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4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23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106.63</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22.87</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26.68</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2.66</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41.86</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18.68</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20" w:firstLineChars="100"/>
              <w:jc w:val="both"/>
              <w:textAlignment w:val="center"/>
              <w:rPr>
                <w:rFonts w:ascii="宋体" w:hAnsi="宋体" w:cs="宋体"/>
                <w:color w:val="000000"/>
                <w:sz w:val="22"/>
              </w:rPr>
            </w:pPr>
            <w:r>
              <w:rPr>
                <w:rFonts w:hint="eastAsia" w:ascii="宋体" w:hAnsi="宋体" w:cs="宋体"/>
                <w:color w:val="000000"/>
                <w:kern w:val="0"/>
                <w:sz w:val="22"/>
              </w:rPr>
              <w:t>资本性支出</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w:t>
            </w: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w:t>
            </w: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 xml:space="preserve">  机关事业单位基本养老保险缴费</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6.51</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0.42</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职工基本医疗保险缴费</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3.44</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公务员医疗补助缴费</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2.74</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0.36</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 xml:space="preserve">  信息网络及软件购置更新</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其他社会保障缴费</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0.01</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0.78</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住房公积金</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6.65</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医疗费</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其他工资福利支出</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0.06</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地上附着物和青苗补偿</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对个人和家庭的补助</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0.05</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64"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5.34</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74"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1.21</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 xml:space="preserve">  对民间非营利组织和群众性自治组织补贴</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both"/>
              <w:textAlignment w:val="center"/>
              <w:rPr>
                <w:rFonts w:ascii="宋体" w:hAnsi="宋体" w:cs="宋体"/>
                <w:color w:val="000000"/>
                <w:sz w:val="22"/>
              </w:rPr>
            </w:pPr>
            <w:r>
              <w:rPr>
                <w:rFonts w:hint="eastAsia" w:ascii="宋体" w:hAnsi="宋体" w:cs="宋体"/>
                <w:color w:val="000000"/>
                <w:kern w:val="0"/>
                <w:sz w:val="22"/>
              </w:rPr>
              <w:t>公务用车运行维护费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1.25</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6.81</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10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其他对个人和家庭的补助</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26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19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textAlignment w:val="center"/>
              <w:rPr>
                <w:rFonts w:ascii="宋体" w:hAnsi="宋体" w:cs="宋体"/>
                <w:color w:val="000000"/>
                <w:sz w:val="22"/>
              </w:rPr>
            </w:pPr>
            <w:r>
              <w:rPr>
                <w:rFonts w:hint="eastAsia" w:ascii="宋体" w:hAnsi="宋体" w:cs="宋体"/>
                <w:color w:val="000000"/>
                <w:kern w:val="0"/>
                <w:sz w:val="22"/>
              </w:rPr>
              <w:t>其他商品和服务支出</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0.09</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color w:val="000000"/>
                <w:sz w:val="22"/>
              </w:rPr>
            </w:pP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9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131.50</w:t>
            </w:r>
          </w:p>
        </w:tc>
        <w:tc>
          <w:tcPr>
            <w:tcW w:w="79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24.04</w:t>
            </w:r>
          </w:p>
        </w:tc>
      </w:tr>
      <w:tr>
        <w:tblPrEx>
          <w:tblCellMar>
            <w:top w:w="0" w:type="dxa"/>
            <w:left w:w="108" w:type="dxa"/>
            <w:bottom w:w="0" w:type="dxa"/>
            <w:right w:w="108" w:type="dxa"/>
          </w:tblCellMar>
        </w:tblPrEx>
        <w:trPr>
          <w:trHeight w:val="308" w:hRule="atLeast"/>
        </w:trPr>
        <w:tc>
          <w:tcPr>
            <w:tcW w:w="14081" w:type="dxa"/>
            <w:gridSpan w:val="9"/>
            <w:tcBorders>
              <w:top w:val="single" w:color="auto" w:sz="4" w:space="0"/>
              <w:left w:val="nil"/>
              <w:bottom w:val="nil"/>
              <w:right w:val="nil"/>
            </w:tcBorders>
            <w:shd w:val="clear" w:color="auto" w:fill="auto"/>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10" w:type="dxa"/>
        <w:tblInd w:w="93" w:type="dxa"/>
        <w:tblLayout w:type="fixed"/>
        <w:tblCellMar>
          <w:top w:w="0" w:type="dxa"/>
          <w:left w:w="108" w:type="dxa"/>
          <w:bottom w:w="0" w:type="dxa"/>
          <w:right w:w="108" w:type="dxa"/>
        </w:tblCellMar>
      </w:tblPr>
      <w:tblGrid>
        <w:gridCol w:w="2697"/>
        <w:gridCol w:w="1369"/>
        <w:gridCol w:w="986"/>
        <w:gridCol w:w="722"/>
        <w:gridCol w:w="1069"/>
        <w:gridCol w:w="900"/>
        <w:gridCol w:w="853"/>
        <w:gridCol w:w="1334"/>
        <w:gridCol w:w="1069"/>
        <w:gridCol w:w="806"/>
        <w:gridCol w:w="1069"/>
        <w:gridCol w:w="1036"/>
      </w:tblGrid>
      <w:tr>
        <w:tblPrEx>
          <w:tblCellMar>
            <w:top w:w="0" w:type="dxa"/>
            <w:left w:w="108" w:type="dxa"/>
            <w:bottom w:w="0" w:type="dxa"/>
            <w:right w:w="108" w:type="dxa"/>
          </w:tblCellMar>
        </w:tblPrEx>
        <w:trPr>
          <w:trHeight w:val="540" w:hRule="atLeast"/>
        </w:trPr>
        <w:tc>
          <w:tcPr>
            <w:tcW w:w="13910" w:type="dxa"/>
            <w:gridSpan w:val="12"/>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13910" w:type="dxa"/>
            <w:gridSpan w:val="12"/>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108" w:type="dxa"/>
            <w:bottom w:w="0" w:type="dxa"/>
            <w:right w:w="108" w:type="dxa"/>
          </w:tblCellMar>
        </w:tblPrEx>
        <w:trPr>
          <w:trHeight w:val="255" w:hRule="atLeast"/>
        </w:trPr>
        <w:tc>
          <w:tcPr>
            <w:tcW w:w="10999" w:type="dxa"/>
            <w:gridSpan w:val="9"/>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cs="宋体"/>
                <w:color w:val="000000"/>
                <w:kern w:val="0"/>
                <w:sz w:val="20"/>
                <w:szCs w:val="20"/>
              </w:rPr>
              <w:t>部门：许昌市社会科学界联合会</w:t>
            </w:r>
          </w:p>
        </w:tc>
        <w:tc>
          <w:tcPr>
            <w:tcW w:w="2911" w:type="dxa"/>
            <w:gridSpan w:val="3"/>
            <w:tcBorders>
              <w:top w:val="nil"/>
              <w:left w:val="nil"/>
              <w:bottom w:val="single" w:color="auto" w:sz="4" w:space="0"/>
              <w:right w:val="nil"/>
            </w:tcBorders>
            <w:shd w:val="clear" w:color="auto" w:fill="auto"/>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77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616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08" w:hRule="atLeast"/>
        </w:trPr>
        <w:tc>
          <w:tcPr>
            <w:tcW w:w="26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3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27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3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29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0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trHeight w:val="615" w:hRule="atLeast"/>
        </w:trPr>
        <w:tc>
          <w:tcPr>
            <w:tcW w:w="26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3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3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0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blPrEx>
          <w:tblCellMar>
            <w:top w:w="0" w:type="dxa"/>
            <w:left w:w="108" w:type="dxa"/>
            <w:bottom w:w="0" w:type="dxa"/>
            <w:right w:w="108" w:type="dxa"/>
          </w:tblCellMar>
        </w:tblPrEx>
        <w:trPr>
          <w:trHeight w:val="308" w:hRule="atLeast"/>
        </w:trPr>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4.00</w:t>
            </w:r>
          </w:p>
        </w:tc>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0.30</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1.25</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color w:val="000000"/>
                <w:sz w:val="22"/>
              </w:rPr>
            </w:pP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1.25</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0.05</w:t>
            </w:r>
          </w:p>
        </w:tc>
      </w:tr>
      <w:tr>
        <w:tblPrEx>
          <w:tblCellMar>
            <w:top w:w="0" w:type="dxa"/>
            <w:left w:w="108" w:type="dxa"/>
            <w:bottom w:w="0" w:type="dxa"/>
            <w:right w:w="108" w:type="dxa"/>
          </w:tblCellMar>
        </w:tblPrEx>
        <w:trPr>
          <w:trHeight w:val="615" w:hRule="atLeast"/>
        </w:trPr>
        <w:tc>
          <w:tcPr>
            <w:tcW w:w="13910" w:type="dxa"/>
            <w:gridSpan w:val="12"/>
            <w:tcBorders>
              <w:top w:val="single" w:color="auto" w:sz="4" w:space="0"/>
              <w:left w:val="nil"/>
              <w:bottom w:val="nil"/>
              <w:right w:val="nil"/>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1395"/>
        <w:gridCol w:w="1738"/>
        <w:gridCol w:w="1688"/>
        <w:gridCol w:w="1688"/>
        <w:gridCol w:w="1688"/>
        <w:gridCol w:w="1690"/>
        <w:gridCol w:w="1593"/>
        <w:gridCol w:w="2601"/>
      </w:tblGrid>
      <w:tr>
        <w:tblPrEx>
          <w:tblCellMar>
            <w:top w:w="0" w:type="dxa"/>
            <w:left w:w="108" w:type="dxa"/>
            <w:bottom w:w="0" w:type="dxa"/>
            <w:right w:w="108" w:type="dxa"/>
          </w:tblCellMar>
        </w:tblPrEx>
        <w:trPr>
          <w:trHeight w:val="390" w:hRule="atLeast"/>
        </w:trPr>
        <w:tc>
          <w:tcPr>
            <w:tcW w:w="14081" w:type="dxa"/>
            <w:gridSpan w:val="8"/>
            <w:tcBorders>
              <w:top w:val="nil"/>
              <w:left w:val="nil"/>
              <w:bottom w:val="nil"/>
              <w:right w:val="nil"/>
            </w:tcBorders>
            <w:shd w:val="clear" w:color="auto" w:fill="auto"/>
            <w:noWrap/>
            <w:vAlign w:val="bottom"/>
          </w:tcPr>
          <w:p>
            <w:pPr>
              <w:widowControl/>
              <w:jc w:val="center"/>
              <w:textAlignment w:val="bottom"/>
              <w:rPr>
                <w:rFonts w:ascii="宋体" w:hAnsi="宋体" w:cs="宋体"/>
                <w:sz w:val="30"/>
                <w:szCs w:val="30"/>
              </w:rPr>
            </w:pPr>
            <w:r>
              <w:rPr>
                <w:rFonts w:hint="eastAsia" w:ascii="宋体" w:hAnsi="宋体" w:cs="宋体"/>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14081" w:type="dxa"/>
            <w:gridSpan w:val="8"/>
            <w:tcBorders>
              <w:top w:val="nil"/>
              <w:left w:val="nil"/>
              <w:bottom w:val="nil"/>
              <w:right w:val="nil"/>
            </w:tcBorders>
            <w:shd w:val="clear" w:color="auto" w:fill="auto"/>
            <w:noWrap/>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公开08表</w:t>
            </w:r>
          </w:p>
        </w:tc>
      </w:tr>
      <w:tr>
        <w:tblPrEx>
          <w:tblCellMar>
            <w:top w:w="0" w:type="dxa"/>
            <w:left w:w="108" w:type="dxa"/>
            <w:bottom w:w="0" w:type="dxa"/>
            <w:right w:w="108" w:type="dxa"/>
          </w:tblCellMar>
        </w:tblPrEx>
        <w:trPr>
          <w:trHeight w:val="255" w:hRule="atLeast"/>
        </w:trPr>
        <w:tc>
          <w:tcPr>
            <w:tcW w:w="9845" w:type="dxa"/>
            <w:gridSpan w:val="6"/>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cs="宋体"/>
                <w:kern w:val="0"/>
                <w:sz w:val="20"/>
                <w:szCs w:val="20"/>
              </w:rPr>
              <w:t>部门：许昌市社会科学界联合会</w:t>
            </w:r>
          </w:p>
        </w:tc>
        <w:tc>
          <w:tcPr>
            <w:tcW w:w="4236" w:type="dxa"/>
            <w:gridSpan w:val="2"/>
            <w:tcBorders>
              <w:top w:val="nil"/>
              <w:left w:val="nil"/>
              <w:bottom w:val="single" w:color="auto" w:sz="4" w:space="0"/>
              <w:right w:val="nil"/>
            </w:tcBorders>
            <w:shd w:val="clear" w:color="auto" w:fill="auto"/>
            <w:noWrap/>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rPr>
              <w:t>项目</w:t>
            </w:r>
          </w:p>
        </w:tc>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rPr>
              <w:t>年初结转和结余</w:t>
            </w:r>
          </w:p>
        </w:tc>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rPr>
              <w:t>本年收入</w:t>
            </w:r>
          </w:p>
        </w:tc>
        <w:tc>
          <w:tcPr>
            <w:tcW w:w="49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rPr>
              <w:t>本年支出</w:t>
            </w:r>
          </w:p>
        </w:tc>
        <w:tc>
          <w:tcPr>
            <w:tcW w:w="26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rPr>
              <w:t>年末结转和结余</w:t>
            </w:r>
          </w:p>
        </w:tc>
      </w:tr>
      <w:tr>
        <w:tblPrEx>
          <w:tblCellMar>
            <w:top w:w="0" w:type="dxa"/>
            <w:left w:w="108" w:type="dxa"/>
            <w:bottom w:w="0" w:type="dxa"/>
            <w:right w:w="108" w:type="dxa"/>
          </w:tblCellMar>
        </w:tblPrEx>
        <w:trPr>
          <w:trHeight w:val="312" w:hRule="atLeast"/>
        </w:trPr>
        <w:tc>
          <w:tcPr>
            <w:tcW w:w="13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rPr>
              <w:t>功能分类科目编码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rPr>
              <w:t>小计</w:t>
            </w:r>
          </w:p>
        </w:tc>
        <w:tc>
          <w:tcPr>
            <w:tcW w:w="16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rPr>
              <w:t>基本支出</w:t>
            </w:r>
          </w:p>
        </w:tc>
        <w:tc>
          <w:tcPr>
            <w:tcW w:w="1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rPr>
              <w:t>项目支出</w:t>
            </w:r>
          </w:p>
        </w:tc>
        <w:tc>
          <w:tcPr>
            <w:tcW w:w="26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r>
      <w:tr>
        <w:tblPrEx>
          <w:tblCellMar>
            <w:top w:w="0" w:type="dxa"/>
            <w:left w:w="108" w:type="dxa"/>
            <w:bottom w:w="0" w:type="dxa"/>
            <w:right w:w="108" w:type="dxa"/>
          </w:tblCellMar>
        </w:tblPrEx>
        <w:trPr>
          <w:trHeight w:val="312" w:hRule="atLeast"/>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2"/>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1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15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26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r>
      <w:tr>
        <w:tblPrEx>
          <w:tblCellMar>
            <w:top w:w="0" w:type="dxa"/>
            <w:left w:w="108" w:type="dxa"/>
            <w:bottom w:w="0" w:type="dxa"/>
            <w:right w:w="108" w:type="dxa"/>
          </w:tblCellMar>
        </w:tblPrEx>
        <w:trPr>
          <w:trHeight w:val="312" w:hRule="atLeast"/>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2"/>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1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15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c>
          <w:tcPr>
            <w:tcW w:w="26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2"/>
              </w:rPr>
            </w:pPr>
          </w:p>
        </w:tc>
      </w:tr>
      <w:tr>
        <w:tblPrEx>
          <w:tblCellMar>
            <w:top w:w="0" w:type="dxa"/>
            <w:left w:w="108" w:type="dxa"/>
            <w:bottom w:w="0" w:type="dxa"/>
            <w:right w:w="108" w:type="dxa"/>
          </w:tblCellMar>
        </w:tblPrEx>
        <w:trPr>
          <w:trHeight w:val="308"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rPr>
              <w:t>6</w:t>
            </w:r>
          </w:p>
        </w:tc>
      </w:tr>
      <w:tr>
        <w:tblPrEx>
          <w:tblCellMar>
            <w:top w:w="0" w:type="dxa"/>
            <w:left w:w="108" w:type="dxa"/>
            <w:bottom w:w="0" w:type="dxa"/>
            <w:right w:w="108" w:type="dxa"/>
          </w:tblCellMar>
        </w:tblPrEx>
        <w:trPr>
          <w:trHeight w:val="308"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sz w:val="22"/>
              </w:rPr>
            </w:pPr>
          </w:p>
        </w:tc>
      </w:tr>
      <w:tr>
        <w:tblPrEx>
          <w:tblCellMar>
            <w:top w:w="0" w:type="dxa"/>
            <w:left w:w="108" w:type="dxa"/>
            <w:bottom w:w="0" w:type="dxa"/>
            <w:right w:w="108"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sz w:val="22"/>
              </w:rPr>
            </w:pPr>
          </w:p>
        </w:tc>
      </w:tr>
      <w:tr>
        <w:tblPrEx>
          <w:tblCellMar>
            <w:top w:w="0" w:type="dxa"/>
            <w:left w:w="108" w:type="dxa"/>
            <w:bottom w:w="0" w:type="dxa"/>
            <w:right w:w="108" w:type="dxa"/>
          </w:tblCellMar>
        </w:tblPrEx>
        <w:trPr>
          <w:trHeight w:val="308" w:hRule="atLeast"/>
        </w:trPr>
        <w:tc>
          <w:tcPr>
            <w:tcW w:w="0" w:type="auto"/>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注：本表反映部门本年度政府性基金预算财政拨款收入、支出及结转和结余情况。本表金额转换为万元时，因四舍五入可能存在尾差。</w:t>
            </w:r>
          </w:p>
        </w:tc>
      </w:tr>
    </w:tbl>
    <w:p>
      <w:pPr>
        <w:jc w:val="cente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说明：我部门没有政府性基金收入，也没有使用政府性基金安排的支出，故本表无数据</w:t>
      </w: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w:t>
      </w:r>
    </w:p>
    <w:p>
      <w:pPr>
        <w:jc w:val="center"/>
        <w:outlineLvl w:val="0"/>
        <w:rPr>
          <w:rFonts w:ascii="黑体" w:hAnsi="黑体" w:eastAsia="黑体" w:cs="黑体"/>
          <w:sz w:val="48"/>
          <w:szCs w:val="48"/>
        </w:rPr>
      </w:pPr>
      <w:r>
        <w:rPr>
          <w:rFonts w:hint="eastAsia" w:ascii="黑体" w:hAnsi="黑体" w:eastAsia="黑体" w:cs="黑体"/>
          <w:sz w:val="48"/>
          <w:szCs w:val="48"/>
        </w:rPr>
        <w:t>2021年度部门决算情况说明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spacing w:line="590" w:lineRule="exact"/>
        <w:ind w:firstLine="640"/>
        <w:rPr>
          <w:rFonts w:eastAsia="Times New Roman"/>
          <w:sz w:val="32"/>
          <w:szCs w:val="24"/>
        </w:rPr>
      </w:pPr>
      <w:r>
        <w:rPr>
          <w:rFonts w:hint="eastAsia" w:ascii="黑体" w:hAnsi="黑体" w:eastAsia="黑体"/>
          <w:sz w:val="32"/>
          <w:szCs w:val="24"/>
        </w:rPr>
        <w:t>一、收入支出决算总体情况说明</w:t>
      </w:r>
    </w:p>
    <w:p>
      <w:pPr>
        <w:widowControl/>
        <w:spacing w:line="59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sz w:val="32"/>
          <w:szCs w:val="24"/>
        </w:rPr>
        <w:t>2021年度收、支总计均为155.54万元。与上年度相比，收、支总计各减少25.65万元，下降14.15%。</w:t>
      </w:r>
      <w:r>
        <w:rPr>
          <w:rFonts w:hint="eastAsia" w:ascii="仿宋_GB2312" w:hAnsi="仿宋_GB2312" w:eastAsia="仿宋_GB2312"/>
          <w:color w:val="000000" w:themeColor="text1"/>
          <w:sz w:val="32"/>
          <w:szCs w:val="24"/>
          <w14:textFill>
            <w14:solidFill>
              <w14:schemeClr w14:val="tx1"/>
            </w14:solidFill>
          </w14:textFill>
        </w:rPr>
        <w:t>主要原因是</w:t>
      </w:r>
      <w:r>
        <w:rPr>
          <w:rFonts w:hint="eastAsia" w:ascii="仿宋_GB2312" w:hAnsi="仿宋_GB2312" w:eastAsia="仿宋_GB2312" w:cs="仿宋_GB2312"/>
          <w:color w:val="000000" w:themeColor="text1"/>
          <w:sz w:val="32"/>
          <w:szCs w:val="32"/>
          <w14:textFill>
            <w14:solidFill>
              <w14:schemeClr w14:val="tx1"/>
            </w14:solidFill>
          </w14:textFill>
        </w:rPr>
        <w:t>我</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人员调动工资及各项津补贴的减少。</w:t>
      </w:r>
    </w:p>
    <w:p>
      <w:pPr>
        <w:spacing w:line="590" w:lineRule="exact"/>
        <w:ind w:firstLine="640"/>
        <w:rPr>
          <w:rFonts w:eastAsia="Times New Roman"/>
          <w:sz w:val="32"/>
          <w:szCs w:val="24"/>
        </w:rPr>
      </w:pPr>
      <w:r>
        <w:rPr>
          <w:rFonts w:hint="eastAsia" w:ascii="黑体" w:hAnsi="黑体" w:eastAsia="黑体"/>
          <w:sz w:val="32"/>
          <w:szCs w:val="24"/>
        </w:rPr>
        <w:t>二、收入决算情况说明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2021年度收入合计129.57万元，其中：财政拨款收入129.57万元，占100%；上级补助收入0万元；事业收入0万元；经营收入0万元；附属单位上缴收入0万元；其他收入0万元。</w:t>
      </w:r>
    </w:p>
    <w:p>
      <w:pPr>
        <w:spacing w:line="590" w:lineRule="exact"/>
        <w:ind w:firstLine="640"/>
        <w:rPr>
          <w:rFonts w:eastAsia="Times New Roman"/>
          <w:sz w:val="32"/>
          <w:szCs w:val="24"/>
        </w:rPr>
      </w:pPr>
      <w:r>
        <w:rPr>
          <w:rFonts w:hint="eastAsia" w:ascii="黑体" w:hAnsi="黑体" w:eastAsia="黑体"/>
          <w:sz w:val="32"/>
          <w:szCs w:val="24"/>
        </w:rPr>
        <w:t>三、支出决算情况说明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2021年度支出合计155.54万元，其中：基本支出155.54万元，占100%；项目支出0万元；上缴上级支出0万元；经营支出0万元；对附属单位补助支出0万元。</w:t>
      </w:r>
    </w:p>
    <w:p>
      <w:pPr>
        <w:spacing w:line="590" w:lineRule="exact"/>
        <w:ind w:firstLine="640"/>
        <w:rPr>
          <w:rFonts w:eastAsia="Times New Roman"/>
          <w:sz w:val="32"/>
          <w:szCs w:val="24"/>
        </w:rPr>
      </w:pPr>
      <w:r>
        <w:rPr>
          <w:rFonts w:hint="eastAsia" w:ascii="黑体" w:hAnsi="黑体" w:eastAsia="黑体"/>
          <w:sz w:val="32"/>
          <w:szCs w:val="24"/>
        </w:rPr>
        <w:t>四、财政拨款收入支出决算总体情况说明</w:t>
      </w:r>
    </w:p>
    <w:p>
      <w:pPr>
        <w:widowControl/>
        <w:spacing w:line="590" w:lineRule="exact"/>
        <w:ind w:firstLine="640" w:firstLineChars="200"/>
        <w:rPr>
          <w:rFonts w:ascii="黑体" w:hAnsi="黑体" w:eastAsia="黑体" w:cs="黑体"/>
          <w:color w:val="FF0000"/>
          <w:sz w:val="32"/>
          <w:szCs w:val="32"/>
        </w:rPr>
      </w:pPr>
      <w:r>
        <w:rPr>
          <w:rFonts w:hint="eastAsia" w:ascii="仿宋_GB2312" w:hAnsi="仿宋_GB2312" w:eastAsia="仿宋_GB2312"/>
          <w:sz w:val="32"/>
          <w:szCs w:val="24"/>
        </w:rPr>
        <w:t>2021年度财政拨款收、支总计均为155.54万元。与上年度相比，财政拨款收、支总计各减少25.65万元，下降14.15%。</w:t>
      </w:r>
      <w:r>
        <w:rPr>
          <w:rFonts w:hint="eastAsia" w:ascii="仿宋_GB2312" w:hAnsi="仿宋_GB2312" w:eastAsia="仿宋_GB2312"/>
          <w:color w:val="000000" w:themeColor="text1"/>
          <w:sz w:val="32"/>
          <w:szCs w:val="24"/>
          <w14:textFill>
            <w14:solidFill>
              <w14:schemeClr w14:val="tx1"/>
            </w14:solidFill>
          </w14:textFill>
        </w:rPr>
        <w:t>主要原因是</w:t>
      </w:r>
      <w:r>
        <w:rPr>
          <w:rFonts w:hint="eastAsia" w:ascii="仿宋_GB2312" w:hAnsi="仿宋_GB2312" w:eastAsia="仿宋_GB2312" w:cs="仿宋_GB2312"/>
          <w:color w:val="000000" w:themeColor="text1"/>
          <w:sz w:val="32"/>
          <w:szCs w:val="32"/>
          <w14:textFill>
            <w14:solidFill>
              <w14:schemeClr w14:val="tx1"/>
            </w14:solidFill>
          </w14:textFill>
        </w:rPr>
        <w:t>我</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人员调动工资及各项津补贴的减少。</w:t>
      </w:r>
    </w:p>
    <w:p>
      <w:pPr>
        <w:spacing w:line="590" w:lineRule="exact"/>
        <w:ind w:firstLine="640" w:firstLineChars="200"/>
        <w:rPr>
          <w:rFonts w:eastAsia="Times New Roman"/>
          <w:sz w:val="32"/>
          <w:szCs w:val="24"/>
        </w:rPr>
      </w:pPr>
      <w:r>
        <w:rPr>
          <w:rFonts w:hint="eastAsia" w:ascii="黑体" w:hAnsi="黑体" w:eastAsia="黑体"/>
          <w:sz w:val="32"/>
          <w:szCs w:val="24"/>
        </w:rPr>
        <w:t>五、一般公共预算财政拨款支出决算情况说明</w:t>
      </w:r>
    </w:p>
    <w:p>
      <w:pPr>
        <w:spacing w:line="590" w:lineRule="exact"/>
        <w:ind w:firstLine="640"/>
        <w:rPr>
          <w:rFonts w:eastAsia="Times New Roman"/>
          <w:b/>
          <w:sz w:val="32"/>
          <w:szCs w:val="24"/>
        </w:rPr>
      </w:pPr>
      <w:r>
        <w:rPr>
          <w:rFonts w:hint="eastAsia" w:ascii="楷体_GB2312" w:hAnsi="楷体_GB2312" w:eastAsia="楷体_GB2312"/>
          <w:b/>
          <w:sz w:val="32"/>
          <w:szCs w:val="24"/>
        </w:rPr>
        <w:t>（一）总体情况。</w:t>
      </w:r>
    </w:p>
    <w:p>
      <w:pPr>
        <w:jc w:val="left"/>
        <w:rPr>
          <w:rFonts w:ascii="宋体" w:hAnsi="宋体"/>
          <w:color w:val="000000" w:themeColor="text1"/>
          <w:kern w:val="0"/>
          <w:sz w:val="18"/>
          <w:szCs w:val="24"/>
          <w:lang w:val="zh-CN"/>
          <w14:textFill>
            <w14:solidFill>
              <w14:schemeClr w14:val="tx1"/>
            </w14:solidFill>
          </w14:textFill>
        </w:rPr>
      </w:pPr>
      <w:r>
        <w:rPr>
          <w:rFonts w:hint="eastAsia" w:ascii="仿宋_GB2312" w:hAnsi="仿宋_GB2312" w:eastAsia="仿宋_GB2312"/>
          <w:sz w:val="32"/>
          <w:szCs w:val="24"/>
        </w:rPr>
        <w:t xml:space="preserve">   2021年度一般公共预算财政拨款支出155.54万元，占支出合计的100%。与上年度相比，一般公共预算财政拨款支出增加3.32万元，增长2.18%。</w:t>
      </w:r>
      <w:r>
        <w:rPr>
          <w:rFonts w:hint="eastAsia" w:ascii="仿宋_GB2312" w:hAnsi="仿宋_GB2312" w:eastAsia="仿宋_GB2312"/>
          <w:color w:val="000000" w:themeColor="text1"/>
          <w:sz w:val="32"/>
          <w:szCs w:val="24"/>
          <w14:textFill>
            <w14:solidFill>
              <w14:schemeClr w14:val="tx1"/>
            </w14:solidFill>
          </w14:textFill>
        </w:rPr>
        <w:t>主要原因是工资及各项津补贴提高晋级晋档及调标。</w:t>
      </w:r>
    </w:p>
    <w:p>
      <w:pPr>
        <w:spacing w:line="590" w:lineRule="exact"/>
        <w:ind w:firstLine="640"/>
        <w:rPr>
          <w:rFonts w:eastAsia="Times New Roman"/>
          <w:b/>
          <w:sz w:val="32"/>
          <w:szCs w:val="24"/>
        </w:rPr>
      </w:pPr>
      <w:r>
        <w:rPr>
          <w:rFonts w:hint="eastAsia" w:ascii="楷体_GB2312" w:hAnsi="楷体_GB2312" w:eastAsia="楷体_GB2312"/>
          <w:b/>
          <w:sz w:val="32"/>
          <w:szCs w:val="24"/>
        </w:rPr>
        <w:t>（二）结构情况。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4"/>
        </w:rPr>
        <w:t>2021年度一般公共预算财政拨款支出155.54万元，主要用于以</w:t>
      </w:r>
      <w:bookmarkStart w:id="0" w:name="_GoBack"/>
      <w:bookmarkEnd w:id="0"/>
      <w:r>
        <w:rPr>
          <w:rFonts w:hint="eastAsia" w:ascii="仿宋_GB2312" w:hAnsi="仿宋_GB2312" w:eastAsia="仿宋_GB2312"/>
          <w:sz w:val="32"/>
          <w:szCs w:val="24"/>
        </w:rPr>
        <w:t>下方面：一般公共服务（类）支出117.97万元，占75.85%；</w:t>
      </w:r>
      <w:r>
        <w:rPr>
          <w:rFonts w:hint="eastAsia" w:ascii="仿宋_GB2312" w:hAnsi="仿宋_GB2312" w:eastAsia="仿宋_GB2312" w:cs="仿宋_GB2312"/>
          <w:sz w:val="32"/>
          <w:szCs w:val="32"/>
        </w:rPr>
        <w:t>社会保障和就业（类）支出31.38万元，占20.18%；卫生健康（类）支出6.18万元，占3.97%。</w:t>
      </w:r>
    </w:p>
    <w:p>
      <w:pPr>
        <w:spacing w:line="590" w:lineRule="exact"/>
        <w:ind w:firstLine="642" w:firstLineChars="200"/>
        <w:rPr>
          <w:rFonts w:eastAsia="Times New Roman"/>
          <w:b/>
          <w:sz w:val="32"/>
          <w:szCs w:val="24"/>
        </w:rPr>
      </w:pPr>
      <w:r>
        <w:rPr>
          <w:rFonts w:hint="eastAsia" w:ascii="楷体_GB2312" w:hAnsi="楷体_GB2312" w:eastAsia="楷体_GB2312"/>
          <w:b/>
          <w:sz w:val="32"/>
          <w:szCs w:val="24"/>
        </w:rPr>
        <w:t>（三）具体情况。</w:t>
      </w:r>
    </w:p>
    <w:p>
      <w:pPr>
        <w:spacing w:line="590" w:lineRule="exact"/>
        <w:ind w:firstLine="640"/>
        <w:rPr>
          <w:rFonts w:eastAsia="Times New Roman"/>
          <w:sz w:val="32"/>
          <w:szCs w:val="24"/>
        </w:rPr>
      </w:pPr>
      <w:r>
        <w:rPr>
          <w:rFonts w:hint="eastAsia" w:ascii="仿宋_GB2312" w:hAnsi="仿宋_GB2312" w:eastAsia="仿宋_GB2312"/>
          <w:sz w:val="32"/>
          <w:szCs w:val="24"/>
        </w:rPr>
        <w:t>2021年度一般公共预算财政拨款支出年初预算为155.99万元，支出决算为155.54万元，完成年初预算的99.71%。其中：</w:t>
      </w:r>
    </w:p>
    <w:p>
      <w:pPr>
        <w:spacing w:line="59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1．一般公共服务支出（类）群众团体事务（款）行政运行（项）。</w:t>
      </w:r>
      <w:r>
        <w:rPr>
          <w:rFonts w:hint="eastAsia" w:ascii="仿宋_GB2312" w:hAnsi="仿宋_GB2312" w:eastAsia="仿宋_GB2312" w:cs="仿宋_GB2312"/>
          <w:sz w:val="32"/>
          <w:szCs w:val="32"/>
        </w:rPr>
        <w:t>年初预算为116.35万元，支出决算为117.40万元，完成年初预算的100.90%。决算数与年初预算数存在差异的</w:t>
      </w:r>
      <w:r>
        <w:rPr>
          <w:rFonts w:hint="eastAsia" w:ascii="仿宋_GB2312" w:hAnsi="仿宋_GB2312" w:eastAsia="仿宋_GB2312"/>
          <w:sz w:val="32"/>
          <w:szCs w:val="24"/>
        </w:rPr>
        <w:t>主要</w:t>
      </w:r>
      <w:r>
        <w:rPr>
          <w:rFonts w:hint="eastAsia" w:ascii="仿宋_GB2312" w:hAnsi="仿宋_GB2312" w:eastAsia="仿宋_GB2312"/>
          <w:color w:val="000000" w:themeColor="text1"/>
          <w:sz w:val="32"/>
          <w:szCs w:val="24"/>
          <w14:textFill>
            <w14:solidFill>
              <w14:schemeClr w14:val="tx1"/>
            </w14:solidFill>
          </w14:textFill>
        </w:rPr>
        <w:t>原因是工资提高，晋级晋档及各项津补贴的调标。</w:t>
      </w:r>
    </w:p>
    <w:p>
      <w:pPr>
        <w:widowControl/>
        <w:spacing w:line="590" w:lineRule="exact"/>
        <w:ind w:firstLine="481" w:firstLineChars="15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2．一般公共服务支出（类）群众团体事务（款）工会事务（项）。</w:t>
      </w:r>
      <w:r>
        <w:rPr>
          <w:rFonts w:hint="eastAsia" w:ascii="仿宋_GB2312" w:hAnsi="仿宋_GB2312" w:eastAsia="仿宋_GB2312" w:cs="仿宋_GB2312"/>
          <w:sz w:val="32"/>
          <w:szCs w:val="32"/>
        </w:rPr>
        <w:t>年初预算为0.57万元，支出决算为0.57万元，完成年初预算的100%。决算数与年初预算数不存在差异。</w:t>
      </w:r>
    </w:p>
    <w:p>
      <w:pPr>
        <w:widowControl/>
        <w:spacing w:line="590" w:lineRule="exact"/>
        <w:ind w:firstLine="642"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3．社会保障和就业支出（类）行政事业单位养老支出（款）行政单位离退休（项）。</w:t>
      </w:r>
      <w:r>
        <w:rPr>
          <w:rFonts w:hint="eastAsia" w:ascii="仿宋_GB2312" w:hAnsi="仿宋_GB2312" w:eastAsia="仿宋_GB2312" w:cs="仿宋_GB2312"/>
          <w:sz w:val="32"/>
          <w:szCs w:val="32"/>
        </w:rPr>
        <w:t>年初预算为25.57万元，支出决算为24.87万元，完成年初预算的97.26%。决算数与年初预算数存在差异的主要原因是上年度结转资金的使用。</w:t>
      </w:r>
    </w:p>
    <w:p>
      <w:pPr>
        <w:widowControl/>
        <w:spacing w:line="590" w:lineRule="exact"/>
        <w:ind w:firstLine="642"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4．社会保障和就业支出（类）行政事业单位养老支出（款）机关事业单位基本养老保险缴费支出（项）。</w:t>
      </w:r>
      <w:r>
        <w:rPr>
          <w:rFonts w:hint="eastAsia" w:ascii="仿宋_GB2312" w:hAnsi="仿宋_GB2312" w:eastAsia="仿宋_GB2312" w:cs="仿宋_GB2312"/>
          <w:sz w:val="32"/>
          <w:szCs w:val="32"/>
        </w:rPr>
        <w:t>年初预算为6.73万元，支出决算为6.51万元，完成年初预算的96.73%。决算数与年初预算数存在差异的主要原因是上年度结转资金的使用。</w:t>
      </w:r>
    </w:p>
    <w:p>
      <w:pPr>
        <w:widowControl/>
        <w:spacing w:line="590" w:lineRule="exact"/>
        <w:ind w:firstLine="642"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5．卫生健康支出（类）行政事业单位医疗（款）行政单位医疗（项）。</w:t>
      </w:r>
      <w:r>
        <w:rPr>
          <w:rFonts w:hint="eastAsia" w:ascii="仿宋_GB2312" w:hAnsi="仿宋_GB2312" w:eastAsia="仿宋_GB2312" w:cs="仿宋_GB2312"/>
          <w:sz w:val="32"/>
          <w:szCs w:val="32"/>
        </w:rPr>
        <w:t>年初预算为3.47万元，支出决算为3.44万元，完成年初预算的99.14%。决算数与年初预算数存在差异的主要原因是上年度结转资金的使用。</w:t>
      </w:r>
    </w:p>
    <w:p>
      <w:pPr>
        <w:widowControl/>
        <w:spacing w:line="590" w:lineRule="exact"/>
        <w:ind w:firstLine="642"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6．卫生健康支出（类）行政事业单位医疗（款）公务员医疗补助（项）。</w:t>
      </w:r>
      <w:r>
        <w:rPr>
          <w:rFonts w:hint="eastAsia" w:ascii="仿宋_GB2312" w:hAnsi="仿宋_GB2312" w:eastAsia="仿宋_GB2312" w:cs="仿宋_GB2312"/>
          <w:sz w:val="32"/>
          <w:szCs w:val="32"/>
        </w:rPr>
        <w:t>年初预算为3.30万元，支出决算为2.74万元，完成年初预算的83.03%。决算数与年初预算数存在差异的主要原因是上年度结转资金的使用。</w:t>
      </w:r>
    </w:p>
    <w:p>
      <w:pPr>
        <w:spacing w:line="590" w:lineRule="exact"/>
        <w:ind w:firstLine="640" w:firstLineChars="200"/>
        <w:rPr>
          <w:rFonts w:eastAsia="Times New Roman"/>
          <w:sz w:val="32"/>
          <w:szCs w:val="24"/>
        </w:rPr>
      </w:pPr>
      <w:r>
        <w:rPr>
          <w:rFonts w:hint="eastAsia" w:ascii="黑体" w:hAnsi="黑体" w:eastAsia="黑体"/>
          <w:sz w:val="32"/>
          <w:szCs w:val="24"/>
        </w:rPr>
        <w:t>六、一般公共预算财政拨款基本支出决算情况说明</w:t>
      </w:r>
    </w:p>
    <w:p>
      <w:pPr>
        <w:spacing w:line="590" w:lineRule="exact"/>
        <w:ind w:firstLine="640"/>
        <w:rPr>
          <w:rFonts w:ascii="仿宋_GB2312" w:hAnsi="仿宋_GB2312" w:eastAsia="仿宋_GB2312"/>
          <w:sz w:val="32"/>
          <w:szCs w:val="24"/>
        </w:rPr>
      </w:pPr>
      <w:r>
        <w:rPr>
          <w:rFonts w:hint="eastAsia" w:ascii="仿宋_GB2312" w:hAnsi="仿宋_GB2312" w:eastAsia="仿宋_GB2312"/>
          <w:sz w:val="32"/>
          <w:szCs w:val="24"/>
        </w:rPr>
        <w:t>2021年度一般公共预算财政拨款基本支出155.54万元。其中：人员经费131.50万元，主要包括：基本工资、津贴补贴、奖金</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机关事业单位基本养老保险缴费、职工基本医疗保险缴费、公务员医疗补助缴费</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其他社会保障缴费、住房公积金</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其他工资福利支出、退休费等；公用经费24.04万元，主要包括：办公费、印刷费、水费、邮电费、物业管理费、差旅费、公务接待费、劳务费、工会经费、福利费、公务用车运行维护费、其他交通费用、其他商品和服务支出。</w:t>
      </w:r>
    </w:p>
    <w:p>
      <w:pPr>
        <w:spacing w:line="590" w:lineRule="exact"/>
        <w:ind w:firstLine="640"/>
        <w:rPr>
          <w:rFonts w:hint="eastAsia" w:ascii="黑体" w:hAnsi="黑体" w:eastAsia="黑体"/>
          <w:sz w:val="32"/>
          <w:szCs w:val="24"/>
        </w:rPr>
      </w:pPr>
      <w:r>
        <w:rPr>
          <w:rFonts w:hint="eastAsia" w:ascii="黑体" w:hAnsi="黑体" w:eastAsia="黑体"/>
          <w:sz w:val="32"/>
          <w:szCs w:val="24"/>
        </w:rPr>
        <w:t>七、一般公共预算财政拨款</w:t>
      </w:r>
      <w:r>
        <w:rPr>
          <w:rFonts w:hint="eastAsia" w:ascii="黑体" w:hAnsi="黑体" w:eastAsia="黑体"/>
          <w:sz w:val="32"/>
          <w:szCs w:val="24"/>
          <w:lang w:eastAsia="zh-CN"/>
        </w:rPr>
        <w:t>“</w:t>
      </w:r>
      <w:r>
        <w:rPr>
          <w:rFonts w:hint="eastAsia" w:ascii="黑体" w:hAnsi="黑体" w:eastAsia="黑体"/>
          <w:sz w:val="32"/>
          <w:szCs w:val="24"/>
        </w:rPr>
        <w:t>三公</w:t>
      </w:r>
      <w:r>
        <w:rPr>
          <w:rFonts w:hint="eastAsia" w:ascii="黑体" w:hAnsi="黑体" w:eastAsia="黑体"/>
          <w:sz w:val="32"/>
          <w:szCs w:val="24"/>
          <w:lang w:eastAsia="zh-CN"/>
        </w:rPr>
        <w:t>”</w:t>
      </w:r>
      <w:r>
        <w:rPr>
          <w:rFonts w:hint="eastAsia" w:ascii="黑体" w:hAnsi="黑体" w:eastAsia="黑体"/>
          <w:sz w:val="32"/>
          <w:szCs w:val="24"/>
        </w:rPr>
        <w:t>经费支出决算情况说明</w:t>
      </w:r>
    </w:p>
    <w:p>
      <w:pPr>
        <w:spacing w:line="590" w:lineRule="exact"/>
        <w:ind w:firstLine="640"/>
        <w:rPr>
          <w:rFonts w:eastAsia="Times New Roman"/>
          <w:b/>
          <w:sz w:val="32"/>
          <w:szCs w:val="24"/>
        </w:rPr>
      </w:pPr>
      <w:r>
        <w:rPr>
          <w:rFonts w:hint="eastAsia" w:ascii="楷体_GB2312" w:hAnsi="楷体_GB2312" w:eastAsia="楷体_GB2312"/>
          <w:b/>
          <w:sz w:val="32"/>
          <w:szCs w:val="24"/>
        </w:rPr>
        <w:t>（一）</w:t>
      </w:r>
      <w:r>
        <w:rPr>
          <w:rFonts w:hint="eastAsia" w:ascii="楷体_GB2312" w:hAnsi="楷体_GB2312" w:eastAsia="楷体_GB2312"/>
          <w:b/>
          <w:sz w:val="32"/>
          <w:szCs w:val="24"/>
          <w:lang w:eastAsia="zh-CN"/>
        </w:rPr>
        <w:t>“</w:t>
      </w:r>
      <w:r>
        <w:rPr>
          <w:rFonts w:hint="eastAsia" w:ascii="楷体_GB2312" w:hAnsi="楷体_GB2312" w:eastAsia="楷体_GB2312"/>
          <w:b/>
          <w:sz w:val="32"/>
          <w:szCs w:val="24"/>
        </w:rPr>
        <w:t>三公</w:t>
      </w:r>
      <w:r>
        <w:rPr>
          <w:rFonts w:hint="eastAsia" w:ascii="楷体_GB2312" w:hAnsi="楷体_GB2312" w:eastAsia="楷体_GB2312"/>
          <w:b/>
          <w:sz w:val="32"/>
          <w:szCs w:val="24"/>
          <w:lang w:eastAsia="zh-CN"/>
        </w:rPr>
        <w:t>”</w:t>
      </w:r>
      <w:r>
        <w:rPr>
          <w:rFonts w:hint="eastAsia" w:ascii="楷体_GB2312" w:hAnsi="楷体_GB2312" w:eastAsia="楷体_GB2312"/>
          <w:b/>
          <w:sz w:val="32"/>
          <w:szCs w:val="24"/>
        </w:rPr>
        <w:t>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olor w:val="000000" w:themeColor="text1"/>
          <w:sz w:val="32"/>
          <w:szCs w:val="24"/>
          <w14:textFill>
            <w14:solidFill>
              <w14:schemeClr w14:val="tx1"/>
            </w14:solidFill>
          </w14:textFill>
        </w:rPr>
        <w:t>2021年度</w:t>
      </w:r>
      <w:r>
        <w:rPr>
          <w:rFonts w:hint="eastAsia" w:ascii="仿宋_GB2312" w:hAnsi="仿宋_GB2312" w:eastAsia="仿宋_GB2312"/>
          <w:color w:val="000000" w:themeColor="text1"/>
          <w:sz w:val="32"/>
          <w:szCs w:val="24"/>
          <w:lang w:eastAsia="zh-CN"/>
          <w14:textFill>
            <w14:solidFill>
              <w14:schemeClr w14:val="tx1"/>
            </w14:solidFill>
          </w14:textFill>
        </w:rPr>
        <w:t>“</w:t>
      </w:r>
      <w:r>
        <w:rPr>
          <w:rFonts w:hint="eastAsia" w:ascii="仿宋_GB2312" w:hAnsi="仿宋_GB2312" w:eastAsia="仿宋_GB2312"/>
          <w:color w:val="000000" w:themeColor="text1"/>
          <w:sz w:val="32"/>
          <w:szCs w:val="24"/>
          <w14:textFill>
            <w14:solidFill>
              <w14:schemeClr w14:val="tx1"/>
            </w14:solidFill>
          </w14:textFill>
        </w:rPr>
        <w:t>三公</w:t>
      </w:r>
      <w:r>
        <w:rPr>
          <w:rFonts w:hint="eastAsia" w:ascii="仿宋_GB2312" w:hAnsi="仿宋_GB2312" w:eastAsia="仿宋_GB2312"/>
          <w:color w:val="000000" w:themeColor="text1"/>
          <w:sz w:val="32"/>
          <w:szCs w:val="24"/>
          <w:lang w:eastAsia="zh-CN"/>
          <w14:textFill>
            <w14:solidFill>
              <w14:schemeClr w14:val="tx1"/>
            </w14:solidFill>
          </w14:textFill>
        </w:rPr>
        <w:t>”</w:t>
      </w:r>
      <w:r>
        <w:rPr>
          <w:rFonts w:hint="eastAsia" w:ascii="仿宋_GB2312" w:hAnsi="仿宋_GB2312" w:eastAsia="仿宋_GB2312"/>
          <w:color w:val="000000" w:themeColor="text1"/>
          <w:sz w:val="32"/>
          <w:szCs w:val="24"/>
          <w14:textFill>
            <w14:solidFill>
              <w14:schemeClr w14:val="tx1"/>
            </w14:solidFill>
          </w14:textFill>
        </w:rPr>
        <w:t>经费财政拨款支出预算为4.30万元，支出决算为1.30万元，完成预算的30.23%。</w:t>
      </w:r>
      <w:r>
        <w:rPr>
          <w:rFonts w:hint="eastAsia" w:ascii="仿宋_GB2312" w:hAnsi="仿宋_GB2312" w:eastAsia="仿宋_GB2312"/>
          <w:sz w:val="32"/>
          <w:szCs w:val="24"/>
        </w:rPr>
        <w:t>2021年度</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三公</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经费支出决算数与预算数存在差异的主要原因是</w:t>
      </w:r>
      <w:r>
        <w:rPr>
          <w:rFonts w:hint="eastAsia" w:ascii="仿宋_GB2312" w:hAnsi="仿宋_GB2312" w:eastAsia="仿宋_GB2312" w:cs="仿宋_GB2312"/>
          <w:sz w:val="32"/>
          <w:szCs w:val="32"/>
        </w:rPr>
        <w:t>疫情原因减少不必要的公务接待及公务用车的支出。</w:t>
      </w:r>
    </w:p>
    <w:p>
      <w:pPr>
        <w:widowControl/>
        <w:spacing w:line="590" w:lineRule="exact"/>
        <w:ind w:firstLine="642" w:firstLineChars="200"/>
        <w:rPr>
          <w:rFonts w:eastAsia="Times New Roman"/>
          <w:b/>
          <w:sz w:val="32"/>
          <w:szCs w:val="24"/>
        </w:rPr>
      </w:pPr>
      <w:r>
        <w:rPr>
          <w:rFonts w:hint="eastAsia" w:ascii="楷体_GB2312" w:hAnsi="楷体_GB2312" w:eastAsia="楷体_GB2312"/>
          <w:b/>
          <w:sz w:val="32"/>
          <w:szCs w:val="24"/>
        </w:rPr>
        <w:t>（二）</w:t>
      </w:r>
      <w:r>
        <w:rPr>
          <w:rFonts w:hint="eastAsia" w:ascii="楷体_GB2312" w:hAnsi="楷体_GB2312" w:eastAsia="楷体_GB2312"/>
          <w:b/>
          <w:sz w:val="32"/>
          <w:szCs w:val="24"/>
          <w:lang w:eastAsia="zh-CN"/>
        </w:rPr>
        <w:t>“</w:t>
      </w:r>
      <w:r>
        <w:rPr>
          <w:rFonts w:hint="eastAsia" w:ascii="楷体_GB2312" w:hAnsi="楷体_GB2312" w:eastAsia="楷体_GB2312"/>
          <w:b/>
          <w:sz w:val="32"/>
          <w:szCs w:val="24"/>
        </w:rPr>
        <w:t>三公</w:t>
      </w:r>
      <w:r>
        <w:rPr>
          <w:rFonts w:hint="eastAsia" w:ascii="楷体_GB2312" w:hAnsi="楷体_GB2312" w:eastAsia="楷体_GB2312"/>
          <w:b/>
          <w:sz w:val="32"/>
          <w:szCs w:val="24"/>
          <w:lang w:eastAsia="zh-CN"/>
        </w:rPr>
        <w:t>”</w:t>
      </w:r>
      <w:r>
        <w:rPr>
          <w:rFonts w:hint="eastAsia" w:ascii="楷体_GB2312" w:hAnsi="楷体_GB2312" w:eastAsia="楷体_GB2312"/>
          <w:b/>
          <w:sz w:val="32"/>
          <w:szCs w:val="24"/>
        </w:rPr>
        <w:t>经费财政拨款支出决算具体情况说明。</w:t>
      </w:r>
    </w:p>
    <w:p>
      <w:pPr>
        <w:spacing w:line="590" w:lineRule="exact"/>
        <w:ind w:firstLine="640"/>
        <w:rPr>
          <w:rFonts w:eastAsia="Times New Roman"/>
          <w:color w:val="000000" w:themeColor="text1"/>
          <w:kern w:val="0"/>
          <w:sz w:val="18"/>
          <w:szCs w:val="24"/>
          <w14:textFill>
            <w14:solidFill>
              <w14:schemeClr w14:val="tx1"/>
            </w14:solidFill>
          </w14:textFill>
        </w:rPr>
      </w:pPr>
      <w:r>
        <w:rPr>
          <w:rFonts w:hint="eastAsia" w:ascii="仿宋_GB2312" w:hAnsi="仿宋_GB2312" w:eastAsia="仿宋_GB2312"/>
          <w:sz w:val="32"/>
          <w:szCs w:val="24"/>
        </w:rPr>
        <w:t>2021年度</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三公</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经费财政拨款支出决算中，因公出国（境）费支出决算0万元；</w:t>
      </w:r>
      <w:r>
        <w:rPr>
          <w:rFonts w:hint="eastAsia" w:ascii="仿宋_GB2312" w:hAnsi="仿宋_GB2312" w:eastAsia="仿宋_GB2312"/>
          <w:color w:val="000000" w:themeColor="text1"/>
          <w:sz w:val="32"/>
          <w:szCs w:val="24"/>
          <w14:textFill>
            <w14:solidFill>
              <w14:schemeClr w14:val="tx1"/>
            </w14:solidFill>
          </w14:textFill>
        </w:rPr>
        <w:t>公务用车购置及运行费支出决算1.25万元，完成预算的31.25%，占29.07%；公务接待费支出决算0.05万元，完成预算的16.67%，占1.16%；具体情况如下：</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b/>
          <w:sz w:val="32"/>
          <w:szCs w:val="24"/>
        </w:rPr>
        <w:t>因公出国（境）费</w:t>
      </w:r>
      <w:r>
        <w:rPr>
          <w:rFonts w:hint="eastAsia" w:ascii="仿宋_GB2312" w:hAnsi="仿宋_GB2312" w:eastAsia="仿宋_GB2312"/>
          <w:sz w:val="32"/>
          <w:szCs w:val="24"/>
        </w:rPr>
        <w:t>预算为0万元，支出决算为0万元。决算数与预算数不存在差异</w:t>
      </w:r>
      <w:r>
        <w:rPr>
          <w:rFonts w:hint="eastAsia" w:ascii="仿宋_GB2312" w:hAnsi="仿宋_GB2312" w:eastAsia="仿宋_GB2312" w:cs="仿宋_GB2312"/>
          <w:sz w:val="32"/>
          <w:szCs w:val="32"/>
        </w:rPr>
        <w:t>。</w:t>
      </w:r>
      <w:r>
        <w:rPr>
          <w:rFonts w:hint="eastAsia" w:ascii="仿宋_GB2312" w:hAnsi="仿宋_GB2312" w:eastAsia="仿宋_GB2312"/>
          <w:sz w:val="32"/>
          <w:szCs w:val="24"/>
        </w:rPr>
        <w:t>因公出国（境）团组数0个，因公出国（境）人次数0人。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b/>
          <w:sz w:val="32"/>
          <w:szCs w:val="24"/>
        </w:rPr>
        <w:t>2．公务用车购置及运行费</w:t>
      </w:r>
      <w:r>
        <w:rPr>
          <w:rFonts w:hint="eastAsia" w:ascii="仿宋_GB2312" w:hAnsi="仿宋_GB2312" w:eastAsia="仿宋_GB2312"/>
          <w:sz w:val="32"/>
          <w:szCs w:val="24"/>
        </w:rPr>
        <w:t>预算为4万元，支出决算为1.25万元，完成预算的31.25%，决算数与年初预算数存在差异的主要原因是</w:t>
      </w:r>
      <w:r>
        <w:rPr>
          <w:rFonts w:hint="eastAsia" w:ascii="仿宋_GB2312" w:hAnsi="仿宋_GB2312" w:eastAsia="仿宋_GB2312" w:cs="仿宋_GB2312"/>
          <w:sz w:val="32"/>
          <w:szCs w:val="32"/>
        </w:rPr>
        <w:t>严控公务用车的使用，修理、及不必要的油耗支出。其中：</w:t>
      </w:r>
    </w:p>
    <w:p>
      <w:pPr>
        <w:spacing w:line="590" w:lineRule="exact"/>
        <w:ind w:firstLine="640"/>
        <w:rPr>
          <w:rFonts w:ascii="仿宋_GB2312" w:hAnsi="仿宋_GB2312" w:eastAsia="仿宋_GB2312"/>
          <w:sz w:val="32"/>
          <w:szCs w:val="24"/>
        </w:rPr>
      </w:pPr>
      <w:r>
        <w:rPr>
          <w:rFonts w:hint="eastAsia" w:ascii="仿宋_GB2312" w:hAnsi="仿宋_GB2312" w:eastAsia="仿宋_GB2312"/>
          <w:b/>
          <w:sz w:val="32"/>
          <w:szCs w:val="24"/>
        </w:rPr>
        <w:t>公务用车购置支出</w:t>
      </w:r>
      <w:r>
        <w:rPr>
          <w:rFonts w:hint="eastAsia" w:ascii="仿宋_GB2312" w:hAnsi="仿宋_GB2312" w:eastAsia="仿宋_GB2312"/>
          <w:sz w:val="32"/>
          <w:szCs w:val="24"/>
        </w:rPr>
        <w:t>0万元，购置车辆0台。</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b/>
          <w:sz w:val="32"/>
          <w:szCs w:val="24"/>
        </w:rPr>
        <w:t>公务用车运行支出</w:t>
      </w:r>
      <w:r>
        <w:rPr>
          <w:rFonts w:hint="eastAsia" w:ascii="仿宋_GB2312" w:hAnsi="仿宋_GB2312" w:eastAsia="仿宋_GB2312"/>
          <w:sz w:val="32"/>
          <w:szCs w:val="24"/>
        </w:rPr>
        <w:t>1.25万元。</w:t>
      </w:r>
      <w:r>
        <w:rPr>
          <w:rFonts w:hint="eastAsia" w:ascii="仿宋_GB2312" w:hAnsi="仿宋_GB2312" w:eastAsia="仿宋_GB2312" w:cs="仿宋_GB2312"/>
          <w:sz w:val="32"/>
          <w:szCs w:val="32"/>
        </w:rPr>
        <w:t>主要用于公车修理，路桥费和保险费油耗支出。</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2021年期末，单位开支财政拨款的公务用车保有量为1</w:t>
      </w:r>
      <w:r>
        <w:rPr>
          <w:rFonts w:hint="eastAsia" w:ascii="仿宋_GB2312" w:hAnsi="仿宋_GB2312" w:eastAsia="仿宋_GB2312"/>
          <w:sz w:val="32"/>
          <w:szCs w:val="24"/>
          <w:lang w:eastAsia="zh-CN"/>
        </w:rPr>
        <w:t>辆</w:t>
      </w:r>
      <w:r>
        <w:rPr>
          <w:rFonts w:hint="eastAsia" w:ascii="仿宋_GB2312" w:hAnsi="仿宋_GB2312" w:eastAsia="仿宋_GB2312"/>
          <w:sz w:val="32"/>
          <w:szCs w:val="24"/>
        </w:rPr>
        <w:t>。</w:t>
      </w:r>
    </w:p>
    <w:p>
      <w:pPr>
        <w:spacing w:line="590" w:lineRule="exact"/>
        <w:ind w:firstLine="640"/>
        <w:rPr>
          <w:rFonts w:eastAsia="Times New Roman"/>
          <w:sz w:val="32"/>
          <w:szCs w:val="24"/>
        </w:rPr>
      </w:pPr>
      <w:r>
        <w:rPr>
          <w:rFonts w:hint="eastAsia" w:ascii="仿宋_GB2312" w:hAnsi="仿宋_GB2312" w:eastAsia="仿宋_GB2312"/>
          <w:b/>
          <w:sz w:val="32"/>
          <w:szCs w:val="24"/>
        </w:rPr>
        <w:t>3.公务接待费</w:t>
      </w:r>
      <w:r>
        <w:rPr>
          <w:rFonts w:hint="eastAsia" w:ascii="仿宋_GB2312" w:hAnsi="仿宋_GB2312" w:eastAsia="仿宋_GB2312"/>
          <w:sz w:val="32"/>
          <w:szCs w:val="24"/>
        </w:rPr>
        <w:t>预算为0.30万元，支出决算为0.05万元，完成年初预算的16.67%。决算数与年初预算数存在差异的主要原因是</w:t>
      </w:r>
      <w:r>
        <w:rPr>
          <w:rFonts w:hint="eastAsia" w:ascii="仿宋_GB2312" w:hAnsi="仿宋_GB2312" w:eastAsia="仿宋_GB2312" w:cs="仿宋_GB2312"/>
          <w:sz w:val="32"/>
          <w:szCs w:val="32"/>
        </w:rPr>
        <w:t>按照八项规定减少不必要的接待</w:t>
      </w:r>
      <w:r>
        <w:rPr>
          <w:rFonts w:hint="eastAsia" w:ascii="仿宋_GB2312" w:hAnsi="仿宋_GB2312" w:eastAsia="仿宋_GB2312"/>
          <w:sz w:val="32"/>
          <w:szCs w:val="24"/>
        </w:rPr>
        <w:t>。其中：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0万元。2021年共接待国（境）外来访团组0个、来访外宾0人次（不包括陪同人员）。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0.05万元。主要用于省社科联调研。2021年共接待国内来访团组1个、来宾10人次（不包括陪同人员）。</w:t>
      </w:r>
    </w:p>
    <w:p>
      <w:pPr>
        <w:spacing w:line="590" w:lineRule="exact"/>
        <w:ind w:firstLine="640"/>
        <w:rPr>
          <w:rFonts w:eastAsia="Times New Roman"/>
          <w:sz w:val="32"/>
          <w:szCs w:val="24"/>
        </w:rPr>
      </w:pPr>
      <w:r>
        <w:rPr>
          <w:rFonts w:hint="eastAsia" w:ascii="黑体" w:hAnsi="黑体" w:eastAsia="黑体"/>
          <w:sz w:val="32"/>
          <w:szCs w:val="24"/>
        </w:rPr>
        <w:t>八、政府性基金预算财政拨款支出决算情况说明</w:t>
      </w:r>
    </w:p>
    <w:p>
      <w:pPr>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2021年度政府性基金预算财政拨款支出年初预算为0万元，支出决算为0万元。主要原因：我部门2021年度没有政府性基金收入，也没有使用政府性基金安排的支出。</w:t>
      </w:r>
    </w:p>
    <w:p>
      <w:pPr>
        <w:spacing w:line="590" w:lineRule="exact"/>
        <w:ind w:firstLine="640"/>
        <w:rPr>
          <w:rFonts w:eastAsia="Times New Roman"/>
          <w:sz w:val="32"/>
          <w:szCs w:val="24"/>
        </w:rPr>
      </w:pPr>
      <w:r>
        <w:rPr>
          <w:rFonts w:hint="eastAsia" w:ascii="黑体" w:hAnsi="黑体" w:eastAsia="黑体"/>
          <w:sz w:val="32"/>
          <w:szCs w:val="24"/>
        </w:rPr>
        <w:t>九、机关运行经费支出情况说明</w:t>
      </w:r>
    </w:p>
    <w:p>
      <w:pPr>
        <w:widowControl/>
        <w:spacing w:line="590" w:lineRule="exact"/>
        <w:ind w:firstLine="640" w:firstLineChars="200"/>
        <w:rPr>
          <w:rFonts w:ascii="仿宋_GB2312" w:hAnsi="仿宋_GB2312" w:eastAsia="仿宋_GB2312"/>
          <w:color w:val="FF0000"/>
          <w:sz w:val="32"/>
          <w:szCs w:val="24"/>
        </w:rPr>
      </w:pPr>
      <w:r>
        <w:rPr>
          <w:rFonts w:hint="eastAsia" w:ascii="仿宋_GB2312" w:hAnsi="仿宋_GB2312" w:eastAsia="仿宋_GB2312"/>
          <w:sz w:val="32"/>
          <w:szCs w:val="24"/>
        </w:rPr>
        <w:t>2021年度机关运行经费年初预算为27万元，支出决算为</w:t>
      </w:r>
      <w:r>
        <w:rPr>
          <w:rFonts w:hint="eastAsia" w:ascii="仿宋_GB2312" w:hAnsi="仿宋_GB2312" w:eastAsia="仿宋_GB2312"/>
          <w:color w:val="000000" w:themeColor="text1"/>
          <w:sz w:val="32"/>
          <w:szCs w:val="24"/>
          <w14:textFill>
            <w14:solidFill>
              <w14:schemeClr w14:val="tx1"/>
            </w14:solidFill>
          </w14:textFill>
        </w:rPr>
        <w:t>24.04</w:t>
      </w:r>
      <w:r>
        <w:rPr>
          <w:rFonts w:hint="eastAsia" w:ascii="仿宋_GB2312" w:hAnsi="仿宋_GB2312" w:eastAsia="仿宋_GB2312"/>
          <w:sz w:val="32"/>
          <w:szCs w:val="24"/>
        </w:rPr>
        <w:t>万元，完成年初预算的84.70%。</w:t>
      </w:r>
      <w:r>
        <w:rPr>
          <w:rFonts w:hint="eastAsia" w:ascii="仿宋_GB2312" w:hAnsi="仿宋_GB2312" w:eastAsia="仿宋_GB2312" w:cs="仿宋_GB2312"/>
          <w:sz w:val="32"/>
          <w:szCs w:val="32"/>
        </w:rPr>
        <w:t>决算数与年初预算数存在差异的主要原因是压缩支出。</w:t>
      </w:r>
    </w:p>
    <w:p>
      <w:pPr>
        <w:spacing w:line="590" w:lineRule="exact"/>
        <w:ind w:firstLine="640"/>
        <w:rPr>
          <w:rFonts w:eastAsia="Times New Roman"/>
          <w:sz w:val="32"/>
          <w:szCs w:val="24"/>
        </w:rPr>
      </w:pPr>
      <w:r>
        <w:rPr>
          <w:rFonts w:hint="eastAsia" w:ascii="黑体" w:hAnsi="黑体" w:eastAsia="黑体"/>
          <w:sz w:val="32"/>
          <w:szCs w:val="24"/>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4"/>
        </w:rPr>
        <w:t>2021年度政府采购支出总额</w:t>
      </w:r>
      <w:r>
        <w:rPr>
          <w:rFonts w:hint="eastAsia" w:ascii="仿宋_GB2312" w:hAnsi="仿宋_GB2312" w:eastAsia="仿宋_GB2312" w:cs="仿宋_GB2312"/>
          <w:color w:val="000000"/>
          <w:sz w:val="32"/>
          <w:szCs w:val="32"/>
        </w:rPr>
        <w:t>0</w:t>
      </w:r>
      <w:r>
        <w:rPr>
          <w:rFonts w:hint="eastAsia" w:ascii="仿宋_GB2312" w:hAnsi="仿宋_GB2312" w:eastAsia="仿宋_GB2312"/>
          <w:sz w:val="32"/>
          <w:szCs w:val="24"/>
        </w:rPr>
        <w:t>万元，其中：政府采购货物支出</w:t>
      </w:r>
      <w:r>
        <w:rPr>
          <w:rFonts w:hint="eastAsia" w:ascii="仿宋_GB2312" w:hAnsi="仿宋_GB2312" w:eastAsia="仿宋_GB2312" w:cs="仿宋_GB2312"/>
          <w:color w:val="000000"/>
          <w:sz w:val="32"/>
          <w:szCs w:val="32"/>
        </w:rPr>
        <w:t>0</w:t>
      </w:r>
      <w:r>
        <w:rPr>
          <w:rFonts w:hint="eastAsia" w:ascii="仿宋_GB2312" w:hAnsi="仿宋_GB2312" w:eastAsia="仿宋_GB2312"/>
          <w:sz w:val="32"/>
          <w:szCs w:val="24"/>
        </w:rPr>
        <w:t>万元、政府采购工程支出</w:t>
      </w:r>
      <w:r>
        <w:rPr>
          <w:rFonts w:hint="eastAsia" w:ascii="仿宋_GB2312" w:hAnsi="仿宋_GB2312" w:eastAsia="仿宋_GB2312" w:cs="仿宋_GB2312"/>
          <w:color w:val="000000"/>
          <w:sz w:val="32"/>
          <w:szCs w:val="32"/>
        </w:rPr>
        <w:t>0</w:t>
      </w:r>
      <w:r>
        <w:rPr>
          <w:rFonts w:hint="eastAsia" w:ascii="仿宋_GB2312" w:hAnsi="仿宋_GB2312" w:eastAsia="仿宋_GB2312"/>
          <w:sz w:val="32"/>
          <w:szCs w:val="24"/>
        </w:rPr>
        <w:t>万元、</w:t>
      </w:r>
      <w:r>
        <w:rPr>
          <w:rFonts w:hint="eastAsia" w:ascii="仿宋_GB2312" w:hAnsi="仿宋_GB2312" w:eastAsia="仿宋_GB2312" w:cs="仿宋_GB2312"/>
          <w:sz w:val="32"/>
          <w:szCs w:val="32"/>
        </w:rPr>
        <w:t>政府采购服务支出0万元。授予中小企业合同金额0万元，其中：授予小微企业合同金额0万元。</w:t>
      </w:r>
    </w:p>
    <w:p>
      <w:pPr>
        <w:spacing w:line="590" w:lineRule="exact"/>
        <w:ind w:firstLine="640"/>
        <w:rPr>
          <w:rFonts w:eastAsia="Times New Roman"/>
          <w:sz w:val="32"/>
          <w:szCs w:val="24"/>
        </w:rPr>
      </w:pPr>
      <w:r>
        <w:rPr>
          <w:rFonts w:hint="eastAsia" w:ascii="黑体" w:hAnsi="黑体" w:eastAsia="黑体"/>
          <w:sz w:val="32"/>
          <w:szCs w:val="24"/>
        </w:rPr>
        <w:t>十一、国有资产占用情况说明</w:t>
      </w:r>
    </w:p>
    <w:p>
      <w:pPr>
        <w:spacing w:line="590" w:lineRule="exact"/>
        <w:ind w:firstLine="640"/>
        <w:rPr>
          <w:rFonts w:ascii="仿宋_GB2312" w:hAnsi="仿宋_GB2312" w:eastAsia="仿宋_GB2312" w:cs="仿宋_GB2312"/>
          <w:sz w:val="32"/>
          <w:szCs w:val="32"/>
        </w:rPr>
      </w:pPr>
      <w:r>
        <w:rPr>
          <w:rFonts w:hint="eastAsia" w:ascii="仿宋_GB2312" w:hAnsi="仿宋_GB2312" w:eastAsia="仿宋_GB2312"/>
          <w:sz w:val="32"/>
          <w:szCs w:val="24"/>
        </w:rPr>
        <w:t>2021年期末，我</w:t>
      </w:r>
      <w:r>
        <w:rPr>
          <w:rFonts w:hint="eastAsia" w:ascii="仿宋_GB2312" w:hAnsi="仿宋_GB2312" w:eastAsia="仿宋_GB2312"/>
          <w:sz w:val="32"/>
          <w:szCs w:val="24"/>
          <w:lang w:eastAsia="zh-CN"/>
        </w:rPr>
        <w:t>部门</w:t>
      </w:r>
      <w:r>
        <w:rPr>
          <w:rFonts w:hint="eastAsia" w:ascii="仿宋_GB2312" w:hAnsi="仿宋_GB2312" w:eastAsia="仿宋_GB2312"/>
          <w:sz w:val="32"/>
          <w:szCs w:val="24"/>
        </w:rPr>
        <w:t>共有车辆1辆，其中：省级领导干部用车0辆、主要领导干部用车0辆、机要通信用车1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590" w:lineRule="exact"/>
        <w:ind w:firstLine="642"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autoSpaceDE w:val="0"/>
        <w:autoSpaceDN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中共河南省委、河南省人民政府关于全面实施预算绩效管理的实施意见》（豫发〔2019〕10号）文件精神，我部门对本部门整体支出和项目支出开展全过程预算绩效管理，2021年纳入预算绩效管理的支出总额155.99万元，其中：基本支出155.99万元，项目支出0万元，支出项目0个。</w:t>
      </w:r>
    </w:p>
    <w:p>
      <w:pPr>
        <w:autoSpaceDE w:val="0"/>
        <w:autoSpaceDN w:val="0"/>
        <w:spacing w:line="360" w:lineRule="auto"/>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部门对本部门整体绩效目标和项目支出绩效目标进行了自评。一是部门整体绩效自评情况：2021年我部门整体绩效评价结果满意，因为我部门2021年举办的社科普及周活动得到了省社科联的高度评价；在规划课题的评审与结项过程中市委宣传全程监督与参与，做到了公开、公正、规范，受到高校老师的高度评价，真正起到到了普及与纽带的作用；我部门改革论坛的编辑出版成为市委市政府的智库。二是项目绩效自评情况。我部门共有0个项目批复了绩效目标，项目金额0万元。</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基于项目预期目标的实现程度，对2021年度项目支出绩效进行自评，其中：0个项目评价等级为“优”、0个项目评价等级为“良”、0个项目评价等级为“中”、0个项目评价等级为“差”。</w:t>
      </w:r>
    </w:p>
    <w:p>
      <w:pPr>
        <w:widowControl/>
        <w:spacing w:line="360" w:lineRule="auto"/>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pStyle w:val="3"/>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2021年度我部门没有开展重点绩效评价的项目。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ind w:firstLine="1680" w:firstLineChars="350"/>
        <w:outlineLvl w:val="0"/>
        <w:rPr>
          <w:rFonts w:ascii="黑体" w:hAnsi="黑体" w:eastAsia="黑体" w:cs="黑体"/>
          <w:color w:val="FF0000"/>
          <w:sz w:val="48"/>
          <w:szCs w:val="48"/>
        </w:rPr>
      </w:pPr>
    </w:p>
    <w:p>
      <w:pPr>
        <w:jc w:val="center"/>
        <w:outlineLvl w:val="0"/>
        <w:rPr>
          <w:rFonts w:hint="eastAsia" w:ascii="黑体" w:hAnsi="黑体" w:eastAsia="黑体" w:cs="黑体"/>
          <w:color w:val="000000" w:themeColor="text1"/>
          <w:sz w:val="48"/>
          <w:szCs w:val="48"/>
          <w14:textFill>
            <w14:solidFill>
              <w14:schemeClr w14:val="tx1"/>
            </w14:solidFill>
          </w14:textFill>
        </w:rPr>
      </w:pPr>
    </w:p>
    <w:p>
      <w:pPr>
        <w:jc w:val="center"/>
        <w:outlineLvl w:val="0"/>
        <w:rPr>
          <w:rFonts w:hint="eastAsia" w:ascii="黑体" w:hAnsi="黑体" w:eastAsia="黑体" w:cs="黑体"/>
          <w:color w:val="000000" w:themeColor="text1"/>
          <w:sz w:val="48"/>
          <w:szCs w:val="48"/>
          <w14:textFill>
            <w14:solidFill>
              <w14:schemeClr w14:val="tx1"/>
            </w14:solidFill>
          </w14:textFill>
        </w:rPr>
      </w:pPr>
    </w:p>
    <w:p>
      <w:pPr>
        <w:jc w:val="center"/>
        <w:outlineLvl w:val="0"/>
        <w:rPr>
          <w:rFonts w:hint="eastAsia" w:ascii="黑体" w:hAnsi="黑体" w:eastAsia="黑体" w:cs="黑体"/>
          <w:color w:val="000000" w:themeColor="text1"/>
          <w:sz w:val="48"/>
          <w:szCs w:val="48"/>
          <w14:textFill>
            <w14:solidFill>
              <w14:schemeClr w14:val="tx1"/>
            </w14:solidFill>
          </w14:textFill>
        </w:rPr>
      </w:pPr>
    </w:p>
    <w:p>
      <w:pPr>
        <w:jc w:val="center"/>
        <w:outlineLvl w:val="0"/>
        <w:rPr>
          <w:rFonts w:hint="eastAsia" w:ascii="黑体" w:hAnsi="黑体" w:eastAsia="黑体" w:cs="黑体"/>
          <w:color w:val="000000" w:themeColor="text1"/>
          <w:sz w:val="48"/>
          <w:szCs w:val="48"/>
          <w14:textFill>
            <w14:solidFill>
              <w14:schemeClr w14:val="tx1"/>
            </w14:solidFill>
          </w14:textFill>
        </w:rPr>
      </w:pPr>
    </w:p>
    <w:p>
      <w:pPr>
        <w:jc w:val="center"/>
        <w:outlineLvl w:val="0"/>
        <w:rPr>
          <w:rFonts w:hint="eastAsia" w:ascii="黑体" w:hAnsi="黑体" w:eastAsia="黑体" w:cs="黑体"/>
          <w:color w:val="000000" w:themeColor="text1"/>
          <w:sz w:val="48"/>
          <w:szCs w:val="48"/>
          <w14:textFill>
            <w14:solidFill>
              <w14:schemeClr w14:val="tx1"/>
            </w14:solidFill>
          </w14:textFill>
        </w:rPr>
      </w:pPr>
    </w:p>
    <w:p>
      <w:pPr>
        <w:jc w:val="center"/>
        <w:outlineLvl w:val="0"/>
        <w:rPr>
          <w:rFonts w:ascii="黑体" w:hAnsi="黑体" w:eastAsia="黑体" w:cs="黑体"/>
          <w:color w:val="000000" w:themeColor="text1"/>
          <w:sz w:val="48"/>
          <w:szCs w:val="48"/>
          <w14:textFill>
            <w14:solidFill>
              <w14:schemeClr w14:val="tx1"/>
            </w14:solidFill>
          </w14:textFill>
        </w:rPr>
      </w:pPr>
      <w:r>
        <w:rPr>
          <w:rFonts w:hint="eastAsia" w:ascii="黑体" w:hAnsi="黑体" w:eastAsia="黑体" w:cs="黑体"/>
          <w:color w:val="000000" w:themeColor="text1"/>
          <w:sz w:val="48"/>
          <w:szCs w:val="48"/>
          <w14:textFill>
            <w14:solidFill>
              <w14:schemeClr w14:val="tx1"/>
            </w14:solidFill>
          </w14:textFill>
        </w:rPr>
        <w:t>第四部分</w:t>
      </w:r>
      <w:r>
        <w:rPr>
          <w:rFonts w:hint="eastAsia" w:ascii="黑体" w:hAnsi="黑体" w:eastAsia="黑体" w:cs="黑体"/>
          <w:color w:val="000000" w:themeColor="text1"/>
          <w:sz w:val="48"/>
          <w:szCs w:val="48"/>
          <w:lang w:val="en-US" w:eastAsia="zh-CN"/>
          <w14:textFill>
            <w14:solidFill>
              <w14:schemeClr w14:val="tx1"/>
            </w14:solidFill>
          </w14:textFill>
        </w:rPr>
        <w:t xml:space="preserve">  </w:t>
      </w:r>
      <w:r>
        <w:rPr>
          <w:rFonts w:hint="eastAsia" w:ascii="黑体" w:hAnsi="黑体" w:eastAsia="黑体" w:cs="黑体"/>
          <w:color w:val="000000" w:themeColor="text1"/>
          <w:sz w:val="48"/>
          <w:szCs w:val="48"/>
          <w14:textFill>
            <w14:solidFill>
              <w14:schemeClr w14:val="tx1"/>
            </w14:solidFill>
          </w14:textFill>
        </w:rPr>
        <w:t>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widowControl/>
        <w:spacing w:line="360" w:lineRule="auto"/>
        <w:ind w:firstLine="640" w:firstLineChars="200"/>
        <w:jc w:val="left"/>
        <w:rPr>
          <w:rFonts w:ascii="仿宋_GB2312" w:hAnsi="仿宋_GB2312" w:eastAsia="仿宋_GB2312" w:cs="仿宋_GB2312"/>
          <w:sz w:val="32"/>
          <w:szCs w:val="32"/>
        </w:rPr>
      </w:pPr>
    </w:p>
    <w:p>
      <w:pPr>
        <w:widowControl/>
        <w:spacing w:line="590" w:lineRule="exact"/>
        <w:ind w:firstLine="640" w:firstLineChars="200"/>
        <w:jc w:val="left"/>
        <w:rPr>
          <w:rFonts w:ascii="仿宋_GB2312" w:hAnsi="仿宋_GB2312" w:eastAsia="仿宋_GB2312" w:cs="仿宋_GB2312"/>
          <w:sz w:val="32"/>
          <w:szCs w:val="32"/>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IZG3zK4BAABQAwAADgAAAAAAAAABACAAAAA0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FwqQOyAQAAUwMAAA4AAAAAAAAAAQAgAAAANA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- 30 -</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AIh2MqvAQAAUAMAAA4AAAAAAAAAAQAgAAAANA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- 30 -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775F94AE"/>
    <w:multiLevelType w:val="singleLevel"/>
    <w:tmpl w:val="775F94AE"/>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true"/>
  <w:bordersDoNotSurroundFooter w:val="true"/>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ODUwYWRjZjBlZDg4NDY0MjNlNTEwYTVmMGIxMTgifQ=="/>
  </w:docVars>
  <w:rsids>
    <w:rsidRoot w:val="000270E8"/>
    <w:rsid w:val="00012A5C"/>
    <w:rsid w:val="000134FF"/>
    <w:rsid w:val="000270E8"/>
    <w:rsid w:val="000335B5"/>
    <w:rsid w:val="0004182D"/>
    <w:rsid w:val="00057AFD"/>
    <w:rsid w:val="00065F66"/>
    <w:rsid w:val="00076410"/>
    <w:rsid w:val="00080242"/>
    <w:rsid w:val="00081835"/>
    <w:rsid w:val="00085D2D"/>
    <w:rsid w:val="000904B3"/>
    <w:rsid w:val="000B6484"/>
    <w:rsid w:val="000C073B"/>
    <w:rsid w:val="000C1142"/>
    <w:rsid w:val="000C5995"/>
    <w:rsid w:val="000D556D"/>
    <w:rsid w:val="000E527B"/>
    <w:rsid w:val="000F58FF"/>
    <w:rsid w:val="001003F8"/>
    <w:rsid w:val="00134277"/>
    <w:rsid w:val="0014251F"/>
    <w:rsid w:val="00144159"/>
    <w:rsid w:val="001718A8"/>
    <w:rsid w:val="00171AFF"/>
    <w:rsid w:val="00180DF1"/>
    <w:rsid w:val="00182842"/>
    <w:rsid w:val="00184D53"/>
    <w:rsid w:val="001905F2"/>
    <w:rsid w:val="00197592"/>
    <w:rsid w:val="001B006C"/>
    <w:rsid w:val="001B62A1"/>
    <w:rsid w:val="001C32F0"/>
    <w:rsid w:val="001D61B1"/>
    <w:rsid w:val="001E7563"/>
    <w:rsid w:val="001F5040"/>
    <w:rsid w:val="002006EB"/>
    <w:rsid w:val="00214AE1"/>
    <w:rsid w:val="002329B4"/>
    <w:rsid w:val="00251B40"/>
    <w:rsid w:val="00252041"/>
    <w:rsid w:val="00260D70"/>
    <w:rsid w:val="00260E70"/>
    <w:rsid w:val="00262C9F"/>
    <w:rsid w:val="00281114"/>
    <w:rsid w:val="00282C7F"/>
    <w:rsid w:val="00287811"/>
    <w:rsid w:val="00292B4B"/>
    <w:rsid w:val="002A1467"/>
    <w:rsid w:val="002A6352"/>
    <w:rsid w:val="002B3538"/>
    <w:rsid w:val="002B3F94"/>
    <w:rsid w:val="002C171D"/>
    <w:rsid w:val="002D4052"/>
    <w:rsid w:val="002E6A86"/>
    <w:rsid w:val="00304D04"/>
    <w:rsid w:val="00305B88"/>
    <w:rsid w:val="00310961"/>
    <w:rsid w:val="00313F0D"/>
    <w:rsid w:val="00315FEB"/>
    <w:rsid w:val="00337288"/>
    <w:rsid w:val="0038116E"/>
    <w:rsid w:val="003B4220"/>
    <w:rsid w:val="003C7DC6"/>
    <w:rsid w:val="003D4C31"/>
    <w:rsid w:val="003D6B96"/>
    <w:rsid w:val="0041177C"/>
    <w:rsid w:val="0041489C"/>
    <w:rsid w:val="0042585F"/>
    <w:rsid w:val="004331BF"/>
    <w:rsid w:val="0043547E"/>
    <w:rsid w:val="00445CAC"/>
    <w:rsid w:val="00467A57"/>
    <w:rsid w:val="00471789"/>
    <w:rsid w:val="00472E19"/>
    <w:rsid w:val="00487869"/>
    <w:rsid w:val="0049123E"/>
    <w:rsid w:val="00495AFD"/>
    <w:rsid w:val="00496BD6"/>
    <w:rsid w:val="004D5275"/>
    <w:rsid w:val="004E121E"/>
    <w:rsid w:val="004E2A8F"/>
    <w:rsid w:val="004F63DB"/>
    <w:rsid w:val="00500F06"/>
    <w:rsid w:val="00505190"/>
    <w:rsid w:val="00507364"/>
    <w:rsid w:val="00515C95"/>
    <w:rsid w:val="005234CF"/>
    <w:rsid w:val="00546F7C"/>
    <w:rsid w:val="00557C66"/>
    <w:rsid w:val="00592C2A"/>
    <w:rsid w:val="00595591"/>
    <w:rsid w:val="005A0C2F"/>
    <w:rsid w:val="005A2509"/>
    <w:rsid w:val="005B1AE2"/>
    <w:rsid w:val="005E3397"/>
    <w:rsid w:val="005E4A53"/>
    <w:rsid w:val="005E53C9"/>
    <w:rsid w:val="00607D67"/>
    <w:rsid w:val="006139D4"/>
    <w:rsid w:val="00617290"/>
    <w:rsid w:val="006228C4"/>
    <w:rsid w:val="00622F91"/>
    <w:rsid w:val="00635E26"/>
    <w:rsid w:val="00636C37"/>
    <w:rsid w:val="00644470"/>
    <w:rsid w:val="006476C7"/>
    <w:rsid w:val="006512DD"/>
    <w:rsid w:val="00656BEF"/>
    <w:rsid w:val="00656D75"/>
    <w:rsid w:val="00657E86"/>
    <w:rsid w:val="00673EF7"/>
    <w:rsid w:val="006841E9"/>
    <w:rsid w:val="0069449E"/>
    <w:rsid w:val="006A41B5"/>
    <w:rsid w:val="006C07F0"/>
    <w:rsid w:val="006C644A"/>
    <w:rsid w:val="006C7D84"/>
    <w:rsid w:val="007031F6"/>
    <w:rsid w:val="007148E8"/>
    <w:rsid w:val="00721FAC"/>
    <w:rsid w:val="00733DAA"/>
    <w:rsid w:val="00742BA0"/>
    <w:rsid w:val="00746F2F"/>
    <w:rsid w:val="00750687"/>
    <w:rsid w:val="00753545"/>
    <w:rsid w:val="0075400B"/>
    <w:rsid w:val="00764156"/>
    <w:rsid w:val="007651BB"/>
    <w:rsid w:val="00767BEE"/>
    <w:rsid w:val="007706D7"/>
    <w:rsid w:val="00780A5C"/>
    <w:rsid w:val="007879ED"/>
    <w:rsid w:val="007920B0"/>
    <w:rsid w:val="007A48A3"/>
    <w:rsid w:val="007C029F"/>
    <w:rsid w:val="007C7F49"/>
    <w:rsid w:val="007D2A21"/>
    <w:rsid w:val="007F5671"/>
    <w:rsid w:val="00813BDD"/>
    <w:rsid w:val="00827AC1"/>
    <w:rsid w:val="008341F3"/>
    <w:rsid w:val="00840580"/>
    <w:rsid w:val="00843461"/>
    <w:rsid w:val="008651E7"/>
    <w:rsid w:val="00872946"/>
    <w:rsid w:val="0088023A"/>
    <w:rsid w:val="00883C19"/>
    <w:rsid w:val="008858FB"/>
    <w:rsid w:val="00894B41"/>
    <w:rsid w:val="008B5427"/>
    <w:rsid w:val="008C7CD0"/>
    <w:rsid w:val="00903F6B"/>
    <w:rsid w:val="00914005"/>
    <w:rsid w:val="009173F9"/>
    <w:rsid w:val="009308CB"/>
    <w:rsid w:val="009434B3"/>
    <w:rsid w:val="00950270"/>
    <w:rsid w:val="00960ADE"/>
    <w:rsid w:val="00962F58"/>
    <w:rsid w:val="00963191"/>
    <w:rsid w:val="0096629D"/>
    <w:rsid w:val="00975A04"/>
    <w:rsid w:val="00987E71"/>
    <w:rsid w:val="009A2478"/>
    <w:rsid w:val="009A679D"/>
    <w:rsid w:val="009C2A17"/>
    <w:rsid w:val="009E1618"/>
    <w:rsid w:val="009E52A3"/>
    <w:rsid w:val="009F0FBB"/>
    <w:rsid w:val="009F546E"/>
    <w:rsid w:val="009F576F"/>
    <w:rsid w:val="00A079F0"/>
    <w:rsid w:val="00A3683F"/>
    <w:rsid w:val="00A40212"/>
    <w:rsid w:val="00A42F43"/>
    <w:rsid w:val="00A44FF3"/>
    <w:rsid w:val="00A51982"/>
    <w:rsid w:val="00A57BF7"/>
    <w:rsid w:val="00A71DC1"/>
    <w:rsid w:val="00A74FDE"/>
    <w:rsid w:val="00A83D8A"/>
    <w:rsid w:val="00A904FA"/>
    <w:rsid w:val="00A93E7D"/>
    <w:rsid w:val="00A95C7F"/>
    <w:rsid w:val="00AA260E"/>
    <w:rsid w:val="00AA44CB"/>
    <w:rsid w:val="00AA67CD"/>
    <w:rsid w:val="00AC5BB1"/>
    <w:rsid w:val="00AD6761"/>
    <w:rsid w:val="00AD6AB6"/>
    <w:rsid w:val="00AE2FEA"/>
    <w:rsid w:val="00AE600E"/>
    <w:rsid w:val="00AF39B9"/>
    <w:rsid w:val="00AF566A"/>
    <w:rsid w:val="00B0083B"/>
    <w:rsid w:val="00B040BC"/>
    <w:rsid w:val="00B104B7"/>
    <w:rsid w:val="00B10C81"/>
    <w:rsid w:val="00B209B8"/>
    <w:rsid w:val="00B20BBC"/>
    <w:rsid w:val="00B22C27"/>
    <w:rsid w:val="00B249F3"/>
    <w:rsid w:val="00B45D55"/>
    <w:rsid w:val="00B649BE"/>
    <w:rsid w:val="00B653A5"/>
    <w:rsid w:val="00B710DD"/>
    <w:rsid w:val="00BA1AB8"/>
    <w:rsid w:val="00BC7A47"/>
    <w:rsid w:val="00BE0890"/>
    <w:rsid w:val="00BE5A85"/>
    <w:rsid w:val="00BF4E6A"/>
    <w:rsid w:val="00BF5718"/>
    <w:rsid w:val="00C0082E"/>
    <w:rsid w:val="00C00E23"/>
    <w:rsid w:val="00C13474"/>
    <w:rsid w:val="00C3106E"/>
    <w:rsid w:val="00C33530"/>
    <w:rsid w:val="00C60609"/>
    <w:rsid w:val="00C64571"/>
    <w:rsid w:val="00C95CC1"/>
    <w:rsid w:val="00CA3F44"/>
    <w:rsid w:val="00CA598C"/>
    <w:rsid w:val="00CB03ED"/>
    <w:rsid w:val="00CC0E4B"/>
    <w:rsid w:val="00CC7D4F"/>
    <w:rsid w:val="00CD4196"/>
    <w:rsid w:val="00CD62F2"/>
    <w:rsid w:val="00CE212D"/>
    <w:rsid w:val="00CE4B38"/>
    <w:rsid w:val="00CF0AB9"/>
    <w:rsid w:val="00CF7BFD"/>
    <w:rsid w:val="00D03FBB"/>
    <w:rsid w:val="00D1292C"/>
    <w:rsid w:val="00D1321A"/>
    <w:rsid w:val="00D15EF0"/>
    <w:rsid w:val="00D22FB1"/>
    <w:rsid w:val="00D27367"/>
    <w:rsid w:val="00D30ADF"/>
    <w:rsid w:val="00D33CF8"/>
    <w:rsid w:val="00D33FBA"/>
    <w:rsid w:val="00D447A5"/>
    <w:rsid w:val="00D50638"/>
    <w:rsid w:val="00D6315E"/>
    <w:rsid w:val="00D652C2"/>
    <w:rsid w:val="00D74EE2"/>
    <w:rsid w:val="00D83E19"/>
    <w:rsid w:val="00D86CAD"/>
    <w:rsid w:val="00D97F9F"/>
    <w:rsid w:val="00DA00C9"/>
    <w:rsid w:val="00DA14AD"/>
    <w:rsid w:val="00DB200E"/>
    <w:rsid w:val="00DB65F5"/>
    <w:rsid w:val="00E01C3E"/>
    <w:rsid w:val="00E02436"/>
    <w:rsid w:val="00E13099"/>
    <w:rsid w:val="00E23F86"/>
    <w:rsid w:val="00E4339F"/>
    <w:rsid w:val="00E60B05"/>
    <w:rsid w:val="00E61F64"/>
    <w:rsid w:val="00E629EA"/>
    <w:rsid w:val="00E6777C"/>
    <w:rsid w:val="00EA7523"/>
    <w:rsid w:val="00EB05A3"/>
    <w:rsid w:val="00EC0685"/>
    <w:rsid w:val="00ED38B7"/>
    <w:rsid w:val="00ED3A98"/>
    <w:rsid w:val="00ED4A31"/>
    <w:rsid w:val="00EE051D"/>
    <w:rsid w:val="00F0131A"/>
    <w:rsid w:val="00F04C49"/>
    <w:rsid w:val="00F14C17"/>
    <w:rsid w:val="00F17041"/>
    <w:rsid w:val="00F218CF"/>
    <w:rsid w:val="00F31B36"/>
    <w:rsid w:val="00F44937"/>
    <w:rsid w:val="00F463CE"/>
    <w:rsid w:val="00F55664"/>
    <w:rsid w:val="00F61A47"/>
    <w:rsid w:val="00F84422"/>
    <w:rsid w:val="00F95455"/>
    <w:rsid w:val="00F96D81"/>
    <w:rsid w:val="00FA574D"/>
    <w:rsid w:val="00FC2588"/>
    <w:rsid w:val="00FC4944"/>
    <w:rsid w:val="00FE7AD9"/>
    <w:rsid w:val="00FF0E51"/>
    <w:rsid w:val="01322275"/>
    <w:rsid w:val="01DC6F05"/>
    <w:rsid w:val="02A3489A"/>
    <w:rsid w:val="02CA138D"/>
    <w:rsid w:val="033646FC"/>
    <w:rsid w:val="03C75F80"/>
    <w:rsid w:val="0478364D"/>
    <w:rsid w:val="053D4C0D"/>
    <w:rsid w:val="0557532E"/>
    <w:rsid w:val="07013F3A"/>
    <w:rsid w:val="0799329C"/>
    <w:rsid w:val="08397436"/>
    <w:rsid w:val="086F16A7"/>
    <w:rsid w:val="0A0F7225"/>
    <w:rsid w:val="0A2B7D82"/>
    <w:rsid w:val="0A5D2A6C"/>
    <w:rsid w:val="0ADC40E9"/>
    <w:rsid w:val="0AE607F4"/>
    <w:rsid w:val="0B386127"/>
    <w:rsid w:val="0B451598"/>
    <w:rsid w:val="0BEC73F4"/>
    <w:rsid w:val="0C392698"/>
    <w:rsid w:val="0FD5F5C4"/>
    <w:rsid w:val="10BD36F6"/>
    <w:rsid w:val="10F960DA"/>
    <w:rsid w:val="11BF0649"/>
    <w:rsid w:val="123E3E08"/>
    <w:rsid w:val="133212F4"/>
    <w:rsid w:val="138505C6"/>
    <w:rsid w:val="13D22E22"/>
    <w:rsid w:val="161C2DFF"/>
    <w:rsid w:val="16373578"/>
    <w:rsid w:val="16D3336B"/>
    <w:rsid w:val="17200028"/>
    <w:rsid w:val="17806C36"/>
    <w:rsid w:val="17A74F62"/>
    <w:rsid w:val="18A47774"/>
    <w:rsid w:val="1A8D28EB"/>
    <w:rsid w:val="1A9F2D78"/>
    <w:rsid w:val="1B2E6FD8"/>
    <w:rsid w:val="1B877D21"/>
    <w:rsid w:val="1C4319A9"/>
    <w:rsid w:val="1D477581"/>
    <w:rsid w:val="1E443B4B"/>
    <w:rsid w:val="1E994F4A"/>
    <w:rsid w:val="1EAF0224"/>
    <w:rsid w:val="1F1BEF77"/>
    <w:rsid w:val="1F2230A4"/>
    <w:rsid w:val="1FE706D2"/>
    <w:rsid w:val="20210932"/>
    <w:rsid w:val="202448E0"/>
    <w:rsid w:val="20D746F2"/>
    <w:rsid w:val="20F614FE"/>
    <w:rsid w:val="21302EEA"/>
    <w:rsid w:val="22376FB5"/>
    <w:rsid w:val="22EF8917"/>
    <w:rsid w:val="23E152D7"/>
    <w:rsid w:val="23EE2489"/>
    <w:rsid w:val="24BFFA8D"/>
    <w:rsid w:val="255D43C8"/>
    <w:rsid w:val="26714EF8"/>
    <w:rsid w:val="26876BDD"/>
    <w:rsid w:val="2714632A"/>
    <w:rsid w:val="27541E73"/>
    <w:rsid w:val="27B0539E"/>
    <w:rsid w:val="29365CF8"/>
    <w:rsid w:val="299469B3"/>
    <w:rsid w:val="2A805789"/>
    <w:rsid w:val="2ADC0D75"/>
    <w:rsid w:val="2B4A0E52"/>
    <w:rsid w:val="2C975890"/>
    <w:rsid w:val="2CDF0DE9"/>
    <w:rsid w:val="2DEF21BB"/>
    <w:rsid w:val="2E4A2F05"/>
    <w:rsid w:val="2ECC1061"/>
    <w:rsid w:val="2FA476AD"/>
    <w:rsid w:val="303F7540"/>
    <w:rsid w:val="31DD00BF"/>
    <w:rsid w:val="3293174C"/>
    <w:rsid w:val="32BB38D4"/>
    <w:rsid w:val="32C9376D"/>
    <w:rsid w:val="333B76C2"/>
    <w:rsid w:val="33780472"/>
    <w:rsid w:val="33AF0905"/>
    <w:rsid w:val="34C8362A"/>
    <w:rsid w:val="355932F4"/>
    <w:rsid w:val="35611882"/>
    <w:rsid w:val="35BECB23"/>
    <w:rsid w:val="35ED86B6"/>
    <w:rsid w:val="360B60B0"/>
    <w:rsid w:val="36746FC3"/>
    <w:rsid w:val="368763AE"/>
    <w:rsid w:val="37BDDCB5"/>
    <w:rsid w:val="38B702EB"/>
    <w:rsid w:val="395D59E7"/>
    <w:rsid w:val="39A93932"/>
    <w:rsid w:val="3A915562"/>
    <w:rsid w:val="3B8D4765"/>
    <w:rsid w:val="3C000DBA"/>
    <w:rsid w:val="3C1E6EA8"/>
    <w:rsid w:val="3D434048"/>
    <w:rsid w:val="3DC045D3"/>
    <w:rsid w:val="3E504FFB"/>
    <w:rsid w:val="3E615CD0"/>
    <w:rsid w:val="3E9C47F6"/>
    <w:rsid w:val="3F8B0112"/>
    <w:rsid w:val="3FAB3095"/>
    <w:rsid w:val="3FDDD0B1"/>
    <w:rsid w:val="3FE45947"/>
    <w:rsid w:val="3FFD6D94"/>
    <w:rsid w:val="41242965"/>
    <w:rsid w:val="42725D7F"/>
    <w:rsid w:val="435042F7"/>
    <w:rsid w:val="435671EA"/>
    <w:rsid w:val="440809E9"/>
    <w:rsid w:val="442407A6"/>
    <w:rsid w:val="44805EA1"/>
    <w:rsid w:val="45710696"/>
    <w:rsid w:val="46142B1B"/>
    <w:rsid w:val="46BC143C"/>
    <w:rsid w:val="47E60DD0"/>
    <w:rsid w:val="48735039"/>
    <w:rsid w:val="492C684B"/>
    <w:rsid w:val="49500594"/>
    <w:rsid w:val="499C63AF"/>
    <w:rsid w:val="49E7604E"/>
    <w:rsid w:val="4BF67CDD"/>
    <w:rsid w:val="4D173441"/>
    <w:rsid w:val="4D603DD6"/>
    <w:rsid w:val="4DDFCEB9"/>
    <w:rsid w:val="4EBF010F"/>
    <w:rsid w:val="4F471EB0"/>
    <w:rsid w:val="51331326"/>
    <w:rsid w:val="51740A7F"/>
    <w:rsid w:val="51A5541E"/>
    <w:rsid w:val="51C96242"/>
    <w:rsid w:val="53906AE1"/>
    <w:rsid w:val="53EA6BB8"/>
    <w:rsid w:val="54F46F60"/>
    <w:rsid w:val="55A37BEA"/>
    <w:rsid w:val="55DF4C7A"/>
    <w:rsid w:val="56362CD2"/>
    <w:rsid w:val="5784687B"/>
    <w:rsid w:val="57846959"/>
    <w:rsid w:val="578E6A87"/>
    <w:rsid w:val="5AC2203A"/>
    <w:rsid w:val="5AF78D7F"/>
    <w:rsid w:val="5B1F6E0F"/>
    <w:rsid w:val="5B9EF6F6"/>
    <w:rsid w:val="5BAFEE57"/>
    <w:rsid w:val="5BCC8F2E"/>
    <w:rsid w:val="5C8FCEC2"/>
    <w:rsid w:val="5CBB3334"/>
    <w:rsid w:val="5D115FAF"/>
    <w:rsid w:val="5FB56B0A"/>
    <w:rsid w:val="5FBF35E6"/>
    <w:rsid w:val="5FBF4A68"/>
    <w:rsid w:val="5FBF7E9C"/>
    <w:rsid w:val="62811722"/>
    <w:rsid w:val="62E75A72"/>
    <w:rsid w:val="64571880"/>
    <w:rsid w:val="649125B6"/>
    <w:rsid w:val="652F4C1A"/>
    <w:rsid w:val="666D37F1"/>
    <w:rsid w:val="67087D8F"/>
    <w:rsid w:val="671F687E"/>
    <w:rsid w:val="67F415F8"/>
    <w:rsid w:val="682640D1"/>
    <w:rsid w:val="684B73E5"/>
    <w:rsid w:val="6A047A2A"/>
    <w:rsid w:val="6BEF9AD6"/>
    <w:rsid w:val="6C7E610B"/>
    <w:rsid w:val="6E7FE779"/>
    <w:rsid w:val="6EFB7548"/>
    <w:rsid w:val="6F3831C3"/>
    <w:rsid w:val="6F8B71C1"/>
    <w:rsid w:val="70753482"/>
    <w:rsid w:val="707B522A"/>
    <w:rsid w:val="72A7517B"/>
    <w:rsid w:val="73194D05"/>
    <w:rsid w:val="73A83B0E"/>
    <w:rsid w:val="73BFB8C3"/>
    <w:rsid w:val="740E960F"/>
    <w:rsid w:val="744D3EF9"/>
    <w:rsid w:val="74794411"/>
    <w:rsid w:val="75867C40"/>
    <w:rsid w:val="75B10B26"/>
    <w:rsid w:val="76432199"/>
    <w:rsid w:val="76DC7CC3"/>
    <w:rsid w:val="76F44829"/>
    <w:rsid w:val="77A267C0"/>
    <w:rsid w:val="78882278"/>
    <w:rsid w:val="78B118A6"/>
    <w:rsid w:val="79135044"/>
    <w:rsid w:val="7A7D0F99"/>
    <w:rsid w:val="7AEDBF5F"/>
    <w:rsid w:val="7B578C8F"/>
    <w:rsid w:val="7BFEB5F4"/>
    <w:rsid w:val="7C667162"/>
    <w:rsid w:val="7D7A2308"/>
    <w:rsid w:val="7D87803F"/>
    <w:rsid w:val="7DDE078C"/>
    <w:rsid w:val="7DE723A3"/>
    <w:rsid w:val="7E4A0E7C"/>
    <w:rsid w:val="7E9BD6AA"/>
    <w:rsid w:val="7EDE35BA"/>
    <w:rsid w:val="7EE6B959"/>
    <w:rsid w:val="7EFD449D"/>
    <w:rsid w:val="7FCDFFE6"/>
    <w:rsid w:val="9BAF9372"/>
    <w:rsid w:val="9F75424A"/>
    <w:rsid w:val="B7FAF749"/>
    <w:rsid w:val="B9FB8B22"/>
    <w:rsid w:val="BB7F410C"/>
    <w:rsid w:val="BE7B91EA"/>
    <w:rsid w:val="BEBBA427"/>
    <w:rsid w:val="BF4FC8D0"/>
    <w:rsid w:val="BFF7818A"/>
    <w:rsid w:val="CAEFB0EE"/>
    <w:rsid w:val="CFDBC5A5"/>
    <w:rsid w:val="D6BFB398"/>
    <w:rsid w:val="DAB3241C"/>
    <w:rsid w:val="E3BF37B6"/>
    <w:rsid w:val="E4FF166F"/>
    <w:rsid w:val="EDFEF7BC"/>
    <w:rsid w:val="EEFFEF74"/>
    <w:rsid w:val="EFBCBC4A"/>
    <w:rsid w:val="EFEEAC82"/>
    <w:rsid w:val="F1FB8DB3"/>
    <w:rsid w:val="F4FC22D8"/>
    <w:rsid w:val="F67DFEEA"/>
    <w:rsid w:val="FB790400"/>
    <w:rsid w:val="FBFBFB5C"/>
    <w:rsid w:val="FBFDCFCD"/>
    <w:rsid w:val="FBFF83E9"/>
    <w:rsid w:val="FD92B479"/>
    <w:rsid w:val="FDF4ECC5"/>
    <w:rsid w:val="FDF6AE8E"/>
    <w:rsid w:val="FE7D0859"/>
    <w:rsid w:val="FEEB97B6"/>
    <w:rsid w:val="FF762F83"/>
    <w:rsid w:val="FF8E9C69"/>
    <w:rsid w:val="FFA34B7E"/>
    <w:rsid w:val="FFD7F286"/>
    <w:rsid w:val="FFDA28DB"/>
    <w:rsid w:val="FFE3BC22"/>
    <w:rsid w:val="FFF7646F"/>
    <w:rsid w:val="FFFFD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3">
    <w:name w:val="annotation text"/>
    <w:basedOn w:val="1"/>
    <w:link w:val="12"/>
    <w:qFormat/>
    <w:uiPriority w:val="0"/>
    <w:pPr>
      <w:jc w:val="left"/>
    </w:pPr>
    <w:rPr>
      <w:rFonts w:ascii="Calibri" w:hAnsi="Calibri"/>
    </w:r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文字 字符"/>
    <w:basedOn w:val="9"/>
    <w:link w:val="3"/>
    <w:qFormat/>
    <w:uiPriority w:val="0"/>
    <w:rPr>
      <w:rFonts w:ascii="Calibri" w:hAnsi="Calibri"/>
      <w:kern w:val="2"/>
      <w:sz w:val="21"/>
      <w:szCs w:val="22"/>
    </w:rPr>
  </w:style>
  <w:style w:type="character" w:customStyle="1" w:styleId="13">
    <w:name w:val="批注框文本 字符"/>
    <w:link w:val="4"/>
    <w:semiHidden/>
    <w:qFormat/>
    <w:uiPriority w:val="99"/>
    <w:rPr>
      <w:kern w:val="2"/>
      <w:sz w:val="18"/>
      <w:szCs w:val="18"/>
    </w:rPr>
  </w:style>
  <w:style w:type="character" w:customStyle="1" w:styleId="14">
    <w:name w:val="页脚 字符"/>
    <w:link w:val="5"/>
    <w:qFormat/>
    <w:uiPriority w:val="99"/>
    <w:rPr>
      <w:kern w:val="2"/>
      <w:sz w:val="18"/>
      <w:szCs w:val="18"/>
    </w:rPr>
  </w:style>
  <w:style w:type="character" w:customStyle="1" w:styleId="15">
    <w:name w:val="页眉 字符"/>
    <w:link w:val="6"/>
    <w:qFormat/>
    <w:uiPriority w:val="99"/>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2"/>
      <w:szCs w:val="22"/>
      <w:u w:val="none"/>
    </w:rPr>
  </w:style>
  <w:style w:type="character" w:customStyle="1" w:styleId="18">
    <w:name w:val="font5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36</Pages>
  <Words>7919</Words>
  <Characters>9426</Characters>
  <Lines>81</Lines>
  <Paragraphs>23</Paragraphs>
  <TotalTime>15</TotalTime>
  <ScaleCrop>false</ScaleCrop>
  <LinksUpToDate>false</LinksUpToDate>
  <CharactersWithSpaces>9635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2007-12-06T11:41:00Z</dcterms:created>
  <dc:creator>管理者</dc:creator>
  <cp:lastModifiedBy>huanghe</cp:lastModifiedBy>
  <cp:lastPrinted>2023-05-11T11:18:00Z</cp:lastPrinted>
  <dcterms:modified xsi:type="dcterms:W3CDTF">2023-05-19T16:03:20Z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4C8F30863D17405C88E51797CBE5CBA8</vt:lpwstr>
  </property>
</Properties>
</file>