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lang w:val="en-US" w:eastAsia="zh-CN"/>
        </w:rPr>
      </w:pPr>
      <w:r>
        <w:rPr>
          <w:rFonts w:hint="eastAsia" w:ascii="黑体" w:hAnsi="宋体" w:eastAsia="黑体" w:cs="宋体"/>
          <w:kern w:val="0"/>
          <w:sz w:val="28"/>
          <w:szCs w:val="28"/>
          <w:highlight w:val="none"/>
          <w:lang w:val="en-US" w:eastAsia="zh-CN"/>
        </w:rPr>
        <w:t>+</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许昌市民族宗教事务局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许昌市民族宗教事务局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许昌市民族宗教事务局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贯彻落实党和国家民族、宗教工作法律、法规和方针政策，研究并提出全市有关民族、宗教事务的规范性文件并监督实施。开展民族、宗教法律、法规和政策的宣传教育工作。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协调全市民族关系，促进民族平等、团结、互助、和谐，依法保护少数民族合法权益。协调处理涉及民族关系的有关事宜。做好少数民族流动人口和流动宗教人员的服务管理工作。做好涉疆服务管理工作。组织承办民族团结进步创建表彰活动。负责协调推动有关部门履行民族工作相关职责，促进民族政策在经济发展和社会事业有关领域实施、衔接。负责开展少数民族经济发展统计分析和统计监测的有关工作，推进民族事务服务体系和管理信息化建设。</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协同有关部门研究制定全市促进少数民族和民族聚居地发展的规范性文件和措施，参与少数民族发展专项资金的项目管理，配合有关部门做好少数民族扶贫工作。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协调有关部门促进少数民族教育、科技、文化、卫生、体育等社会事业的发展。</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依法保护公民宗教信仰自由，维护宗教团体和宗教活动场所的合法权益，保护宗教教职人员履行正常的教务，保护信教群众正常的宗教活动，促进宗教关系和谐;对从事互联网宗教信息服务的内容进行审核。办理宗教团体需由政府解决或协调的各项事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依法管理全市宗教事务，组织开展行政执法工作；规范引导宗教界在法律、法规和政策范围内活动，防范和打击利用宗教进行非法、违法活动;配合有关部门抵御境外利用宗教进行渗透活动。联系、培养宗教界人士，指导宗教团体依法依章开展工作、加强自身建设。指导基层宗教事务部门依法管理宗教事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负责宗教方面的外事归口管理工作，指导有关部门和宗教界开展对外以及对港、澳、合地区的宗教交往活动，参与涉及民族和宗教对外宣传工作。负责全市伊斯兰教朝觐事务管理工作。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协助有关部门做好全市少数民族千部培养、教育和推荐工作。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分析和研判涉及民族关系、宗教关系及和谐稳定等方面的舆情和影响社会稳定的因素。</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指导全市民族宗教事务部门的工作，协助各县(市、区)政府及时处理民族、宗教方面的突发事件、重大事件和影响社会稳定的因素。</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)负责少数民族古籍搜集、整理和出版等工作。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sz w:val="32"/>
          <w:szCs w:val="32"/>
        </w:rPr>
        <w:t>(十ニ)完成市委、市政府交办的其他事项</w:t>
      </w:r>
      <w:r>
        <w:rPr>
          <w:rFonts w:hint="eastAsia" w:ascii="仿宋_GB2312" w:hAnsi="仿宋_GB2312" w:eastAsia="仿宋_GB2312" w:cs="仿宋_GB2312"/>
          <w:kern w:val="0"/>
          <w:sz w:val="32"/>
          <w:szCs w:val="32"/>
          <w:lang w:eastAsia="zh-CN"/>
        </w:rPr>
        <w:t>。</w:t>
      </w:r>
    </w:p>
    <w:p>
      <w:pPr>
        <w:widowControl/>
        <w:ind w:firstLine="640" w:firstLineChars="200"/>
        <w:jc w:val="left"/>
        <w:outlineLvl w:val="1"/>
        <w:rPr>
          <w:rFonts w:hint="eastAsia" w:ascii="仿宋_GB2312" w:hAnsi="仿宋_GB2312" w:eastAsia="仿宋_GB2312" w:cs="仿宋_GB2312"/>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许昌市民族宗教事务局内设机构5个，包括：</w:t>
      </w:r>
      <w:r>
        <w:rPr>
          <w:rFonts w:hint="eastAsia" w:ascii="仿宋_GB2312" w:hAnsi="仿宋_GB2312" w:eastAsia="仿宋_GB2312" w:cs="仿宋_GB2312"/>
          <w:sz w:val="32"/>
          <w:szCs w:val="32"/>
        </w:rPr>
        <w:t>办公室、</w:t>
      </w:r>
      <w:r>
        <w:rPr>
          <w:rFonts w:hint="eastAsia" w:ascii="仿宋" w:hAnsi="仿宋" w:eastAsia="仿宋" w:cs="仿宋"/>
          <w:sz w:val="32"/>
          <w:szCs w:val="32"/>
        </w:rPr>
        <w:t>政策宣传科(政务服务科)</w:t>
      </w:r>
      <w:r>
        <w:rPr>
          <w:rFonts w:hint="eastAsia" w:ascii="仿宋_GB2312" w:hAnsi="仿宋_GB2312" w:eastAsia="仿宋_GB2312" w:cs="仿宋_GB2312"/>
          <w:sz w:val="32"/>
          <w:szCs w:val="32"/>
        </w:rPr>
        <w:t>、民族科、宗教科、</w:t>
      </w:r>
      <w:r>
        <w:rPr>
          <w:rFonts w:hint="eastAsia" w:ascii="仿宋" w:hAnsi="仿宋" w:eastAsia="仿宋" w:cs="仿宋"/>
          <w:sz w:val="32"/>
          <w:szCs w:val="32"/>
        </w:rPr>
        <w:t>协调检査科(市清真食品管理办公室)</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许昌市民族宗教事务局</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、所属单位决算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w:t>
      </w:r>
      <w:r>
        <w:rPr>
          <w:rFonts w:hint="default" w:ascii="仿宋_GB2312" w:hAnsi="仿宋_GB2312" w:eastAsia="仿宋_GB2312" w:cs="仿宋_GB2312"/>
          <w:color w:val="auto"/>
          <w:kern w:val="0"/>
          <w:sz w:val="32"/>
          <w:szCs w:val="32"/>
          <w:highlight w:val="none"/>
          <w:lang w:val="en" w:eastAsia="zh-CN"/>
        </w:rPr>
        <w:t>2</w:t>
      </w:r>
      <w:r>
        <w:rPr>
          <w:rFonts w:hint="eastAsia" w:ascii="仿宋_GB2312" w:hAnsi="仿宋_GB2312" w:eastAsia="仿宋_GB2312" w:cs="仿宋_GB2312"/>
          <w:color w:val="auto"/>
          <w:kern w:val="0"/>
          <w:sz w:val="32"/>
          <w:szCs w:val="32"/>
          <w:highlight w:val="none"/>
          <w:lang w:val="en-US" w:eastAsia="zh-CN"/>
        </w:rPr>
        <w:t>个，</w:t>
      </w:r>
      <w:r>
        <w:rPr>
          <w:rFonts w:hint="eastAsia" w:ascii="仿宋_GB2312" w:hAnsi="仿宋_GB2312" w:eastAsia="仿宋_GB2312" w:cs="仿宋_GB2312"/>
          <w:b w:val="0"/>
          <w:bCs w:val="0"/>
          <w:color w:val="auto"/>
          <w:kern w:val="0"/>
          <w:sz w:val="32"/>
          <w:szCs w:val="32"/>
          <w:highlight w:val="none"/>
          <w:lang w:val="en-US" w:eastAsia="zh-CN"/>
        </w:rPr>
        <w:t>其中二级预算单位</w:t>
      </w:r>
      <w:r>
        <w:rPr>
          <w:rFonts w:hint="default" w:ascii="仿宋_GB2312" w:hAnsi="仿宋_GB2312" w:eastAsia="仿宋_GB2312" w:cs="仿宋_GB2312"/>
          <w:b w:val="0"/>
          <w:bCs w:val="0"/>
          <w:color w:val="auto"/>
          <w:kern w:val="0"/>
          <w:sz w:val="32"/>
          <w:szCs w:val="32"/>
          <w:highlight w:val="none"/>
          <w:lang w:val="en" w:eastAsia="zh-CN"/>
        </w:rPr>
        <w:t>1</w:t>
      </w:r>
      <w:r>
        <w:rPr>
          <w:rFonts w:hint="eastAsia" w:ascii="仿宋_GB2312" w:hAnsi="仿宋_GB2312" w:eastAsia="仿宋_GB2312" w:cs="仿宋_GB2312"/>
          <w:b w:val="0"/>
          <w:bCs w:val="0"/>
          <w:color w:val="auto"/>
          <w:kern w:val="0"/>
          <w:sz w:val="32"/>
          <w:szCs w:val="32"/>
          <w:highlight w:val="none"/>
          <w:lang w:val="en-US" w:eastAsia="zh-CN"/>
        </w:rPr>
        <w:t>个，</w:t>
      </w:r>
      <w:r>
        <w:rPr>
          <w:rFonts w:hint="eastAsia" w:ascii="仿宋_GB2312" w:hAnsi="仿宋_GB2312" w:eastAsia="仿宋_GB2312" w:cs="仿宋_GB2312"/>
          <w:color w:val="auto"/>
          <w:kern w:val="0"/>
          <w:sz w:val="32"/>
          <w:szCs w:val="32"/>
          <w:highlight w:val="none"/>
          <w:lang w:val="en-US" w:eastAsia="zh-CN"/>
        </w:rPr>
        <w:t>具体是：</w:t>
      </w:r>
    </w:p>
    <w:p>
      <w:pPr>
        <w:widowControl/>
        <w:numPr>
          <w:numId w:val="0"/>
        </w:numPr>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许昌市民族宗教事务局本级</w:t>
      </w:r>
    </w:p>
    <w:p>
      <w:pPr>
        <w:widowControl/>
        <w:numPr>
          <w:numId w:val="0"/>
        </w:numPr>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2.许昌市民族宗教事务执法支队</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4"/>
        <w:tblW w:w="138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5"/>
        <w:gridCol w:w="613"/>
        <w:gridCol w:w="1427"/>
        <w:gridCol w:w="3520"/>
        <w:gridCol w:w="653"/>
        <w:gridCol w:w="2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31"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645" w:type="dxa"/>
            <w:tcBorders>
              <w:top w:val="nil"/>
              <w:left w:val="nil"/>
              <w:bottom w:val="nil"/>
              <w:right w:val="nil"/>
            </w:tcBorders>
            <w:shd w:val="clear" w:color="auto" w:fill="auto"/>
            <w:noWrap/>
            <w:vAlign w:val="bottom"/>
          </w:tcPr>
          <w:p>
            <w:pPr>
              <w:jc w:val="both"/>
              <w:rPr>
                <w:rFonts w:hint="eastAsia" w:ascii="Arial" w:hAnsi="Arial" w:cs="Arial"/>
                <w:i w:val="0"/>
                <w:iCs w:val="0"/>
                <w:color w:val="000000"/>
                <w:sz w:val="18"/>
                <w:szCs w:val="18"/>
                <w:u w:val="none"/>
              </w:rPr>
            </w:pPr>
          </w:p>
        </w:tc>
        <w:tc>
          <w:tcPr>
            <w:tcW w:w="613" w:type="dxa"/>
            <w:tcBorders>
              <w:top w:val="nil"/>
              <w:left w:val="nil"/>
              <w:bottom w:val="nil"/>
              <w:right w:val="nil"/>
            </w:tcBorders>
            <w:shd w:val="clear" w:color="auto" w:fill="auto"/>
            <w:noWrap/>
            <w:vAlign w:val="bottom"/>
          </w:tcPr>
          <w:p>
            <w:pPr>
              <w:jc w:val="both"/>
              <w:rPr>
                <w:rFonts w:hint="default" w:ascii="Arial" w:hAnsi="Arial" w:cs="Arial"/>
                <w:i w:val="0"/>
                <w:iCs w:val="0"/>
                <w:color w:val="000000"/>
                <w:sz w:val="18"/>
                <w:szCs w:val="18"/>
                <w:u w:val="none"/>
              </w:rPr>
            </w:pPr>
          </w:p>
        </w:tc>
        <w:tc>
          <w:tcPr>
            <w:tcW w:w="1427" w:type="dxa"/>
            <w:tcBorders>
              <w:top w:val="nil"/>
              <w:left w:val="nil"/>
              <w:bottom w:val="nil"/>
              <w:right w:val="nil"/>
            </w:tcBorders>
            <w:shd w:val="clear" w:color="auto" w:fill="auto"/>
            <w:noWrap/>
            <w:vAlign w:val="bottom"/>
          </w:tcPr>
          <w:p>
            <w:pPr>
              <w:jc w:val="both"/>
              <w:rPr>
                <w:rFonts w:hint="default" w:ascii="Arial" w:hAnsi="Arial" w:cs="Arial"/>
                <w:i w:val="0"/>
                <w:iCs w:val="0"/>
                <w:color w:val="000000"/>
                <w:sz w:val="18"/>
                <w:szCs w:val="18"/>
                <w:u w:val="none"/>
              </w:rPr>
            </w:pPr>
          </w:p>
        </w:tc>
        <w:tc>
          <w:tcPr>
            <w:tcW w:w="7146"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685" w:type="dxa"/>
            <w:gridSpan w:val="3"/>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7146"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146"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2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1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4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5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547.36</w:t>
            </w: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2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2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2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4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547.36</w:t>
            </w: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2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4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65.22</w:t>
            </w: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427"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3520"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2973"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1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4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c>
          <w:tcPr>
            <w:tcW w:w="3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2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31" w:type="dxa"/>
            <w:gridSpan w:val="6"/>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注：本表反映部门本年度的总收支和年末结转结余情况。本表金额转换为万元时，因四舍五入可能存在尾差。</w:t>
            </w:r>
          </w:p>
        </w:tc>
      </w:tr>
    </w:tbl>
    <w:p/>
    <w:p/>
    <w:p/>
    <w:tbl>
      <w:tblPr>
        <w:tblStyle w:val="4"/>
        <w:tblW w:w="139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
        <w:gridCol w:w="263"/>
        <w:gridCol w:w="720"/>
        <w:gridCol w:w="4101"/>
        <w:gridCol w:w="1366"/>
        <w:gridCol w:w="1366"/>
        <w:gridCol w:w="1038"/>
        <w:gridCol w:w="1038"/>
        <w:gridCol w:w="1038"/>
        <w:gridCol w:w="1027"/>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11"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63"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26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101"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0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0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0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027"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69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193"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1027"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69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3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03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03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03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69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10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0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0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6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4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547.36</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547.36</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464.38</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464.38</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民族事务</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462.05</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462.05</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2012301</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338.72</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338.72</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2012302</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18.32</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18.32</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2012350</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105.00</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105.00</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61.27</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61.27</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61.27</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61.27</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36.15</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36.15</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2.58</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2.58</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22.54</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22.54</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21.71</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21.71</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21.71</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21.71</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9.46</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9.46</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1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8.78</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8.78</w:t>
            </w: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11"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注：本表反映部门本年度取得的各项收入情况。本表金额转换为万元时，因四舍五入可能存在尾差。</w:t>
            </w:r>
          </w:p>
        </w:tc>
      </w:tr>
    </w:tbl>
    <w:p/>
    <w:p>
      <w:pPr>
        <w:pStyle w:val="2"/>
      </w:pPr>
    </w:p>
    <w:p>
      <w:pPr>
        <w:pStyle w:val="2"/>
      </w:pPr>
    </w:p>
    <w:tbl>
      <w:tblPr>
        <w:tblStyle w:val="4"/>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
        <w:gridCol w:w="260"/>
        <w:gridCol w:w="905"/>
        <w:gridCol w:w="4499"/>
        <w:gridCol w:w="1189"/>
        <w:gridCol w:w="1189"/>
        <w:gridCol w:w="1094"/>
        <w:gridCol w:w="699"/>
        <w:gridCol w:w="699"/>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8"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77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08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98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98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2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32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26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82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82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298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083"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3"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3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3"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9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612.58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584.16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28.42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518.17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489.75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515.84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487.42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2012301</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2012302</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2012304</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民族工作专项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2012350</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3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0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78"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注：本表反映部门本年度各项支出情况。本表金额转换为万元时，因四舍五入可能存在尾差。</w:t>
            </w:r>
          </w:p>
        </w:tc>
      </w:tr>
    </w:tbl>
    <w:p/>
    <w:p/>
    <w:p/>
    <w:p/>
    <w:p/>
    <w:p/>
    <w:p/>
    <w:p/>
    <w:p/>
    <w:p/>
    <w:p/>
    <w:p/>
    <w:p/>
    <w:p/>
    <w:p/>
    <w:p/>
    <w:p/>
    <w:p/>
    <w:p/>
    <w:p/>
    <w:p/>
    <w:tbl>
      <w:tblPr>
        <w:tblStyle w:val="4"/>
        <w:tblW w:w="138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5"/>
        <w:gridCol w:w="476"/>
        <w:gridCol w:w="1152"/>
        <w:gridCol w:w="3732"/>
        <w:gridCol w:w="476"/>
        <w:gridCol w:w="873"/>
        <w:gridCol w:w="1330"/>
        <w:gridCol w:w="1013"/>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71"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147"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147"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995"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7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3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1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65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6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547.36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518.17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518.17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547.36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65.22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65.22</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612.58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871"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tc>
      </w:tr>
    </w:tbl>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tbl>
      <w:tblPr>
        <w:tblStyle w:val="4"/>
        <w:tblW w:w="13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6"/>
        <w:gridCol w:w="222"/>
        <w:gridCol w:w="222"/>
        <w:gridCol w:w="4678"/>
        <w:gridCol w:w="1360"/>
        <w:gridCol w:w="1093"/>
        <w:gridCol w:w="3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765"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816"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67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09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37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8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67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09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37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82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678"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0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337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8"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8"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38"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3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38"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612.58</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584.16</w:t>
            </w:r>
          </w:p>
        </w:tc>
        <w:tc>
          <w:tcPr>
            <w:tcW w:w="3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518.17</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489.75</w:t>
            </w:r>
          </w:p>
        </w:tc>
        <w:tc>
          <w:tcPr>
            <w:tcW w:w="3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民族事务</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515.84</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487.42</w:t>
            </w:r>
          </w:p>
        </w:tc>
        <w:tc>
          <w:tcPr>
            <w:tcW w:w="3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2012301</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356.53</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2012302</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29.59</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21.89</w:t>
            </w:r>
          </w:p>
        </w:tc>
        <w:tc>
          <w:tcPr>
            <w:tcW w:w="3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2012304</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民族工作专项</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c>
          <w:tcPr>
            <w:tcW w:w="10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2012350</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124.91</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108.99</w:t>
            </w:r>
          </w:p>
        </w:tc>
        <w:tc>
          <w:tcPr>
            <w:tcW w:w="3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71.38</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40.34</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3.17</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3.17</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27.86</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27.86</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23.04</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10.31</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3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9.26</w:t>
            </w:r>
          </w:p>
        </w:tc>
        <w:tc>
          <w:tcPr>
            <w:tcW w:w="33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76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注：本表反映部门本年度一般公共预算财政拨款支出情况。本套报表金额单位转换时可能存在尾数误差。</w:t>
            </w:r>
          </w:p>
        </w:tc>
      </w:tr>
    </w:tbl>
    <w:p/>
    <w:p/>
    <w:tbl>
      <w:tblPr>
        <w:tblStyle w:val="4"/>
        <w:tblW w:w="13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516"/>
        <w:gridCol w:w="876"/>
        <w:gridCol w:w="766"/>
        <w:gridCol w:w="2416"/>
        <w:gridCol w:w="766"/>
        <w:gridCol w:w="766"/>
        <w:gridCol w:w="2999"/>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25"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66"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351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87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41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053"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106" w:type="dxa"/>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4819"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767"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7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9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5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9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479.15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58.88</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115.61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91.13</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190.05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0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0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29.06</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0.83</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13.93</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3.17</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28.11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43.51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0.12</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43.51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0.32</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2.67</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17.55</w:t>
            </w:r>
          </w:p>
        </w:tc>
        <w:tc>
          <w:tcPr>
            <w:tcW w:w="76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99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0.12</w:t>
            </w:r>
          </w:p>
        </w:tc>
        <w:tc>
          <w:tcPr>
            <w:tcW w:w="76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99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8.25</w:t>
            </w:r>
          </w:p>
        </w:tc>
        <w:tc>
          <w:tcPr>
            <w:tcW w:w="76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99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82"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522.66</w:t>
            </w:r>
          </w:p>
        </w:tc>
        <w:tc>
          <w:tcPr>
            <w:tcW w:w="7713"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0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25"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注：本表反映部门本年度一般公共预算财政拨款基本支出明细情况。本表金额转换为万元时，因四舍五入可能存在尾差。</w:t>
            </w:r>
          </w:p>
        </w:tc>
      </w:tr>
    </w:tbl>
    <w:p/>
    <w:p/>
    <w:p/>
    <w:p/>
    <w:p/>
    <w:tbl>
      <w:tblPr>
        <w:tblStyle w:val="4"/>
        <w:tblW w:w="138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8"/>
        <w:gridCol w:w="1128"/>
        <w:gridCol w:w="1128"/>
        <w:gridCol w:w="1128"/>
        <w:gridCol w:w="1128"/>
        <w:gridCol w:w="1128"/>
        <w:gridCol w:w="1128"/>
        <w:gridCol w:w="1128"/>
        <w:gridCol w:w="1128"/>
        <w:gridCol w:w="1128"/>
        <w:gridCol w:w="1128"/>
        <w:gridCol w:w="1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898"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618"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746"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713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4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2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49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w:t>
            </w:r>
          </w:p>
        </w:tc>
        <w:tc>
          <w:tcPr>
            <w:tcW w:w="14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3898"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
    <w:p/>
    <w:p/>
    <w:tbl>
      <w:tblPr>
        <w:tblStyle w:val="4"/>
        <w:tblW w:w="138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
        <w:gridCol w:w="308"/>
        <w:gridCol w:w="308"/>
        <w:gridCol w:w="1521"/>
        <w:gridCol w:w="1343"/>
        <w:gridCol w:w="1343"/>
        <w:gridCol w:w="1343"/>
        <w:gridCol w:w="1343"/>
        <w:gridCol w:w="1343"/>
        <w:gridCol w:w="4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45"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876"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部门：许昌市民族宗教事务局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37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5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45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337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33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2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33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45"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注：本表反映部门本年度政府性基金预算财政拨款收入、支出及结转和结余情况。本表金额转换为万元时，因四舍五入可能存在尾差。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仿宋" w:hAnsi="仿宋" w:eastAsia="仿宋" w:cs="仿宋"/>
                <w:color w:val="000000"/>
                <w:sz w:val="32"/>
                <w:szCs w:val="32"/>
                <w:highlight w:val="none"/>
              </w:rPr>
              <w:t>说明：我部门没有政府性基金收入，也没有使用政府性基金安排的支出，故本表无数据。</w:t>
            </w:r>
          </w:p>
        </w:tc>
      </w:tr>
    </w:tbl>
    <w:p/>
    <w:p/>
    <w:p/>
    <w:p/>
    <w:p>
      <w:pPr>
        <w:sectPr>
          <w:pgSz w:w="16838" w:h="11906" w:orient="landscape"/>
          <w:pgMar w:top="1800" w:right="1440" w:bottom="1800" w:left="1440" w:header="851" w:footer="992" w:gutter="0"/>
          <w:cols w:space="425"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90" w:lineRule="exact"/>
        <w:ind w:firstLine="640"/>
        <w:rPr>
          <w:rFonts w:hint="default" w:ascii="Times New Roman" w:hAnsi="Times New Roman" w:eastAsia="Times New Roman"/>
          <w:sz w:val="32"/>
          <w:szCs w:val="24"/>
        </w:rPr>
      </w:pPr>
      <w:r>
        <w:rPr>
          <w:rFonts w:hint="eastAsia" w:ascii="黑体" w:hAnsi="黑体" w:eastAsia="黑体"/>
          <w:sz w:val="32"/>
          <w:szCs w:val="24"/>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Times New Roman"/>
          <w:kern w:val="0"/>
          <w:sz w:val="18"/>
          <w:szCs w:val="24"/>
          <w:lang w:val="zh-CN"/>
        </w:rPr>
      </w:pPr>
      <w:r>
        <w:rPr>
          <w:rFonts w:hint="eastAsia" w:ascii="仿宋_GB2312" w:hAnsi="仿宋_GB2312" w:eastAsia="仿宋_GB2312"/>
          <w:sz w:val="32"/>
          <w:szCs w:val="24"/>
        </w:rPr>
        <w:t>2021年度收、支总计均为612.58万元。与上年度相比，收、支总计各减少15.65万元，下降2.49%。</w:t>
      </w:r>
      <w:r>
        <w:rPr>
          <w:rFonts w:hint="eastAsia" w:ascii="仿宋_GB2312" w:hAnsi="仿宋_GB2312" w:eastAsia="仿宋_GB2312" w:cs="仿宋_GB2312"/>
          <w:color w:val="auto"/>
          <w:sz w:val="32"/>
          <w:szCs w:val="32"/>
          <w:highlight w:val="none"/>
          <w:lang w:val="en-US" w:eastAsia="zh-CN"/>
        </w:rPr>
        <w:t>主要原因是人员减少；进一步压缩机关各项支出。</w:t>
      </w:r>
    </w:p>
    <w:p>
      <w:pPr>
        <w:spacing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二、收入决算情况说明</w:t>
      </w:r>
    </w:p>
    <w:p>
      <w:pPr>
        <w:spacing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2021年度收入合计547.36万元，其中：财政拨款收入547.36万元，占10</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；上级补助收入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；事业收入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；经营收入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；附属单位上缴收入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；其他收入</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p>
    <w:p>
      <w:pPr>
        <w:spacing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三、支出决算情况说明</w:t>
      </w:r>
    </w:p>
    <w:p>
      <w:pPr>
        <w:spacing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2021年度支出合计612.58万元，其中：基本支出584.16万元，占95.36%；项目支出28.42万元，占4.64%；上缴上级支出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；经营支出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；对附属单位补助支出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p>
    <w:p>
      <w:pPr>
        <w:spacing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2021年度财政拨款收、支总计均为612.58万元。与上年度相比，财政拨款收、支总计各减少15.65万元，下降2.49%。</w:t>
      </w:r>
      <w:r>
        <w:rPr>
          <w:rFonts w:hint="eastAsia" w:ascii="仿宋_GB2312" w:hAnsi="仿宋_GB2312" w:eastAsia="仿宋_GB2312" w:cs="仿宋_GB2312"/>
          <w:color w:val="auto"/>
          <w:sz w:val="32"/>
          <w:szCs w:val="32"/>
          <w:highlight w:val="none"/>
          <w:lang w:val="en-US" w:eastAsia="zh-CN"/>
        </w:rPr>
        <w:t>主要原因是人员减少；进一步压缩机关各项支出。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ind w:firstLine="640" w:firstLineChars="200"/>
        <w:jc w:val="left"/>
        <w:rPr>
          <w:rFonts w:hint="eastAsia" w:ascii="宋体" w:hAnsi="宋体"/>
          <w:kern w:val="0"/>
          <w:sz w:val="18"/>
          <w:szCs w:val="24"/>
          <w:lang w:val="zh-CN"/>
        </w:rPr>
      </w:pPr>
      <w:r>
        <w:rPr>
          <w:rFonts w:hint="eastAsia" w:ascii="仿宋_GB2312" w:hAnsi="仿宋_GB2312" w:eastAsia="仿宋_GB2312"/>
          <w:sz w:val="32"/>
          <w:szCs w:val="24"/>
          <w:lang w:val="en-US"/>
        </w:rPr>
        <w:t>2021年度一般公共预算财政拨款支出612.58万元，占支出合计的10</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。与上年度相比，一般公共预算财政拨款支出增加55.08万元，增长9.88%。主要原因是</w:t>
      </w:r>
      <w:r>
        <w:rPr>
          <w:rFonts w:hint="eastAsia" w:ascii="仿宋_GB2312" w:hAnsi="仿宋_GB2312" w:eastAsia="仿宋_GB2312"/>
          <w:sz w:val="32"/>
          <w:szCs w:val="24"/>
          <w:lang w:val="en-US" w:eastAsia="zh-CN"/>
        </w:rPr>
        <w:t>存在上年结转资金支出</w:t>
      </w:r>
      <w:r>
        <w:rPr>
          <w:rFonts w:hint="eastAsia" w:ascii="仿宋_GB2312" w:hAnsi="仿宋_GB2312" w:eastAsia="仿宋_GB2312"/>
          <w:sz w:val="32"/>
          <w:szCs w:val="24"/>
          <w:lang w:val="en-US"/>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612.58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518.17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84.59</w:t>
      </w:r>
      <w:r>
        <w:rPr>
          <w:rFonts w:hint="eastAsia" w:ascii="仿宋_GB2312" w:hAnsi="仿宋_GB2312" w:eastAsia="仿宋_GB2312" w:cs="仿宋_GB2312"/>
          <w:sz w:val="32"/>
          <w:szCs w:val="32"/>
          <w:highlight w:val="none"/>
        </w:rPr>
        <w:t>%；</w:t>
      </w:r>
      <w:r>
        <w:rPr>
          <w:rFonts w:hint="eastAsia" w:ascii="仿宋" w:hAnsi="仿宋" w:eastAsia="仿宋"/>
          <w:sz w:val="32"/>
        </w:rPr>
        <w:t>社会保障和就业（类）支出</w:t>
      </w:r>
      <w:r>
        <w:rPr>
          <w:rFonts w:hint="eastAsia" w:ascii="仿宋" w:hAnsi="仿宋" w:eastAsia="仿宋"/>
          <w:sz w:val="32"/>
          <w:lang w:val="en-US" w:eastAsia="zh-CN"/>
        </w:rPr>
        <w:t>71.38</w:t>
      </w:r>
      <w:r>
        <w:rPr>
          <w:rFonts w:hint="eastAsia" w:ascii="仿宋" w:hAnsi="仿宋" w:eastAsia="仿宋"/>
          <w:sz w:val="32"/>
        </w:rPr>
        <w:t>万元，占</w:t>
      </w:r>
      <w:r>
        <w:rPr>
          <w:rFonts w:hint="eastAsia" w:ascii="仿宋" w:hAnsi="仿宋" w:eastAsia="仿宋"/>
          <w:sz w:val="32"/>
          <w:lang w:val="en-US" w:eastAsia="zh-CN"/>
        </w:rPr>
        <w:t>11.65</w:t>
      </w:r>
      <w:r>
        <w:rPr>
          <w:rFonts w:hint="eastAsia" w:ascii="仿宋" w:hAnsi="仿宋" w:eastAsia="仿宋"/>
          <w:sz w:val="32"/>
        </w:rPr>
        <w:t>%</w:t>
      </w:r>
      <w:r>
        <w:rPr>
          <w:rFonts w:hint="eastAsia" w:ascii="仿宋" w:hAnsi="仿宋" w:eastAsia="仿宋"/>
          <w:sz w:val="32"/>
          <w:lang w:eastAsia="zh-CN"/>
        </w:rPr>
        <w:t>；卫生健康</w:t>
      </w:r>
      <w:r>
        <w:rPr>
          <w:rFonts w:hint="eastAsia" w:ascii="仿宋_GB2312" w:hAnsi="仿宋_GB2312" w:eastAsia="仿宋_GB2312" w:cs="仿宋_GB2312"/>
          <w:color w:val="auto"/>
          <w:sz w:val="32"/>
          <w:szCs w:val="32"/>
          <w:highlight w:val="none"/>
          <w:lang w:val="en-US" w:eastAsia="zh-CN"/>
        </w:rPr>
        <w:t>（类）</w:t>
      </w:r>
      <w:r>
        <w:rPr>
          <w:rFonts w:hint="eastAsia" w:ascii="仿宋" w:hAnsi="仿宋" w:eastAsia="仿宋"/>
          <w:sz w:val="32"/>
          <w:lang w:eastAsia="zh-CN"/>
        </w:rPr>
        <w:t>支出</w:t>
      </w:r>
      <w:r>
        <w:rPr>
          <w:rFonts w:hint="eastAsia" w:ascii="仿宋" w:hAnsi="仿宋" w:eastAsia="仿宋"/>
          <w:sz w:val="32"/>
          <w:lang w:val="en-US" w:eastAsia="zh-CN"/>
        </w:rPr>
        <w:t>23.04万元，占3.76%</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spacing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sz w:val="32"/>
          <w:szCs w:val="24"/>
          <w:lang w:val="en-US"/>
        </w:rPr>
        <w:t>2021年度一般公共预算财政拨款支出年初预算为540.83万元，支出决算为612.58万元，完成年初预算的113.27%。其中：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1．一般公共服务支出（类）民族事务（款）行政运行（项）。</w:t>
      </w:r>
      <w:r>
        <w:rPr>
          <w:rFonts w:hint="eastAsia" w:ascii="仿宋_GB2312" w:hAnsi="仿宋_GB2312" w:eastAsia="仿宋_GB2312" w:cs="仿宋_GB2312"/>
          <w:color w:val="auto"/>
          <w:sz w:val="32"/>
          <w:szCs w:val="32"/>
          <w:highlight w:val="none"/>
          <w:lang w:val="en-US" w:eastAsia="zh-CN"/>
        </w:rPr>
        <w:t>年初预算为328.12万元，支出决算为356.53万元，完成年初预算的108.66%。决算数与年初预算数存在差异的主要原因是工资福利支出增加。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2．一般公共服务支出（类）民族事务（款）一般行政管理事务（项）。</w:t>
      </w:r>
      <w:r>
        <w:rPr>
          <w:rFonts w:hint="eastAsia" w:ascii="仿宋_GB2312" w:hAnsi="仿宋_GB2312" w:eastAsia="仿宋_GB2312" w:cs="仿宋_GB2312"/>
          <w:color w:val="auto"/>
          <w:sz w:val="32"/>
          <w:szCs w:val="32"/>
          <w:highlight w:val="none"/>
          <w:lang w:val="en-US" w:eastAsia="zh-CN"/>
        </w:rPr>
        <w:t>年初预算为14.69万元，支出决算为29.59万元，完成年初预算的201.43%。决算数与年初预算数存在差异的主要原因是存在上年结转结余资金支出。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3．一般公共服务支出（类）民族事务（款）民族工作专项（项）。</w:t>
      </w:r>
      <w:r>
        <w:rPr>
          <w:rFonts w:hint="eastAsia" w:ascii="仿宋_GB2312" w:hAnsi="仿宋_GB2312" w:eastAsia="仿宋_GB2312" w:cs="仿宋_GB2312"/>
          <w:color w:val="auto"/>
          <w:sz w:val="32"/>
          <w:szCs w:val="32"/>
          <w:highlight w:val="none"/>
          <w:lang w:val="en-US" w:eastAsia="zh-CN"/>
        </w:rPr>
        <w:t>年初预算为0.00万元，支出决算为4.8万元。决算数与年初预算数存在差异的主要原因是存在后期追加项目经费支出。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4．一般公共服务支出（类）民族事务（款）事业运行（项）。</w:t>
      </w:r>
      <w:r>
        <w:rPr>
          <w:rFonts w:hint="eastAsia" w:ascii="仿宋_GB2312" w:hAnsi="仿宋_GB2312" w:eastAsia="仿宋_GB2312" w:cs="仿宋_GB2312"/>
          <w:color w:val="auto"/>
          <w:sz w:val="32"/>
          <w:szCs w:val="32"/>
          <w:highlight w:val="none"/>
          <w:lang w:val="en-US" w:eastAsia="zh-CN"/>
        </w:rPr>
        <w:t>年初预算为97.62万元，支出决算为124.91万元，完成年初预算的127.96%。决算数与年初预算数存在差异的主要原因是事业单位人员增加；存在后期追加项目经费支出。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年初预算为2.33万元，支出决算为2.33万元，完成年初预算的100.00%。决算数与年初预算数不存在差异。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年初预算为40.18万元，支出决算为40.34万元，完成年初预算的100</w:t>
      </w:r>
      <w:r>
        <w:rPr>
          <w:rFonts w:hint="default"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lang w:val="en-US" w:eastAsia="zh-CN"/>
        </w:rPr>
        <w:t>%。决算数与年初预算数存在差异的主要原因是退休人员增加。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年初预算为3.23万元，支出决算为3.17万元，完成年初预算的98.14%。决算数与年初预算数存在差异的主要原因各项基数调整。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年初预算为29.07万元，支出决算为27.86万元，完成年初预算的95.84%。决算数与年初预算数存在差异的主要原因是存在人员调出。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年初预算为11.33万元，支出决算为10.31万元，完成年初预算的91.00%。决算数与年初预算数存在差异的主要原因是局本级存在人员调出。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年初预算为3.47万元，支出决算为3.47万元，完成年初预算的100.00%。决算数与年初预算数不存在差异。</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2" w:firstLineChars="200"/>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11．卫生健康支出（类）行政事业单位医疗（款）行政公务员医疗补助（项）。</w:t>
      </w:r>
      <w:r>
        <w:rPr>
          <w:rFonts w:hint="eastAsia" w:ascii="仿宋_GB2312" w:hAnsi="仿宋_GB2312" w:eastAsia="仿宋_GB2312" w:cs="仿宋_GB2312"/>
          <w:color w:val="auto"/>
          <w:sz w:val="32"/>
          <w:szCs w:val="32"/>
          <w:highlight w:val="none"/>
          <w:lang w:val="en-US" w:eastAsia="zh-CN"/>
        </w:rPr>
        <w:t>年初预算为10.79万元，支出决算为9.26万元，完成年初预算的85.82%。决算数与年初预算数存在差异的主要原因是存在人员调出。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2021年度一般公共预算财政拨款基本支出584.16万元。其中：人员经费522.66万元，</w:t>
      </w:r>
      <w:r>
        <w:rPr>
          <w:rFonts w:hint="eastAsia" w:ascii="仿宋_GB2312" w:hAnsi="仿宋_GB2312" w:eastAsia="仿宋_GB2312" w:cs="仿宋_GB2312"/>
          <w:sz w:val="32"/>
          <w:szCs w:val="32"/>
          <w:highlight w:val="none"/>
        </w:rPr>
        <w:t>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基本工资、津贴补贴、奖金、机关事业单位基本养老保险缴费、职工基本医疗保险缴费、公务员医疗补助缴费、职业年金缴费、其他社会保障缴费、住房公积金、其他工资福利支出、退休费；</w:t>
      </w:r>
      <w:r>
        <w:rPr>
          <w:rFonts w:hint="eastAsia" w:ascii="仿宋_GB2312" w:hAnsi="仿宋_GB2312" w:eastAsia="仿宋_GB2312"/>
          <w:sz w:val="32"/>
          <w:szCs w:val="24"/>
          <w:lang w:val="en-US"/>
        </w:rPr>
        <w:t>公用经费61.5万元，</w:t>
      </w:r>
      <w:r>
        <w:rPr>
          <w:rFonts w:hint="eastAsia" w:ascii="仿宋_GB2312" w:hAnsi="仿宋_GB2312" w:eastAsia="仿宋_GB2312" w:cs="仿宋_GB2312"/>
          <w:sz w:val="32"/>
          <w:szCs w:val="32"/>
          <w:highlight w:val="none"/>
        </w:rPr>
        <w:t>主要包括：</w:t>
      </w:r>
      <w:r>
        <w:rPr>
          <w:rFonts w:hint="eastAsia" w:ascii="仿宋_GB2312" w:hAnsi="仿宋_GB2312" w:eastAsia="仿宋_GB2312" w:cs="仿宋_GB2312"/>
          <w:color w:val="auto"/>
          <w:sz w:val="32"/>
          <w:szCs w:val="32"/>
          <w:highlight w:val="none"/>
          <w:lang w:val="en-US" w:eastAsia="zh-CN"/>
        </w:rPr>
        <w:t>办公费、印刷费、水费、邮电费、差旅费、租赁费、会议费、劳务费、委托业务费、公务接待费、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经费财政拨款支出预算为4.65万元，支出决算为4.36万元，完成预算的93.7</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lang w:val="en-US"/>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进一步压减支出过紧日子</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；公务用车购置及运行费支出决算4.04万元，完成预算的</w:t>
      </w:r>
      <w:r>
        <w:rPr>
          <w:rFonts w:hint="eastAsia" w:ascii="仿宋_GB2312" w:hAnsi="仿宋_GB2312" w:eastAsia="仿宋_GB2312"/>
          <w:sz w:val="32"/>
          <w:szCs w:val="24"/>
          <w:lang w:val="en-US" w:eastAsia="zh-CN"/>
        </w:rPr>
        <w:t>98.54</w:t>
      </w:r>
      <w:r>
        <w:rPr>
          <w:rFonts w:hint="eastAsia" w:ascii="仿宋_GB2312" w:hAnsi="仿宋_GB2312" w:eastAsia="仿宋_GB2312"/>
          <w:sz w:val="32"/>
          <w:szCs w:val="24"/>
          <w:lang w:val="en-US"/>
        </w:rPr>
        <w:t>%，占92.6</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%；公务接待费支出决算0.32万元，完成预算的58.</w:t>
      </w:r>
      <w:r>
        <w:rPr>
          <w:rFonts w:hint="eastAsia" w:ascii="仿宋_GB2312" w:hAnsi="仿宋_GB2312" w:eastAsia="仿宋_GB2312"/>
          <w:sz w:val="32"/>
          <w:szCs w:val="24"/>
          <w:lang w:val="en-US" w:eastAsia="zh-CN"/>
        </w:rPr>
        <w:t>18</w:t>
      </w:r>
      <w:r>
        <w:rPr>
          <w:rFonts w:hint="eastAsia" w:ascii="仿宋_GB2312" w:hAnsi="仿宋_GB2312" w:eastAsia="仿宋_GB2312"/>
          <w:sz w:val="32"/>
          <w:szCs w:val="24"/>
          <w:lang w:val="en-US"/>
        </w:rPr>
        <w:t>%，占7.3</w:t>
      </w:r>
      <w:r>
        <w:rPr>
          <w:rFonts w:hint="eastAsia" w:ascii="仿宋_GB2312" w:hAnsi="仿宋_GB2312" w:eastAsia="仿宋_GB2312"/>
          <w:sz w:val="32"/>
          <w:szCs w:val="24"/>
          <w:lang w:val="en-US" w:eastAsia="zh-CN"/>
        </w:rPr>
        <w:t>3</w:t>
      </w:r>
      <w:r>
        <w:rPr>
          <w:rFonts w:hint="eastAsia" w:ascii="仿宋_GB2312" w:hAnsi="仿宋_GB2312" w:eastAsia="仿宋_GB2312"/>
          <w:sz w:val="32"/>
          <w:szCs w:val="24"/>
          <w:lang w:val="en-US"/>
        </w:rPr>
        <w:t>%；具体情况如下：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因公出国（境）团组数0个，因公出国（境）人次数0人。</w:t>
      </w:r>
    </w:p>
    <w:p>
      <w:pPr>
        <w:widowControl/>
        <w:spacing w:line="590" w:lineRule="exact"/>
        <w:ind w:firstLine="642" w:firstLineChars="200"/>
        <w:rPr>
          <w:rFonts w:hint="default" w:ascii="Times New Roman" w:hAnsi="Times New Roman" w:eastAsia="Times New Roman"/>
          <w:sz w:val="32"/>
          <w:szCs w:val="24"/>
          <w:lang w:val="en-US"/>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sz w:val="32"/>
          <w:szCs w:val="24"/>
          <w:lang w:val="en-US"/>
        </w:rPr>
        <w:t>预算为4</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万元，支出决算为4.04万元，完成年初预算的</w:t>
      </w:r>
      <w:r>
        <w:rPr>
          <w:rFonts w:hint="eastAsia" w:ascii="仿宋_GB2312" w:hAnsi="仿宋_GB2312" w:eastAsia="仿宋_GB2312"/>
          <w:sz w:val="32"/>
          <w:szCs w:val="24"/>
          <w:lang w:val="en-US" w:eastAsia="zh-CN"/>
        </w:rPr>
        <w:t>98.54</w:t>
      </w:r>
      <w:r>
        <w:rPr>
          <w:rFonts w:hint="eastAsia" w:ascii="仿宋_GB2312" w:hAnsi="仿宋_GB2312" w:eastAsia="仿宋_GB2312"/>
          <w:sz w:val="32"/>
          <w:szCs w:val="24"/>
          <w:lang w:val="en-US"/>
        </w:rPr>
        <w:t>%，决算数与预算数存在差异的主要原因是</w:t>
      </w:r>
      <w:r>
        <w:rPr>
          <w:rFonts w:hint="eastAsia" w:ascii="仿宋_GB2312" w:hAnsi="仿宋_GB2312" w:eastAsia="仿宋_GB2312" w:cs="仿宋_GB2312"/>
          <w:sz w:val="32"/>
          <w:szCs w:val="32"/>
          <w:highlight w:val="none"/>
          <w:lang w:eastAsia="zh-CN"/>
        </w:rPr>
        <w:t>进一步压减支出过紧日子</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4.04万元。</w:t>
      </w:r>
      <w:r>
        <w:rPr>
          <w:rFonts w:hint="eastAsia" w:ascii="仿宋_GB2312" w:hAnsi="仿宋_GB2312" w:eastAsia="仿宋_GB2312" w:cs="仿宋_GB2312"/>
          <w:color w:val="auto"/>
          <w:sz w:val="32"/>
          <w:szCs w:val="32"/>
          <w:highlight w:val="none"/>
          <w:lang w:val="en-US" w:eastAsia="zh-CN"/>
        </w:rPr>
        <w:t>主要用于公务用车油修费、过路费、保险费。2021年期末，部门开支财政拨款的公务用车保有量为1辆。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w:t>
      </w:r>
      <w:r>
        <w:rPr>
          <w:rFonts w:hint="eastAsia" w:ascii="仿宋_GB2312" w:hAnsi="仿宋_GB2312" w:eastAsia="仿宋_GB2312"/>
          <w:sz w:val="32"/>
          <w:szCs w:val="24"/>
          <w:lang w:val="en-US"/>
        </w:rPr>
        <w:t>为0.55万元，支出决算为0.32万元，完成年初预算的58.</w:t>
      </w:r>
      <w:r>
        <w:rPr>
          <w:rFonts w:hint="eastAsia" w:ascii="仿宋_GB2312" w:hAnsi="仿宋_GB2312" w:eastAsia="仿宋_GB2312"/>
          <w:sz w:val="32"/>
          <w:szCs w:val="24"/>
          <w:lang w:val="en-US" w:eastAsia="zh-CN"/>
        </w:rPr>
        <w:t>18</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highlight w:val="none"/>
        </w:rPr>
        <w:t>决算数与预算数存在差异的主要原因</w:t>
      </w:r>
      <w:r>
        <w:rPr>
          <w:rFonts w:hint="eastAsia" w:ascii="仿宋_GB2312" w:hAnsi="仿宋_GB2312" w:eastAsia="仿宋_GB2312" w:cs="仿宋_GB2312"/>
          <w:sz w:val="32"/>
          <w:szCs w:val="32"/>
          <w:highlight w:val="none"/>
          <w:lang w:eastAsia="zh-CN"/>
        </w:rPr>
        <w:t>进一步压减支出过紧日子</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highlight w:val="none"/>
        </w:rPr>
        <w:t>其中：</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2021年共接待国（境）外来访团组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个、来访外宾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上级调研督导等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51.99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57.66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110.91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存在上年结转支出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2021年度政府采购支出总额24.7万元，其中：政府采购货物支出24.7万元</w:t>
      </w:r>
      <w:r>
        <w:rPr>
          <w:rFonts w:hint="eastAsia" w:ascii="仿宋_GB2312" w:hAnsi="仿宋_GB2312" w:eastAsia="仿宋_GB2312"/>
          <w:sz w:val="32"/>
          <w:szCs w:val="24"/>
          <w:lang w:val="en-US" w:eastAsia="zh-CN"/>
        </w:rPr>
        <w:t>（含国产电脑划拨资产）</w:t>
      </w:r>
      <w:r>
        <w:rPr>
          <w:rFonts w:hint="eastAsia" w:ascii="仿宋_GB2312" w:hAnsi="仿宋_GB2312" w:eastAsia="仿宋_GB2312"/>
          <w:sz w:val="32"/>
          <w:szCs w:val="24"/>
          <w:lang w:val="en-US"/>
        </w:rPr>
        <w:t>、政府采购工程支出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、政府采购服务支出</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。授予中小企业合同金额</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，占政府采购支出总额的</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,其中：授予小微企业合同金额</w:t>
      </w:r>
      <w:r>
        <w:rPr>
          <w:rFonts w:hint="eastAsia" w:ascii="仿宋_GB2312" w:hAnsi="仿宋_GB2312" w:eastAsia="仿宋_GB2312"/>
          <w:sz w:val="32"/>
          <w:szCs w:val="24"/>
          <w:lang w:val="en-US" w:eastAsia="zh-CN"/>
        </w:rPr>
        <w:t>0.00万元</w:t>
      </w:r>
      <w:r>
        <w:rPr>
          <w:rFonts w:hint="eastAsia" w:ascii="仿宋_GB2312" w:hAnsi="仿宋_GB2312" w:eastAsia="仿宋_GB2312"/>
          <w:sz w:val="32"/>
          <w:szCs w:val="24"/>
          <w:lang w:val="en-US"/>
        </w:rPr>
        <w:t>，占政府采购支出总额的</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outlineLvl w:val="1"/>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r>
        <w:rPr>
          <w:rFonts w:hint="eastAsia" w:ascii="仿宋_GB2312" w:hAnsi="仿宋_GB2312" w:eastAsia="仿宋_GB2312"/>
          <w:sz w:val="32"/>
          <w:szCs w:val="24"/>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r>
        <w:rPr>
          <w:rFonts w:hint="eastAsia" w:ascii="仿宋_GB2312" w:hAnsi="仿宋_GB2312" w:eastAsia="仿宋_GB2312" w:cs="仿宋_GB2312"/>
          <w:bCs/>
          <w:sz w:val="32"/>
          <w:szCs w:val="32"/>
          <w:lang w:eastAsia="zh-CN"/>
        </w:rPr>
        <w:t>我部门以绩效自评结果为导向，科学合理设置绩效目标和绩效标准，将绩效自评结果运用于导向绩效预算，促进项目资金的高效利用，部门绩效及时公开，自觉接受服务对象、利益相关方及监督部门的监督。</w:t>
      </w:r>
    </w:p>
    <w:p>
      <w:pPr>
        <w:keepNext w:val="0"/>
        <w:keepLines w:val="0"/>
        <w:pageBreakBefore w:val="0"/>
        <w:widowControl/>
        <w:kinsoku/>
        <w:wordWrap/>
        <w:overflowPunct/>
        <w:topLinePunct w:val="0"/>
        <w:autoSpaceDE/>
        <w:autoSpaceDN/>
        <w:bidi w:val="0"/>
        <w:adjustRightInd/>
        <w:snapToGrid/>
        <w:spacing w:line="360" w:lineRule="auto"/>
        <w:ind w:right="0" w:rightChars="0" w:firstLine="481"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按照《许昌市财政局关于开展2021年度市级预算绩效自评工作的通知》（许财效）〔2021〕1号）等文件精神，我部门对本部门整体绩效目标和项目支出绩效目标进行了自评。一是部门整体绩效自评情况:</w:t>
      </w:r>
      <w:r>
        <w:rPr>
          <w:rFonts w:hint="eastAsia" w:ascii="仿宋_GB2312" w:hAnsi="仿宋_GB2312" w:eastAsia="仿宋_GB2312" w:cs="仿宋_GB2312"/>
          <w:b w:val="0"/>
          <w:bCs w:val="0"/>
          <w:sz w:val="32"/>
          <w:szCs w:val="32"/>
          <w:lang w:val="en-US" w:eastAsia="zh-CN"/>
        </w:rPr>
        <w:t>除部分指标因疫情无法完成外，部门总体工作任务完成较好，整体自评得分92分，达到预期目标。</w:t>
      </w:r>
      <w:r>
        <w:rPr>
          <w:rFonts w:hint="eastAsia" w:ascii="仿宋_GB2312" w:hAnsi="仿宋_GB2312" w:eastAsia="仿宋_GB2312" w:cs="仿宋_GB2312"/>
          <w:color w:val="auto"/>
          <w:sz w:val="32"/>
          <w:szCs w:val="32"/>
          <w:highlight w:val="none"/>
          <w:lang w:val="en-US" w:eastAsia="zh-CN"/>
        </w:rPr>
        <w:t>二是项目绩效自评情况。我部门共有3个项目批复了绩效目标。其中：</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许昌市民族宗教事务局2个，</w:t>
      </w:r>
      <w:r>
        <w:rPr>
          <w:rFonts w:hint="default" w:ascii="仿宋_GB2312" w:hAnsi="Times New Roman" w:eastAsia="仿宋_GB2312" w:cs="仿宋_GB2312"/>
          <w:kern w:val="2"/>
          <w:sz w:val="32"/>
          <w:szCs w:val="32"/>
          <w:lang w:val="en-US" w:eastAsia="zh-CN"/>
        </w:rPr>
        <w:t>项目金额</w:t>
      </w:r>
      <w:r>
        <w:rPr>
          <w:rFonts w:hint="eastAsia" w:ascii="仿宋_GB2312" w:hAnsi="Times New Roman" w:eastAsia="仿宋_GB2312" w:cs="仿宋_GB2312"/>
          <w:kern w:val="2"/>
          <w:sz w:val="32"/>
          <w:szCs w:val="32"/>
          <w:lang w:val="en-US" w:eastAsia="zh-CN"/>
        </w:rPr>
        <w:t>17</w:t>
      </w:r>
      <w:r>
        <w:rPr>
          <w:rFonts w:hint="default" w:ascii="仿宋_GB2312" w:hAnsi="Times New Roman" w:eastAsia="仿宋_GB2312" w:cs="仿宋_GB2312"/>
          <w:kern w:val="2"/>
          <w:sz w:val="32"/>
          <w:szCs w:val="32"/>
          <w:lang w:val="en-US" w:eastAsia="zh-CN"/>
        </w:rPr>
        <w:t>万元；</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许昌市民族宗教事务执法支队1个，</w:t>
      </w:r>
      <w:r>
        <w:rPr>
          <w:rFonts w:hint="default" w:ascii="仿宋_GB2312" w:hAnsi="Times New Roman" w:eastAsia="仿宋_GB2312" w:cs="仿宋_GB2312"/>
          <w:kern w:val="2"/>
          <w:sz w:val="32"/>
          <w:szCs w:val="32"/>
          <w:lang w:val="en-US" w:eastAsia="zh-CN"/>
        </w:rPr>
        <w:t>项目金额</w:t>
      </w:r>
      <w:r>
        <w:rPr>
          <w:rFonts w:hint="eastAsia" w:ascii="仿宋_GB2312" w:hAnsi="Times New Roman" w:eastAsia="仿宋_GB2312" w:cs="仿宋_GB2312"/>
          <w:kern w:val="2"/>
          <w:sz w:val="32"/>
          <w:szCs w:val="32"/>
          <w:lang w:val="en-US" w:eastAsia="zh-CN"/>
        </w:rPr>
        <w:t>25</w:t>
      </w:r>
      <w:r>
        <w:rPr>
          <w:rFonts w:hint="default" w:ascii="仿宋_GB2312" w:hAnsi="Times New Roman" w:eastAsia="仿宋_GB2312" w:cs="仿宋_GB2312"/>
          <w:kern w:val="2"/>
          <w:sz w:val="32"/>
          <w:szCs w:val="32"/>
          <w:lang w:val="en-US" w:eastAsia="zh-CN"/>
        </w:rPr>
        <w:t>万元</w:t>
      </w:r>
      <w:r>
        <w:rPr>
          <w:rFonts w:hint="eastAsia" w:ascii="仿宋_GB2312" w:hAnsi="Times New Roman" w:eastAsia="仿宋_GB2312" w:cs="仿宋_GB2312"/>
          <w:kern w:val="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基于项目预期目标的实现程度，对2021年度项目支出绩效进行自评，绩效自评平均得分为91分。其中：</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个项目评价等级为“优”、</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
    <w:p/>
    <w:p/>
    <w:p/>
    <w:p/>
    <w:p/>
    <w:p/>
    <w:p/>
    <w:p>
      <w:pPr>
        <w:pStyle w:val="2"/>
      </w:pPr>
    </w:p>
    <w:p>
      <w:pPr>
        <w:pStyle w:val="2"/>
      </w:pPr>
    </w:p>
    <w:p>
      <w:pPr>
        <w:pStyle w:val="2"/>
      </w:pPr>
      <w:bookmarkStart w:id="0" w:name="_GoBack"/>
      <w:bookmarkEnd w:id="0"/>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
    <w:p/>
    <w:p/>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b w:val="0"/>
          <w:bCs w:val="0"/>
          <w:kern w:val="2"/>
          <w:sz w:val="32"/>
          <w:szCs w:val="32"/>
          <w:lang w:val="en-US" w:eastAsia="zh-CN"/>
        </w:rPr>
        <w:t>一、财政拨款收入：</w:t>
      </w:r>
      <w:r>
        <w:rPr>
          <w:rFonts w:hint="default" w:ascii="仿宋_GB2312" w:hAnsi="Times New Roman" w:eastAsia="仿宋_GB2312" w:cs="仿宋_GB2312"/>
          <w:kern w:val="2"/>
          <w:sz w:val="32"/>
          <w:szCs w:val="32"/>
          <w:lang w:val="en-US" w:eastAsia="zh-CN"/>
        </w:rPr>
        <w:t>单位从同级政府财政部门取得的财政预算资金。</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二、事业收入：事业单位开展专业业务活动及其辅助活动取得的收入。</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三、上级补助收入：事业单位从主管部门和上级单位取得的非财政补助收入。</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四、附属单位上缴收入：事业单位取得附属独立核算单位根据有关规定上缴的收入。</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八、基本支出：为保障机构正常运转、完成日常工作任务而发生的人员支出和公用支出。</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九、项目支出：基本支出之外为完成特定行政任务和事业发展目标所发生的支出。</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十三、商品和服务支出：单位购买商品和服务的支出。</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十四、对个人和家庭的补助支出：单位用于对个人和家庭的补助支出。</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rPr>
        <w:t>十六、年末结余：本年度或以前年度预算安排，已执行完毕或因客观条件发生变化无法按原预算安排实施，不需要再使用或无法按原预算安排继续使用的资金</w:t>
      </w:r>
      <w:r>
        <w:rPr>
          <w:rFonts w:hint="eastAsia" w:ascii="仿宋_GB2312" w:hAnsi="Times New Roman" w:eastAsia="仿宋_GB2312" w:cs="仿宋_GB2312"/>
          <w:kern w:val="2"/>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5dblS0AAAAAUBAAAPAAAAAAAAAAEAIAAAADgAAABkcnMvZG93bnJldi54bWxQSwEC&#10;FAAUAAAACACHTuJAcQ7or60BAABAAwAADgAAAAAAAAABACAAAAA1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hint="eastAsia"/>
                            </w:rPr>
                          </w:pPr>
                        </w:p>
                      </w:txbxContent>
                    </wps:txbx>
                    <wps:bodyPr wrap="none" lIns="0" tIns="0" rIns="0" bIns="0" upright="false">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uXW5UtAAAAAFAQAADwAAAAAAAAABACAAAAA4AAAAZHJzL2Rvd25yZXYueG1sUEsB&#10;AhQAFAAAAAgAh07iQPhV5vuuAQAAQAMAAA4AAAAAAAAAAQAgAAAANQEAAGRycy9lMm9Eb2MueG1s&#10;UEsFBgAAAAAGAAYAWQEAAFUFA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5dblS0AAAAAUBAAAPAAAAAAAAAAEAIAAAADgAAABkcnMvZG93bnJldi54bWxQSwEC&#10;FAAUAAAACACHTuJArongwK0BAABAAwAADgAAAAAAAAABACAAAAA1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Yzg4ZmEyYjRmZDNiNTRmOTc2MzNmYTFlNTMxZjgifQ=="/>
  </w:docVars>
  <w:rsids>
    <w:rsidRoot w:val="00000000"/>
    <w:rsid w:val="13F35B2E"/>
    <w:rsid w:val="1BFBCA4E"/>
    <w:rsid w:val="36EB993D"/>
    <w:rsid w:val="4D3FC27C"/>
    <w:rsid w:val="5BFC3BF9"/>
    <w:rsid w:val="6B17CFF4"/>
    <w:rsid w:val="73F2BCDF"/>
    <w:rsid w:val="7BC5E382"/>
    <w:rsid w:val="7DE53CC0"/>
    <w:rsid w:val="7E1E1EAD"/>
    <w:rsid w:val="7FFF5A91"/>
    <w:rsid w:val="BFEE357A"/>
    <w:rsid w:val="CFDEFDC7"/>
    <w:rsid w:val="D1E59E5F"/>
    <w:rsid w:val="DADD89F3"/>
    <w:rsid w:val="DF3794B1"/>
    <w:rsid w:val="DFF7538A"/>
    <w:rsid w:val="EEFF172E"/>
    <w:rsid w:val="EFFE5B81"/>
    <w:rsid w:val="EFFEBBBE"/>
    <w:rsid w:val="F74CB629"/>
    <w:rsid w:val="F7FFE304"/>
    <w:rsid w:val="FEFFD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9221</Words>
  <Characters>11217</Characters>
  <Paragraphs>2151</Paragraphs>
  <TotalTime>1</TotalTime>
  <ScaleCrop>false</ScaleCrop>
  <LinksUpToDate>false</LinksUpToDate>
  <CharactersWithSpaces>11462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2023-02-17T09:24:00Z</dcterms:created>
  <dc:creator>Administrator</dc:creator>
  <cp:lastModifiedBy>huanghe</cp:lastModifiedBy>
  <dcterms:modified xsi:type="dcterms:W3CDTF">2023-05-12T17:52:08Z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C6FE4FEFC0764301A7F7BACA2C0C7241</vt:lpwstr>
  </property>
</Properties>
</file>