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lang w:eastAsia="zh-CN"/>
        </w:rPr>
        <w:t>许昌市民政局</w:t>
      </w:r>
      <w:r>
        <w:rPr>
          <w:rFonts w:hint="eastAsia" w:ascii="黑体" w:hAnsi="黑体" w:eastAsia="黑体" w:cs="黑体"/>
          <w:color w:val="auto"/>
          <w:sz w:val="52"/>
          <w:szCs w:val="52"/>
          <w:highlight w:val="none"/>
        </w:rPr>
        <w:t>部门决算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许昌市民政局</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部门职责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2021年度部门决算表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ascii="黑体" w:hAnsi="黑体" w:eastAsia="黑体" w:cs="黑体"/>
          <w:color w:val="auto"/>
          <w:sz w:val="32"/>
          <w:szCs w:val="32"/>
          <w:highlight w:val="none"/>
        </w:rPr>
        <w:t>部门</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 xml:space="preserve">第一部分  </w:t>
      </w:r>
      <w:r>
        <w:rPr>
          <w:rFonts w:hint="eastAsia" w:ascii="黑体" w:hAnsi="黑体" w:eastAsia="黑体" w:cs="黑体"/>
          <w:color w:val="auto"/>
          <w:sz w:val="48"/>
          <w:szCs w:val="48"/>
          <w:highlight w:val="none"/>
          <w:lang w:eastAsia="zh-CN"/>
        </w:rPr>
        <w:t>许昌市民政局</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一、部门</w:t>
      </w:r>
      <w:r>
        <w:rPr>
          <w:rFonts w:hint="eastAsia" w:ascii="黑体" w:hAnsi="黑体" w:eastAsia="黑体" w:cs="黑体"/>
          <w:bCs/>
          <w:color w:val="auto"/>
          <w:sz w:val="32"/>
          <w:szCs w:val="32"/>
          <w:highlight w:val="none"/>
        </w:rPr>
        <w:t>职责</w:t>
      </w:r>
    </w:p>
    <w:p>
      <w:pPr>
        <w:spacing w:line="560" w:lineRule="exact"/>
        <w:ind w:firstLine="640" w:firstLineChars="200"/>
        <w:rPr>
          <w:rFonts w:hint="eastAsia" w:ascii="仿宋_GB2312" w:hAnsi="宋体" w:eastAsia="仿宋_GB2312" w:cs="宋体"/>
          <w:color w:val="auto"/>
          <w:kern w:val="0"/>
          <w:sz w:val="32"/>
          <w:szCs w:val="32"/>
          <w:highlight w:val="none"/>
          <w:lang w:eastAsia="zh-CN"/>
        </w:rPr>
      </w:pPr>
      <w:r>
        <w:rPr>
          <w:rFonts w:hint="eastAsia" w:ascii="宋体" w:hAnsi="宋体" w:eastAsia="仿宋_GB2312"/>
          <w:color w:val="auto"/>
          <w:sz w:val="32"/>
          <w:szCs w:val="32"/>
          <w:highlight w:val="none"/>
        </w:rPr>
        <w:t>根据中共许昌市委、许昌市人民政府《关于印发〈许昌市人民政府职能转变和机构改革实施意见〉的通知》(许发〔2014〕26号),许昌市民政局主要职责是：担负社会救助、社会福利、社区建设、民间组织管理、双拥优抚安置和专项社会事务管理等社会管理和公共服务职能</w:t>
      </w:r>
      <w:r>
        <w:rPr>
          <w:rFonts w:hint="eastAsia" w:ascii="仿宋_GB2312" w:hAnsi="宋体" w:eastAsia="仿宋_GB2312" w:cs="宋体"/>
          <w:color w:val="auto"/>
          <w:kern w:val="0"/>
          <w:sz w:val="32"/>
          <w:szCs w:val="32"/>
          <w:highlight w:val="none"/>
        </w:rPr>
        <w:t>。</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许昌市民政局内设职能科（室）</w:t>
      </w:r>
      <w:r>
        <w:rPr>
          <w:rFonts w:hint="eastAsia" w:ascii="仿宋_GB2312" w:hAnsi="宋体" w:eastAsia="仿宋_GB2312"/>
          <w:color w:val="auto"/>
          <w:sz w:val="32"/>
          <w:szCs w:val="32"/>
          <w:highlight w:val="none"/>
          <w:lang w:val="en-US" w:eastAsia="zh-CN"/>
        </w:rPr>
        <w:t>10个</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val="en-US" w:eastAsia="zh-CN"/>
        </w:rPr>
        <w:t>包括</w:t>
      </w:r>
      <w:r>
        <w:rPr>
          <w:rFonts w:hint="eastAsia" w:ascii="仿宋_GB2312" w:hAnsi="宋体" w:eastAsia="仿宋_GB2312"/>
          <w:color w:val="auto"/>
          <w:sz w:val="32"/>
          <w:szCs w:val="32"/>
          <w:highlight w:val="none"/>
        </w:rPr>
        <w:t>办公室、规划财务科、社会福利和慈善事业促进科、社会救助科、基层政权和社区建设科、区划地名科、社会事务科、养老服务科、儿童福利科、人事科</w:t>
      </w:r>
      <w:r>
        <w:rPr>
          <w:rFonts w:hint="eastAsia" w:ascii="仿宋_GB2312" w:hAnsi="宋体" w:eastAsia="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二级单位为包括：许昌市民政局（本级）、许昌市社会福利院、许昌市按摩医院、许昌市殡仪馆、许昌市殡葬管理所、许昌市救助管理站、许昌市低收入指导认定中心等共7个。</w:t>
      </w:r>
      <w:r>
        <w:rPr>
          <w:rFonts w:hint="eastAsia" w:ascii="仿宋_GB2312" w:hAnsi="宋体" w:eastAsia="仿宋_GB2312"/>
          <w:color w:val="auto"/>
          <w:sz w:val="32"/>
          <w:szCs w:val="32"/>
          <w:highlight w:val="none"/>
        </w:rPr>
        <w:t>另设有机关党委和离退休干部工作科。</w:t>
      </w:r>
    </w:p>
    <w:p>
      <w:pPr>
        <w:widowControl/>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从决算单位构成看，许昌市民政局部门决算包括：本级决算（1个）、所属单位决算（6个）。</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本决算为汇总决算，纳入本部门2020年度部门决算编制范围的单位共7个，其中二级预算单位6个，具体是：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1.许昌市民政局（本级）</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2.许昌市社会福利院</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3.许昌市按摩医院</w:t>
      </w:r>
    </w:p>
    <w:p>
      <w:pPr>
        <w:widowControl/>
        <w:ind w:firstLine="640" w:firstLineChars="200"/>
        <w:jc w:val="left"/>
        <w:rPr>
          <w:rFonts w:hint="eastAsia" w:ascii="黑体" w:hAnsi="宋体" w:eastAsia="黑体" w:cs="宋体"/>
          <w:color w:val="auto"/>
          <w:kern w:val="0"/>
          <w:sz w:val="28"/>
          <w:szCs w:val="28"/>
          <w:highlight w:val="none"/>
          <w:lang w:val="en-US" w:eastAsia="zh-CN"/>
        </w:rPr>
      </w:pPr>
      <w:r>
        <w:rPr>
          <w:rFonts w:hint="eastAsia" w:ascii="仿宋_GB2312" w:hAnsi="仿宋_GB2312" w:eastAsia="仿宋_GB2312" w:cs="仿宋_GB2312"/>
          <w:color w:val="auto"/>
          <w:kern w:val="0"/>
          <w:sz w:val="32"/>
          <w:szCs w:val="32"/>
          <w:highlight w:val="none"/>
          <w:lang w:val="en-US" w:eastAsia="zh-CN"/>
        </w:rPr>
        <w:t>4.许昌市殡仪馆</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5.许昌市殡葬管理所</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numPr>
          <w:ilvl w:val="0"/>
          <w:numId w:val="2"/>
        </w:num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许昌市救助管理站</w:t>
      </w:r>
    </w:p>
    <w:p>
      <w:pPr>
        <w:widowControl/>
        <w:numPr>
          <w:ilvl w:val="0"/>
          <w:numId w:val="2"/>
        </w:numPr>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许昌市低收入家庭认定指导中心</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tabs>
          <w:tab w:val="left" w:pos="2568"/>
        </w:tabs>
        <w:jc w:val="left"/>
        <w:rPr>
          <w:rFonts w:hint="eastAsia" w:ascii="黑体" w:hAnsi="宋体" w:eastAsia="黑体" w:cs="宋体"/>
          <w:color w:val="auto"/>
          <w:kern w:val="0"/>
          <w:sz w:val="28"/>
          <w:szCs w:val="28"/>
          <w:highlight w:val="none"/>
          <w:lang w:val="en-US" w:eastAsia="zh-CN"/>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黑体" w:hAnsi="宋体" w:eastAsia="黑体" w:cs="宋体"/>
          <w:color w:val="auto"/>
          <w:kern w:val="0"/>
          <w:sz w:val="28"/>
          <w:szCs w:val="28"/>
          <w:highlight w:val="none"/>
          <w:lang w:val="en-US" w:eastAsia="zh-CN"/>
        </w:rPr>
        <w:tab/>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2021年度部门决算表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633"/>
        <w:gridCol w:w="460"/>
        <w:gridCol w:w="2784"/>
        <w:gridCol w:w="2574"/>
        <w:gridCol w:w="460"/>
        <w:gridCol w:w="27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1695" w:type="dxa"/>
            <w:gridSpan w:val="6"/>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633" w:type="dxa"/>
            <w:noWrap w:val="0"/>
            <w:vAlign w:val="bottom"/>
          </w:tcPr>
          <w:p>
            <w:pPr>
              <w:rPr>
                <w:rFonts w:hint="eastAsia" w:ascii="Arial" w:hAnsi="Arial" w:cs="Arial"/>
                <w:i w:val="0"/>
                <w:color w:val="auto"/>
                <w:sz w:val="20"/>
                <w:szCs w:val="20"/>
                <w:highlight w:val="none"/>
                <w:u w:val="none"/>
              </w:rPr>
            </w:pPr>
          </w:p>
        </w:tc>
        <w:tc>
          <w:tcPr>
            <w:tcW w:w="460" w:type="dxa"/>
            <w:noWrap w:val="0"/>
            <w:vAlign w:val="bottom"/>
          </w:tcPr>
          <w:p>
            <w:pPr>
              <w:rPr>
                <w:rFonts w:hint="default" w:ascii="Arial" w:hAnsi="Arial" w:cs="Arial"/>
                <w:i w:val="0"/>
                <w:color w:val="auto"/>
                <w:sz w:val="20"/>
                <w:szCs w:val="20"/>
                <w:highlight w:val="none"/>
                <w:u w:val="none"/>
              </w:rPr>
            </w:pPr>
          </w:p>
        </w:tc>
        <w:tc>
          <w:tcPr>
            <w:tcW w:w="2784" w:type="dxa"/>
            <w:noWrap w:val="0"/>
            <w:vAlign w:val="bottom"/>
          </w:tcPr>
          <w:p>
            <w:pPr>
              <w:rPr>
                <w:rFonts w:hint="default" w:ascii="Arial" w:hAnsi="Arial" w:cs="Arial"/>
                <w:i w:val="0"/>
                <w:color w:val="auto"/>
                <w:sz w:val="20"/>
                <w:szCs w:val="20"/>
                <w:highlight w:val="none"/>
                <w:u w:val="none"/>
              </w:rPr>
            </w:pPr>
          </w:p>
        </w:tc>
        <w:tc>
          <w:tcPr>
            <w:tcW w:w="2574" w:type="dxa"/>
            <w:noWrap w:val="0"/>
            <w:vAlign w:val="bottom"/>
          </w:tcPr>
          <w:p>
            <w:pPr>
              <w:rPr>
                <w:rFonts w:hint="default" w:ascii="Arial" w:hAnsi="Arial" w:cs="Arial"/>
                <w:i w:val="0"/>
                <w:color w:val="auto"/>
                <w:sz w:val="20"/>
                <w:szCs w:val="20"/>
                <w:highlight w:val="none"/>
                <w:u w:val="none"/>
              </w:rPr>
            </w:pPr>
          </w:p>
        </w:tc>
        <w:tc>
          <w:tcPr>
            <w:tcW w:w="3244"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451" w:type="dxa"/>
            <w:gridSpan w:val="4"/>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3244"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877"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5818" w:type="dxa"/>
            <w:gridSpan w:val="3"/>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78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78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60" w:type="dxa"/>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78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60" w:type="dxa"/>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78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4,203.43</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1,119.21</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8,349.63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i w:val="0"/>
                <w:color w:val="auto"/>
                <w:sz w:val="20"/>
                <w:szCs w:val="20"/>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0"/>
                <w:szCs w:val="20"/>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0"/>
                <w:szCs w:val="20"/>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0"/>
                <w:szCs w:val="20"/>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0"/>
                <w:szCs w:val="20"/>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0"/>
                <w:szCs w:val="20"/>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5,753.92</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8,932.37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18.82</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3,939.66</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780.03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2784"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2784" w:type="dxa"/>
            <w:tcBorders>
              <w:bottom w:val="single" w:color="000000" w:sz="4" w:space="0"/>
              <w:right w:val="single" w:color="000000" w:sz="4" w:space="0"/>
            </w:tcBorders>
            <w:shd w:val="clear" w:color="auto" w:fill="FFFFFF"/>
            <w:noWrap w:val="0"/>
            <w:vAlign w:val="center"/>
          </w:tcPr>
          <w:p>
            <w:pPr>
              <w:jc w:val="lef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633"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60" w:type="dxa"/>
            <w:tcBorders>
              <w:bottom w:val="single" w:color="000000" w:sz="12"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9,712.40</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2784"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695" w:type="dxa"/>
            <w:gridSpan w:val="6"/>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45"/>
        <w:gridCol w:w="960"/>
        <w:gridCol w:w="645"/>
        <w:gridCol w:w="3929"/>
        <w:gridCol w:w="1800"/>
        <w:gridCol w:w="960"/>
        <w:gridCol w:w="960"/>
        <w:gridCol w:w="960"/>
        <w:gridCol w:w="960"/>
        <w:gridCol w:w="960"/>
        <w:gridCol w:w="9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739" w:type="dxa"/>
            <w:gridSpan w:val="11"/>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45" w:type="dxa"/>
            <w:noWrap w:val="0"/>
            <w:vAlign w:val="bottom"/>
          </w:tcPr>
          <w:p>
            <w:pPr>
              <w:rPr>
                <w:rFonts w:hint="eastAsia"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645" w:type="dxa"/>
            <w:noWrap w:val="0"/>
            <w:vAlign w:val="bottom"/>
          </w:tcPr>
          <w:p>
            <w:pPr>
              <w:rPr>
                <w:rFonts w:hint="default" w:ascii="Arial" w:hAnsi="Arial" w:cs="Arial"/>
                <w:i w:val="0"/>
                <w:color w:val="auto"/>
                <w:sz w:val="20"/>
                <w:szCs w:val="20"/>
                <w:highlight w:val="none"/>
                <w:u w:val="none"/>
              </w:rPr>
            </w:pPr>
          </w:p>
        </w:tc>
        <w:tc>
          <w:tcPr>
            <w:tcW w:w="3929" w:type="dxa"/>
            <w:noWrap w:val="0"/>
            <w:vAlign w:val="bottom"/>
          </w:tcPr>
          <w:p>
            <w:pPr>
              <w:rPr>
                <w:rFonts w:hint="default" w:ascii="Arial" w:hAnsi="Arial" w:cs="Arial"/>
                <w:i w:val="0"/>
                <w:color w:val="auto"/>
                <w:sz w:val="20"/>
                <w:szCs w:val="20"/>
                <w:highlight w:val="none"/>
                <w:u w:val="none"/>
              </w:rPr>
            </w:pPr>
          </w:p>
        </w:tc>
        <w:tc>
          <w:tcPr>
            <w:tcW w:w="180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2880" w:type="dxa"/>
            <w:gridSpan w:val="3"/>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45"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645" w:type="dxa"/>
            <w:noWrap w:val="0"/>
            <w:vAlign w:val="bottom"/>
          </w:tcPr>
          <w:p>
            <w:pPr>
              <w:rPr>
                <w:rFonts w:hint="default" w:ascii="Arial" w:hAnsi="Arial" w:cs="Arial"/>
                <w:i w:val="0"/>
                <w:color w:val="auto"/>
                <w:sz w:val="20"/>
                <w:szCs w:val="20"/>
                <w:highlight w:val="none"/>
                <w:u w:val="none"/>
              </w:rPr>
            </w:pPr>
          </w:p>
        </w:tc>
        <w:tc>
          <w:tcPr>
            <w:tcW w:w="3929" w:type="dxa"/>
            <w:noWrap w:val="0"/>
            <w:vAlign w:val="bottom"/>
          </w:tcPr>
          <w:p>
            <w:pPr>
              <w:rPr>
                <w:rFonts w:hint="default" w:ascii="Arial" w:hAnsi="Arial" w:cs="Arial"/>
                <w:i w:val="0"/>
                <w:color w:val="auto"/>
                <w:sz w:val="20"/>
                <w:szCs w:val="20"/>
                <w:highlight w:val="none"/>
                <w:u w:val="none"/>
              </w:rPr>
            </w:pPr>
          </w:p>
        </w:tc>
        <w:tc>
          <w:tcPr>
            <w:tcW w:w="180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960" w:type="dxa"/>
            <w:noWrap w:val="0"/>
            <w:vAlign w:val="bottom"/>
          </w:tcPr>
          <w:p>
            <w:pPr>
              <w:rPr>
                <w:rFonts w:hint="default" w:ascii="Arial" w:hAnsi="Arial" w:cs="Arial"/>
                <w:i w:val="0"/>
                <w:color w:val="auto"/>
                <w:sz w:val="20"/>
                <w:szCs w:val="20"/>
                <w:highlight w:val="none"/>
                <w:u w:val="none"/>
              </w:rPr>
            </w:pPr>
          </w:p>
        </w:tc>
        <w:tc>
          <w:tcPr>
            <w:tcW w:w="2880" w:type="dxa"/>
            <w:gridSpan w:val="3"/>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9"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80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96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29"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80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80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6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9"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80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96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9"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80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5,753.92</w:t>
            </w:r>
          </w:p>
        </w:tc>
        <w:tc>
          <w:tcPr>
            <w:tcW w:w="96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4,634.71</w:t>
            </w: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1,119.21</w:t>
            </w: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2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80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2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80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5,265.32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4,146.11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1,119.21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民政管理事务</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694.41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694.41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694.41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694.41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377.14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377.14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184.50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184.50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125.14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125.14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2080503</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离退休人员管理机构</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66.92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66.92</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社会福利</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3,180.74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2,061.53</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1,119.21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儿童福利</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2081004</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殡葬</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1,833.99</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931.99</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902.00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社会福利事业单位</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1,188.02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970.81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217.21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最低生活保障</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575.70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575.70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城市最低生活保障金支出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575.70</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575.70</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386.09</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386.09</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流浪乞讨人员救助支出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338.84</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338.84</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49.78</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49.78</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49.78</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49.78</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16.11</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16.11</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20.25</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13.42</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13.42</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50"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用于社会福利的彩票公益金支出</w:t>
            </w:r>
          </w:p>
        </w:tc>
        <w:tc>
          <w:tcPr>
            <w:tcW w:w="180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96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739" w:type="dxa"/>
            <w:gridSpan w:val="11"/>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929"/>
        <w:gridCol w:w="1305"/>
        <w:gridCol w:w="1425"/>
        <w:gridCol w:w="1395"/>
        <w:gridCol w:w="870"/>
        <w:gridCol w:w="52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2807" w:type="dxa"/>
            <w:gridSpan w:val="10"/>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noWrap w:val="0"/>
            <w:vAlign w:val="bottom"/>
          </w:tcPr>
          <w:p>
            <w:pPr>
              <w:rPr>
                <w:rFonts w:hint="eastAsia" w:ascii="Arial" w:hAnsi="Arial" w:cs="Arial"/>
                <w:i w:val="0"/>
                <w:color w:val="auto"/>
                <w:sz w:val="20"/>
                <w:szCs w:val="20"/>
                <w:highlight w:val="none"/>
                <w:u w:val="none"/>
              </w:rPr>
            </w:pPr>
          </w:p>
        </w:tc>
        <w:tc>
          <w:tcPr>
            <w:tcW w:w="740" w:type="dxa"/>
            <w:noWrap w:val="0"/>
            <w:vAlign w:val="bottom"/>
          </w:tcPr>
          <w:p>
            <w:pPr>
              <w:rPr>
                <w:rFonts w:hint="default" w:ascii="Arial" w:hAnsi="Arial" w:cs="Arial"/>
                <w:i w:val="0"/>
                <w:color w:val="auto"/>
                <w:sz w:val="20"/>
                <w:szCs w:val="20"/>
                <w:highlight w:val="none"/>
                <w:u w:val="none"/>
              </w:rPr>
            </w:pPr>
          </w:p>
        </w:tc>
        <w:tc>
          <w:tcPr>
            <w:tcW w:w="768" w:type="dxa"/>
            <w:noWrap w:val="0"/>
            <w:vAlign w:val="bottom"/>
          </w:tcPr>
          <w:p>
            <w:pPr>
              <w:rPr>
                <w:rFonts w:hint="default" w:ascii="Arial" w:hAnsi="Arial" w:cs="Arial"/>
                <w:i w:val="0"/>
                <w:color w:val="auto"/>
                <w:sz w:val="20"/>
                <w:szCs w:val="20"/>
                <w:highlight w:val="none"/>
                <w:u w:val="none"/>
              </w:rPr>
            </w:pPr>
          </w:p>
        </w:tc>
        <w:tc>
          <w:tcPr>
            <w:tcW w:w="3929" w:type="dxa"/>
            <w:noWrap w:val="0"/>
            <w:vAlign w:val="bottom"/>
          </w:tcPr>
          <w:p>
            <w:pPr>
              <w:rPr>
                <w:rFonts w:hint="default" w:ascii="Arial" w:hAnsi="Arial" w:cs="Arial"/>
                <w:i w:val="0"/>
                <w:color w:val="auto"/>
                <w:sz w:val="20"/>
                <w:szCs w:val="20"/>
                <w:highlight w:val="none"/>
                <w:u w:val="none"/>
              </w:rPr>
            </w:pPr>
          </w:p>
        </w:tc>
        <w:tc>
          <w:tcPr>
            <w:tcW w:w="1305" w:type="dxa"/>
            <w:noWrap w:val="0"/>
            <w:vAlign w:val="bottom"/>
          </w:tcPr>
          <w:p>
            <w:pPr>
              <w:rPr>
                <w:rFonts w:hint="default" w:ascii="Arial" w:hAnsi="Arial" w:cs="Arial"/>
                <w:i w:val="0"/>
                <w:color w:val="auto"/>
                <w:sz w:val="20"/>
                <w:szCs w:val="20"/>
                <w:highlight w:val="none"/>
                <w:u w:val="none"/>
              </w:rPr>
            </w:pPr>
          </w:p>
        </w:tc>
        <w:tc>
          <w:tcPr>
            <w:tcW w:w="1425" w:type="dxa"/>
            <w:noWrap w:val="0"/>
            <w:vAlign w:val="bottom"/>
          </w:tcPr>
          <w:p>
            <w:pPr>
              <w:rPr>
                <w:rFonts w:hint="default" w:ascii="Arial" w:hAnsi="Arial" w:cs="Arial"/>
                <w:i w:val="0"/>
                <w:color w:val="auto"/>
                <w:sz w:val="20"/>
                <w:szCs w:val="20"/>
                <w:highlight w:val="none"/>
                <w:u w:val="none"/>
              </w:rPr>
            </w:pPr>
          </w:p>
        </w:tc>
        <w:tc>
          <w:tcPr>
            <w:tcW w:w="1395" w:type="dxa"/>
            <w:noWrap w:val="0"/>
            <w:vAlign w:val="bottom"/>
          </w:tcPr>
          <w:p>
            <w:pPr>
              <w:rPr>
                <w:rFonts w:hint="default" w:ascii="Arial" w:hAnsi="Arial" w:cs="Arial"/>
                <w:i w:val="0"/>
                <w:color w:val="auto"/>
                <w:sz w:val="20"/>
                <w:szCs w:val="20"/>
                <w:highlight w:val="none"/>
                <w:u w:val="none"/>
              </w:rPr>
            </w:pPr>
          </w:p>
        </w:tc>
        <w:tc>
          <w:tcPr>
            <w:tcW w:w="870" w:type="dxa"/>
            <w:noWrap w:val="0"/>
            <w:vAlign w:val="bottom"/>
          </w:tcPr>
          <w:p>
            <w:pPr>
              <w:rPr>
                <w:rFonts w:hint="default" w:ascii="Arial" w:hAnsi="Arial" w:cs="Arial"/>
                <w:i w:val="0"/>
                <w:color w:val="auto"/>
                <w:sz w:val="20"/>
                <w:szCs w:val="20"/>
                <w:highlight w:val="none"/>
                <w:u w:val="none"/>
              </w:rPr>
            </w:pPr>
          </w:p>
        </w:tc>
        <w:tc>
          <w:tcPr>
            <w:tcW w:w="1635"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172" w:type="dxa"/>
            <w:gridSpan w:val="8"/>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1635"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05"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425"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95"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87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525"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11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929"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0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5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5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92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0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4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9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87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525"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0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42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9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7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52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11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177"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0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8,932.37</w:t>
            </w:r>
          </w:p>
        </w:tc>
        <w:tc>
          <w:tcPr>
            <w:tcW w:w="142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3,186.65</w:t>
            </w:r>
          </w:p>
        </w:tc>
        <w:tc>
          <w:tcPr>
            <w:tcW w:w="139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5,745.72</w:t>
            </w:r>
          </w:p>
        </w:tc>
        <w:tc>
          <w:tcPr>
            <w:tcW w:w="87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525"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111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8,349.63</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3,113.23</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5,236.41</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民政管理事务</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928.70</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427.11</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427.11</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205.51</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205.51</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129.34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129.34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2080503</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离退休人员管理机构</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91.67</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91.67</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社会福利</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5,904.96</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1,562.83</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4,342.13</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儿童福利</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2081004</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殡葬</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2,987.48</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279.66</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2,707.83</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2081005</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社会福利事业单位</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2,758.75</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1,283.17</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1,475.58</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最低生活保障</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城市最低生活保障金支出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433.84</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314.60</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119.25</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流浪乞讨人员救助支出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386.59</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314.60</w:t>
            </w: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71.99</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18.88</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18.88</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24.72</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24.72</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22.28</w:t>
            </w:r>
          </w:p>
        </w:tc>
        <w:tc>
          <w:tcPr>
            <w:tcW w:w="142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22.28</w:t>
            </w:r>
          </w:p>
        </w:tc>
        <w:tc>
          <w:tcPr>
            <w:tcW w:w="13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2120899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其他国有土地使用权出让收入安排的支出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2296002</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用于社会福利的彩票公益金支出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454.34</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454.34</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2296099</w:t>
            </w:r>
          </w:p>
        </w:tc>
        <w:tc>
          <w:tcPr>
            <w:tcW w:w="3929"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用于其他社会公益事业的彩票公益金支出</w:t>
            </w:r>
          </w:p>
        </w:tc>
        <w:tc>
          <w:tcPr>
            <w:tcW w:w="130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30.98</w:t>
            </w:r>
          </w:p>
        </w:tc>
        <w:tc>
          <w:tcPr>
            <w:tcW w:w="14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30.98</w:t>
            </w:r>
          </w:p>
        </w:tc>
        <w:tc>
          <w:tcPr>
            <w:tcW w:w="87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52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807"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264"/>
        <w:gridCol w:w="471"/>
        <w:gridCol w:w="2401"/>
        <w:gridCol w:w="2574"/>
        <w:gridCol w:w="471"/>
        <w:gridCol w:w="1069"/>
        <w:gridCol w:w="1213"/>
        <w:gridCol w:w="1083"/>
        <w:gridCol w:w="2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052" w:type="dxa"/>
            <w:gridSpan w:val="9"/>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64" w:type="dxa"/>
            <w:noWrap w:val="0"/>
            <w:vAlign w:val="bottom"/>
          </w:tcPr>
          <w:p>
            <w:pPr>
              <w:rPr>
                <w:rFonts w:hint="eastAsia" w:ascii="Arial" w:hAnsi="Arial" w:cs="Arial"/>
                <w:i w:val="0"/>
                <w:color w:val="auto"/>
                <w:sz w:val="20"/>
                <w:szCs w:val="20"/>
                <w:highlight w:val="none"/>
                <w:u w:val="none"/>
              </w:rPr>
            </w:pPr>
          </w:p>
        </w:tc>
        <w:tc>
          <w:tcPr>
            <w:tcW w:w="471" w:type="dxa"/>
            <w:noWrap w:val="0"/>
            <w:vAlign w:val="bottom"/>
          </w:tcPr>
          <w:p>
            <w:pPr>
              <w:rPr>
                <w:rFonts w:hint="default" w:ascii="Arial" w:hAnsi="Arial" w:cs="Arial"/>
                <w:i w:val="0"/>
                <w:color w:val="auto"/>
                <w:sz w:val="20"/>
                <w:szCs w:val="20"/>
                <w:highlight w:val="none"/>
                <w:u w:val="none"/>
              </w:rPr>
            </w:pPr>
          </w:p>
        </w:tc>
        <w:tc>
          <w:tcPr>
            <w:tcW w:w="2401" w:type="dxa"/>
            <w:noWrap w:val="0"/>
            <w:vAlign w:val="bottom"/>
          </w:tcPr>
          <w:p>
            <w:pPr>
              <w:rPr>
                <w:rFonts w:hint="default" w:ascii="Arial" w:hAnsi="Arial" w:cs="Arial"/>
                <w:i w:val="0"/>
                <w:color w:val="auto"/>
                <w:sz w:val="20"/>
                <w:szCs w:val="20"/>
                <w:highlight w:val="none"/>
                <w:u w:val="none"/>
              </w:rPr>
            </w:pPr>
          </w:p>
        </w:tc>
        <w:tc>
          <w:tcPr>
            <w:tcW w:w="2574" w:type="dxa"/>
            <w:noWrap w:val="0"/>
            <w:vAlign w:val="bottom"/>
          </w:tcPr>
          <w:p>
            <w:pPr>
              <w:rPr>
                <w:rFonts w:hint="default" w:ascii="Arial" w:hAnsi="Arial" w:cs="Arial"/>
                <w:i w:val="0"/>
                <w:color w:val="auto"/>
                <w:sz w:val="20"/>
                <w:szCs w:val="20"/>
                <w:highlight w:val="none"/>
                <w:u w:val="none"/>
              </w:rPr>
            </w:pPr>
          </w:p>
        </w:tc>
        <w:tc>
          <w:tcPr>
            <w:tcW w:w="471" w:type="dxa"/>
            <w:noWrap w:val="0"/>
            <w:vAlign w:val="bottom"/>
          </w:tcPr>
          <w:p>
            <w:pPr>
              <w:rPr>
                <w:rFonts w:hint="default" w:ascii="Arial" w:hAnsi="Arial" w:cs="Arial"/>
                <w:i w:val="0"/>
                <w:color w:val="auto"/>
                <w:sz w:val="20"/>
                <w:szCs w:val="20"/>
                <w:highlight w:val="none"/>
                <w:u w:val="none"/>
              </w:rPr>
            </w:pPr>
          </w:p>
        </w:tc>
        <w:tc>
          <w:tcPr>
            <w:tcW w:w="1069" w:type="dxa"/>
            <w:noWrap w:val="0"/>
            <w:vAlign w:val="bottom"/>
          </w:tcPr>
          <w:p>
            <w:pPr>
              <w:rPr>
                <w:rFonts w:hint="default" w:ascii="Arial" w:hAnsi="Arial" w:cs="Arial"/>
                <w:i w:val="0"/>
                <w:color w:val="auto"/>
                <w:sz w:val="20"/>
                <w:szCs w:val="20"/>
                <w:highlight w:val="none"/>
                <w:u w:val="none"/>
              </w:rPr>
            </w:pPr>
          </w:p>
        </w:tc>
        <w:tc>
          <w:tcPr>
            <w:tcW w:w="4802" w:type="dxa"/>
            <w:gridSpan w:val="3"/>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50" w:type="dxa"/>
            <w:gridSpan w:val="6"/>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4802" w:type="dxa"/>
            <w:gridSpan w:val="3"/>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136"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8916" w:type="dxa"/>
            <w:gridSpan w:val="6"/>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2264" w:type="dxa"/>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71"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2401"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2574"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71"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69"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213"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1083"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2506"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2264" w:type="dxa"/>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47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40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74"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47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69"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213"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83"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06"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71" w:type="dxa"/>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40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71" w:type="dxa"/>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69"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1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8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506"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4,203.43</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7,636.77</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7,636.77</w:t>
            </w: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十、节能环保支出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十一、城乡社区支出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十二、农林水支出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44</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十三、交通运输支出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十四、资源勘探工业信息等支出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十五、商业服务业等支出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十六、金融支出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十七、援助其他地区支出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十八、自然资源海洋气象等支出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二十、粮油物资储备支出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二十一、国有资本经营预算支出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53</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二十二、灾害防治及应急管理支出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b/>
                <w:i w:val="0"/>
                <w:color w:val="auto"/>
                <w:sz w:val="20"/>
                <w:szCs w:val="20"/>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0"/>
                <w:szCs w:val="20"/>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0"/>
                <w:szCs w:val="20"/>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4,634.71</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8,219.51</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7,710.19</w:t>
            </w:r>
          </w:p>
        </w:tc>
        <w:tc>
          <w:tcPr>
            <w:tcW w:w="108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509.32</w:t>
            </w: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3,825.62</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240.82</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24.42</w:t>
            </w:r>
          </w:p>
        </w:tc>
        <w:tc>
          <w:tcPr>
            <w:tcW w:w="108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216.41</w:t>
            </w: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3,531.18</w:t>
            </w:r>
          </w:p>
        </w:tc>
        <w:tc>
          <w:tcPr>
            <w:tcW w:w="257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294.44</w:t>
            </w:r>
          </w:p>
        </w:tc>
        <w:tc>
          <w:tcPr>
            <w:tcW w:w="257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240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7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06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21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8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6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71" w:type="dxa"/>
            <w:tcBorders>
              <w:bottom w:val="single" w:color="000000" w:sz="12"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240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8,460.33</w:t>
            </w:r>
          </w:p>
        </w:tc>
        <w:tc>
          <w:tcPr>
            <w:tcW w:w="257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71"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06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8,460.33</w:t>
            </w:r>
          </w:p>
        </w:tc>
        <w:tc>
          <w:tcPr>
            <w:tcW w:w="121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7,734.61</w:t>
            </w:r>
          </w:p>
        </w:tc>
        <w:tc>
          <w:tcPr>
            <w:tcW w:w="108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725.72</w:t>
            </w:r>
          </w:p>
        </w:tc>
        <w:tc>
          <w:tcPr>
            <w:tcW w:w="2506"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14052"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82"/>
        <w:gridCol w:w="582"/>
        <w:gridCol w:w="604"/>
        <w:gridCol w:w="4155"/>
        <w:gridCol w:w="2550"/>
        <w:gridCol w:w="2565"/>
        <w:gridCol w:w="2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288" w:type="dxa"/>
            <w:gridSpan w:val="7"/>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82" w:type="dxa"/>
            <w:noWrap w:val="0"/>
            <w:vAlign w:val="bottom"/>
          </w:tcPr>
          <w:p>
            <w:pPr>
              <w:rPr>
                <w:rFonts w:hint="eastAsia" w:ascii="Arial" w:hAnsi="Arial" w:cs="Arial"/>
                <w:i w:val="0"/>
                <w:color w:val="auto"/>
                <w:sz w:val="20"/>
                <w:szCs w:val="20"/>
                <w:highlight w:val="none"/>
                <w:u w:val="none"/>
              </w:rPr>
            </w:pPr>
          </w:p>
        </w:tc>
        <w:tc>
          <w:tcPr>
            <w:tcW w:w="582" w:type="dxa"/>
            <w:noWrap w:val="0"/>
            <w:vAlign w:val="bottom"/>
          </w:tcPr>
          <w:p>
            <w:pPr>
              <w:rPr>
                <w:rFonts w:hint="default" w:ascii="Arial" w:hAnsi="Arial" w:cs="Arial"/>
                <w:i w:val="0"/>
                <w:color w:val="auto"/>
                <w:sz w:val="20"/>
                <w:szCs w:val="20"/>
                <w:highlight w:val="none"/>
                <w:u w:val="none"/>
              </w:rPr>
            </w:pPr>
          </w:p>
        </w:tc>
        <w:tc>
          <w:tcPr>
            <w:tcW w:w="604" w:type="dxa"/>
            <w:noWrap w:val="0"/>
            <w:vAlign w:val="bottom"/>
          </w:tcPr>
          <w:p>
            <w:pPr>
              <w:rPr>
                <w:rFonts w:hint="default" w:ascii="Arial" w:hAnsi="Arial" w:cs="Arial"/>
                <w:i w:val="0"/>
                <w:color w:val="auto"/>
                <w:sz w:val="20"/>
                <w:szCs w:val="20"/>
                <w:highlight w:val="none"/>
                <w:u w:val="none"/>
              </w:rPr>
            </w:pPr>
          </w:p>
        </w:tc>
        <w:tc>
          <w:tcPr>
            <w:tcW w:w="4155" w:type="dxa"/>
            <w:noWrap w:val="0"/>
            <w:vAlign w:val="bottom"/>
          </w:tcPr>
          <w:p>
            <w:pPr>
              <w:rPr>
                <w:rFonts w:hint="default" w:ascii="Arial" w:hAnsi="Arial" w:cs="Arial"/>
                <w:i w:val="0"/>
                <w:color w:val="auto"/>
                <w:sz w:val="20"/>
                <w:szCs w:val="20"/>
                <w:highlight w:val="none"/>
                <w:u w:val="none"/>
              </w:rPr>
            </w:pPr>
          </w:p>
        </w:tc>
        <w:tc>
          <w:tcPr>
            <w:tcW w:w="2550" w:type="dxa"/>
            <w:noWrap w:val="0"/>
            <w:vAlign w:val="bottom"/>
          </w:tcPr>
          <w:p>
            <w:pPr>
              <w:rPr>
                <w:rFonts w:hint="default" w:ascii="Arial" w:hAnsi="Arial" w:cs="Arial"/>
                <w:i w:val="0"/>
                <w:color w:val="auto"/>
                <w:sz w:val="20"/>
                <w:szCs w:val="20"/>
                <w:highlight w:val="none"/>
                <w:u w:val="none"/>
              </w:rPr>
            </w:pPr>
          </w:p>
        </w:tc>
        <w:tc>
          <w:tcPr>
            <w:tcW w:w="4815"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473" w:type="dxa"/>
            <w:gridSpan w:val="5"/>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4815"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7365" w:type="dxa"/>
            <w:gridSpan w:val="3"/>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4155"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550"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565"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250"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76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415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5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6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415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5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56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25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55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256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225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255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7,710.19</w:t>
            </w:r>
          </w:p>
        </w:tc>
        <w:tc>
          <w:tcPr>
            <w:tcW w:w="256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2,792.97</w:t>
            </w:r>
          </w:p>
        </w:tc>
        <w:tc>
          <w:tcPr>
            <w:tcW w:w="225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4,917.22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一般公共服务支出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群众团体事务</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2012906</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工会事务</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7,636.77</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2,719.55</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4,917.22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民政管理事务</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928.70</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757.45</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2080202</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c>
          <w:tcPr>
            <w:tcW w:w="256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427.11</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427.11</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205.51</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205.51</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2080502</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事业单位离退休</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129.34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129.34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2080503</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离退休人员管理机构</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0.59</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91.67</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91.67</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抚恤</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2080801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死亡抚恤</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51.24</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社会福利</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5,192.10</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1,169.15</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4,022.95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儿童福利</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c>
          <w:tcPr>
            <w:tcW w:w="256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2081004</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殡葬</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2,510.65</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122.01</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2,388.64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2081005</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社会福利事业单位</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2,522.72</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1,047.14</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最低生活保障</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256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2081901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城市最低生活保障金支出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c>
          <w:tcPr>
            <w:tcW w:w="256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603.78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临时救助</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433.84</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314.60</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临时救助支出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c>
          <w:tcPr>
            <w:tcW w:w="256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2082002</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流浪乞讨人员救助支出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386.59</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314.60</w:t>
            </w:r>
          </w:p>
        </w:tc>
        <w:tc>
          <w:tcPr>
            <w:tcW w:w="22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65.88</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18.88</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18.88</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2101102</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事业单位医疗</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24.72</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24.72</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6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415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255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22.28</w:t>
            </w:r>
          </w:p>
        </w:tc>
        <w:tc>
          <w:tcPr>
            <w:tcW w:w="256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22.28</w:t>
            </w:r>
          </w:p>
        </w:tc>
        <w:tc>
          <w:tcPr>
            <w:tcW w:w="225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28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注：本表反映部门本年度一般公共预算财政拨款支出情况。本表金额转换为万元时，因四舍五入可能存在尾差。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94"/>
        <w:gridCol w:w="2767"/>
        <w:gridCol w:w="958"/>
        <w:gridCol w:w="694"/>
        <w:gridCol w:w="1888"/>
        <w:gridCol w:w="833"/>
        <w:gridCol w:w="694"/>
        <w:gridCol w:w="3243"/>
        <w:gridCol w:w="33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5132" w:type="dxa"/>
            <w:gridSpan w:val="9"/>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694" w:type="dxa"/>
            <w:noWrap w:val="0"/>
            <w:vAlign w:val="bottom"/>
          </w:tcPr>
          <w:p>
            <w:pPr>
              <w:rPr>
                <w:rFonts w:hint="eastAsia" w:ascii="Arial" w:hAnsi="Arial" w:cs="Arial"/>
                <w:i w:val="0"/>
                <w:color w:val="auto"/>
                <w:sz w:val="20"/>
                <w:szCs w:val="20"/>
                <w:highlight w:val="none"/>
                <w:u w:val="none"/>
              </w:rPr>
            </w:pPr>
          </w:p>
        </w:tc>
        <w:tc>
          <w:tcPr>
            <w:tcW w:w="2767" w:type="dxa"/>
            <w:noWrap w:val="0"/>
            <w:vAlign w:val="bottom"/>
          </w:tcPr>
          <w:p>
            <w:pPr>
              <w:rPr>
                <w:rFonts w:hint="default" w:ascii="Arial" w:hAnsi="Arial" w:cs="Arial"/>
                <w:i w:val="0"/>
                <w:color w:val="auto"/>
                <w:sz w:val="20"/>
                <w:szCs w:val="20"/>
                <w:highlight w:val="none"/>
                <w:u w:val="none"/>
              </w:rPr>
            </w:pPr>
          </w:p>
        </w:tc>
        <w:tc>
          <w:tcPr>
            <w:tcW w:w="958" w:type="dxa"/>
            <w:noWrap w:val="0"/>
            <w:vAlign w:val="bottom"/>
          </w:tcPr>
          <w:p>
            <w:pPr>
              <w:rPr>
                <w:rFonts w:hint="default" w:ascii="Arial" w:hAnsi="Arial" w:cs="Arial"/>
                <w:i w:val="0"/>
                <w:color w:val="auto"/>
                <w:sz w:val="20"/>
                <w:szCs w:val="20"/>
                <w:highlight w:val="none"/>
                <w:u w:val="none"/>
              </w:rPr>
            </w:pPr>
          </w:p>
        </w:tc>
        <w:tc>
          <w:tcPr>
            <w:tcW w:w="694" w:type="dxa"/>
            <w:noWrap w:val="0"/>
            <w:vAlign w:val="bottom"/>
          </w:tcPr>
          <w:p>
            <w:pPr>
              <w:rPr>
                <w:rFonts w:hint="default" w:ascii="Arial" w:hAnsi="Arial" w:cs="Arial"/>
                <w:i w:val="0"/>
                <w:color w:val="auto"/>
                <w:sz w:val="20"/>
                <w:szCs w:val="20"/>
                <w:highlight w:val="none"/>
                <w:u w:val="none"/>
              </w:rPr>
            </w:pPr>
          </w:p>
        </w:tc>
        <w:tc>
          <w:tcPr>
            <w:tcW w:w="1888" w:type="dxa"/>
            <w:noWrap w:val="0"/>
            <w:vAlign w:val="bottom"/>
          </w:tcPr>
          <w:p>
            <w:pPr>
              <w:rPr>
                <w:rFonts w:hint="default" w:ascii="Arial" w:hAnsi="Arial" w:cs="Arial"/>
                <w:i w:val="0"/>
                <w:color w:val="auto"/>
                <w:sz w:val="20"/>
                <w:szCs w:val="20"/>
                <w:highlight w:val="none"/>
                <w:u w:val="none"/>
              </w:rPr>
            </w:pPr>
          </w:p>
        </w:tc>
        <w:tc>
          <w:tcPr>
            <w:tcW w:w="833" w:type="dxa"/>
            <w:noWrap w:val="0"/>
            <w:vAlign w:val="bottom"/>
          </w:tcPr>
          <w:p>
            <w:pPr>
              <w:rPr>
                <w:rFonts w:hint="default" w:ascii="Arial" w:hAnsi="Arial" w:cs="Arial"/>
                <w:i w:val="0"/>
                <w:color w:val="auto"/>
                <w:sz w:val="20"/>
                <w:szCs w:val="20"/>
                <w:highlight w:val="none"/>
                <w:u w:val="none"/>
              </w:rPr>
            </w:pPr>
          </w:p>
        </w:tc>
        <w:tc>
          <w:tcPr>
            <w:tcW w:w="694" w:type="dxa"/>
            <w:noWrap w:val="0"/>
            <w:vAlign w:val="bottom"/>
          </w:tcPr>
          <w:p>
            <w:pPr>
              <w:rPr>
                <w:rFonts w:hint="default" w:ascii="Arial" w:hAnsi="Arial" w:cs="Arial"/>
                <w:i w:val="0"/>
                <w:color w:val="auto"/>
                <w:sz w:val="20"/>
                <w:szCs w:val="20"/>
                <w:highlight w:val="none"/>
                <w:u w:val="none"/>
              </w:rPr>
            </w:pPr>
          </w:p>
        </w:tc>
        <w:tc>
          <w:tcPr>
            <w:tcW w:w="6604"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528" w:type="dxa"/>
            <w:gridSpan w:val="7"/>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6604"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19" w:type="dxa"/>
            <w:gridSpan w:val="3"/>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10713" w:type="dxa"/>
            <w:gridSpan w:val="6"/>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767"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58"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94"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1888"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833"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694"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3243"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3361"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2767"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58"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694"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888"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833"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694"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243"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361"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2,161.31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233.41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939.01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38.86</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565.76</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9.77</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168.93</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336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147.68</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0.74</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336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95.76</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6.72</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336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6.08</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7.53</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46.41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19.75</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3.00</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15.35</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12.61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88.41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16.66</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68.17</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0.95</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391.13</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0.90</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43.60</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1.04</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291.01</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0.69</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4.17</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46.66</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9.55</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40.69</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15.05</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7.54</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0.30</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11.83</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5.99</w:t>
            </w: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3243"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41.96</w:t>
            </w:r>
          </w:p>
        </w:tc>
        <w:tc>
          <w:tcPr>
            <w:tcW w:w="69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243"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767"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833"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243"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94" w:type="dxa"/>
            <w:tcBorders>
              <w:left w:val="single" w:color="000000" w:sz="4" w:space="0"/>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2767"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958"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694"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1888"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833"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4.92</w:t>
            </w:r>
          </w:p>
        </w:tc>
        <w:tc>
          <w:tcPr>
            <w:tcW w:w="694"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243" w:type="dxa"/>
            <w:tcBorders>
              <w:bottom w:val="single" w:color="000000" w:sz="4" w:space="0"/>
              <w:right w:val="single" w:color="000000" w:sz="4" w:space="0"/>
            </w:tcBorders>
            <w:shd w:val="clear" w:color="FFFFFF" w:fill="FFFFFF"/>
            <w:noWrap w:val="0"/>
            <w:vAlign w:val="center"/>
          </w:tcPr>
          <w:p>
            <w:pPr>
              <w:jc w:val="left"/>
              <w:rPr>
                <w:rFonts w:hint="eastAsia" w:ascii="宋体" w:hAnsi="宋体" w:eastAsia="宋体" w:cs="宋体"/>
                <w:i w:val="0"/>
                <w:color w:val="auto"/>
                <w:sz w:val="22"/>
                <w:szCs w:val="22"/>
                <w:highlight w:val="none"/>
                <w:u w:val="none"/>
              </w:rPr>
            </w:pPr>
          </w:p>
        </w:tc>
        <w:tc>
          <w:tcPr>
            <w:tcW w:w="3361"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3461" w:type="dxa"/>
            <w:gridSpan w:val="2"/>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958"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2,552.44</w:t>
            </w:r>
          </w:p>
        </w:tc>
        <w:tc>
          <w:tcPr>
            <w:tcW w:w="7352" w:type="dxa"/>
            <w:gridSpan w:val="5"/>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3361"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5132" w:type="dxa"/>
            <w:gridSpan w:val="9"/>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8"/>
        <w:gridCol w:w="1128"/>
        <w:gridCol w:w="1128"/>
        <w:gridCol w:w="1128"/>
        <w:gridCol w:w="1128"/>
        <w:gridCol w:w="1128"/>
        <w:gridCol w:w="1128"/>
        <w:gridCol w:w="1128"/>
        <w:gridCol w:w="1128"/>
        <w:gridCol w:w="1128"/>
        <w:gridCol w:w="1128"/>
        <w:gridCol w:w="11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3537" w:type="dxa"/>
            <w:gridSpan w:val="12"/>
            <w:tcBorders>
              <w:top w:val="nil"/>
              <w:left w:val="nil"/>
              <w:bottom w:val="nil"/>
              <w:right w:val="nil"/>
            </w:tcBorders>
            <w:noWrap w:val="0"/>
            <w:vAlign w:val="bottom"/>
          </w:tcPr>
          <w:p>
            <w:pPr>
              <w:keepNext w:val="0"/>
              <w:keepLines w:val="0"/>
              <w:widowControl/>
              <w:suppressLineNumbers w:val="0"/>
              <w:jc w:val="center"/>
              <w:textAlignment w:val="bottom"/>
              <w:rPr>
                <w:rFonts w:hint="eastAsia" w:ascii="宋体" w:hAnsi="宋体" w:eastAsia="宋体" w:cs="宋体"/>
                <w:i w:val="0"/>
                <w:iCs w:val="0"/>
                <w:color w:val="auto"/>
                <w:sz w:val="44"/>
                <w:szCs w:val="44"/>
                <w:highlight w:val="none"/>
                <w:u w:val="none"/>
              </w:rPr>
            </w:pPr>
            <w:r>
              <w:rPr>
                <w:rFonts w:hint="eastAsia" w:ascii="宋体" w:hAnsi="宋体" w:eastAsia="宋体" w:cs="宋体"/>
                <w:i w:val="0"/>
                <w:iCs w:val="0"/>
                <w:color w:val="auto"/>
                <w:kern w:val="0"/>
                <w:sz w:val="44"/>
                <w:szCs w:val="44"/>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noWrap w:val="0"/>
            <w:vAlign w:val="bottom"/>
          </w:tcPr>
          <w:p>
            <w:pPr>
              <w:jc w:val="center"/>
              <w:rPr>
                <w:rFonts w:hint="eastAsia"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2257"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512" w:type="dxa"/>
            <w:gridSpan w:val="4"/>
            <w:tcBorders>
              <w:top w:val="nil"/>
              <w:left w:val="nil"/>
              <w:bottom w:val="nil"/>
              <w:right w:val="nil"/>
            </w:tcBorders>
            <w:noWrap w:val="0"/>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部门：许昌市民政局</w:t>
            </w: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1128" w:type="dxa"/>
            <w:tcBorders>
              <w:top w:val="nil"/>
              <w:left w:val="nil"/>
              <w:bottom w:val="nil"/>
              <w:right w:val="nil"/>
            </w:tcBorders>
            <w:noWrap w:val="0"/>
            <w:vAlign w:val="bottom"/>
          </w:tcPr>
          <w:p>
            <w:pPr>
              <w:rPr>
                <w:rFonts w:hint="default" w:ascii="Arial" w:hAnsi="Arial" w:cs="Arial"/>
                <w:i w:val="0"/>
                <w:iCs w:val="0"/>
                <w:color w:val="auto"/>
                <w:sz w:val="20"/>
                <w:szCs w:val="20"/>
                <w:highlight w:val="none"/>
                <w:u w:val="none"/>
              </w:rPr>
            </w:pPr>
          </w:p>
        </w:tc>
        <w:tc>
          <w:tcPr>
            <w:tcW w:w="2257" w:type="dxa"/>
            <w:gridSpan w:val="2"/>
            <w:tcBorders>
              <w:top w:val="nil"/>
              <w:left w:val="nil"/>
              <w:bottom w:val="nil"/>
              <w:right w:val="nil"/>
            </w:tcBorders>
            <w:noWrap w:val="0"/>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676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769"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8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128"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338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1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1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1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2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2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1128" w:type="dxa"/>
            <w:tcBorders>
              <w:top w:val="nil"/>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15.4</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11.7</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3.7</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10.4</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9.71</w:t>
            </w: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rPr>
            </w:pPr>
          </w:p>
        </w:tc>
        <w:tc>
          <w:tcPr>
            <w:tcW w:w="1128"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9.71</w:t>
            </w:r>
          </w:p>
        </w:tc>
        <w:tc>
          <w:tcPr>
            <w:tcW w:w="1129" w:type="dxa"/>
            <w:tcBorders>
              <w:top w:val="nil"/>
              <w:left w:val="nil"/>
              <w:bottom w:val="single" w:color="000000" w:sz="4" w:space="0"/>
              <w:right w:val="single" w:color="000000" w:sz="4" w:space="0"/>
            </w:tcBorders>
            <w:noWrap w:val="0"/>
            <w:vAlign w:val="center"/>
          </w:tcPr>
          <w:p>
            <w:pPr>
              <w:jc w:val="right"/>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3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3537"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rPr>
          <w:rFonts w:hint="eastAsia" w:ascii="仿宋_GB2312" w:hAnsi="仿宋_GB2312" w:eastAsia="仿宋_GB2312" w:cs="仿宋_GB2312"/>
          <w:color w:val="auto"/>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40"/>
        <w:gridCol w:w="740"/>
        <w:gridCol w:w="768"/>
        <w:gridCol w:w="3675"/>
        <w:gridCol w:w="930"/>
        <w:gridCol w:w="1110"/>
        <w:gridCol w:w="1095"/>
        <w:gridCol w:w="1320"/>
        <w:gridCol w:w="1380"/>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3437" w:type="dxa"/>
            <w:gridSpan w:val="10"/>
            <w:noWrap w:val="0"/>
            <w:vAlign w:val="bottom"/>
          </w:tcPr>
          <w:p>
            <w:pPr>
              <w:keepNext w:val="0"/>
              <w:keepLines w:val="0"/>
              <w:widowControl/>
              <w:suppressLineNumbers w:val="0"/>
              <w:jc w:val="center"/>
              <w:textAlignment w:val="bottom"/>
              <w:rPr>
                <w:rFonts w:hint="eastAsia" w:ascii="宋体" w:hAnsi="宋体" w:eastAsia="宋体" w:cs="宋体"/>
                <w:i w:val="0"/>
                <w:color w:val="auto"/>
                <w:sz w:val="30"/>
                <w:szCs w:val="30"/>
                <w:highlight w:val="none"/>
                <w:u w:val="none"/>
              </w:rPr>
            </w:pPr>
            <w:r>
              <w:rPr>
                <w:rFonts w:hint="eastAsia" w:ascii="宋体" w:hAnsi="宋体" w:eastAsia="宋体" w:cs="宋体"/>
                <w:i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740" w:type="dxa"/>
            <w:noWrap w:val="0"/>
            <w:vAlign w:val="bottom"/>
          </w:tcPr>
          <w:p>
            <w:pPr>
              <w:rPr>
                <w:rFonts w:hint="eastAsia" w:ascii="Arial" w:hAnsi="Arial" w:cs="Arial"/>
                <w:i w:val="0"/>
                <w:color w:val="auto"/>
                <w:sz w:val="20"/>
                <w:szCs w:val="20"/>
                <w:highlight w:val="none"/>
                <w:u w:val="none"/>
              </w:rPr>
            </w:pPr>
          </w:p>
        </w:tc>
        <w:tc>
          <w:tcPr>
            <w:tcW w:w="740" w:type="dxa"/>
            <w:noWrap w:val="0"/>
            <w:vAlign w:val="bottom"/>
          </w:tcPr>
          <w:p>
            <w:pPr>
              <w:rPr>
                <w:rFonts w:hint="default" w:ascii="Arial" w:hAnsi="Arial" w:cs="Arial"/>
                <w:i w:val="0"/>
                <w:color w:val="auto"/>
                <w:sz w:val="20"/>
                <w:szCs w:val="20"/>
                <w:highlight w:val="none"/>
                <w:u w:val="none"/>
              </w:rPr>
            </w:pPr>
          </w:p>
        </w:tc>
        <w:tc>
          <w:tcPr>
            <w:tcW w:w="768" w:type="dxa"/>
            <w:noWrap w:val="0"/>
            <w:vAlign w:val="bottom"/>
          </w:tcPr>
          <w:p>
            <w:pPr>
              <w:rPr>
                <w:rFonts w:hint="default" w:ascii="Arial" w:hAnsi="Arial" w:cs="Arial"/>
                <w:i w:val="0"/>
                <w:color w:val="auto"/>
                <w:sz w:val="20"/>
                <w:szCs w:val="20"/>
                <w:highlight w:val="none"/>
                <w:u w:val="none"/>
              </w:rPr>
            </w:pPr>
          </w:p>
        </w:tc>
        <w:tc>
          <w:tcPr>
            <w:tcW w:w="3675" w:type="dxa"/>
            <w:noWrap w:val="0"/>
            <w:vAlign w:val="bottom"/>
          </w:tcPr>
          <w:p>
            <w:pPr>
              <w:rPr>
                <w:rFonts w:hint="default" w:ascii="Arial" w:hAnsi="Arial" w:cs="Arial"/>
                <w:i w:val="0"/>
                <w:color w:val="auto"/>
                <w:sz w:val="20"/>
                <w:szCs w:val="20"/>
                <w:highlight w:val="none"/>
                <w:u w:val="none"/>
              </w:rPr>
            </w:pPr>
          </w:p>
        </w:tc>
        <w:tc>
          <w:tcPr>
            <w:tcW w:w="930" w:type="dxa"/>
            <w:noWrap w:val="0"/>
            <w:vAlign w:val="bottom"/>
          </w:tcPr>
          <w:p>
            <w:pPr>
              <w:rPr>
                <w:rFonts w:hint="default" w:ascii="Arial" w:hAnsi="Arial" w:cs="Arial"/>
                <w:i w:val="0"/>
                <w:color w:val="auto"/>
                <w:sz w:val="20"/>
                <w:szCs w:val="20"/>
                <w:highlight w:val="none"/>
                <w:u w:val="none"/>
              </w:rPr>
            </w:pPr>
          </w:p>
        </w:tc>
        <w:tc>
          <w:tcPr>
            <w:tcW w:w="1110" w:type="dxa"/>
            <w:noWrap w:val="0"/>
            <w:vAlign w:val="bottom"/>
          </w:tcPr>
          <w:p>
            <w:pPr>
              <w:rPr>
                <w:rFonts w:hint="default" w:ascii="Arial" w:hAnsi="Arial" w:cs="Arial"/>
                <w:i w:val="0"/>
                <w:color w:val="auto"/>
                <w:sz w:val="20"/>
                <w:szCs w:val="20"/>
                <w:highlight w:val="none"/>
                <w:u w:val="none"/>
              </w:rPr>
            </w:pPr>
          </w:p>
        </w:tc>
        <w:tc>
          <w:tcPr>
            <w:tcW w:w="1095" w:type="dxa"/>
            <w:noWrap w:val="0"/>
            <w:vAlign w:val="bottom"/>
          </w:tcPr>
          <w:p>
            <w:pPr>
              <w:rPr>
                <w:rFonts w:hint="default" w:ascii="Arial" w:hAnsi="Arial" w:cs="Arial"/>
                <w:i w:val="0"/>
                <w:color w:val="auto"/>
                <w:sz w:val="20"/>
                <w:szCs w:val="20"/>
                <w:highlight w:val="none"/>
                <w:u w:val="none"/>
              </w:rPr>
            </w:pPr>
          </w:p>
        </w:tc>
        <w:tc>
          <w:tcPr>
            <w:tcW w:w="1320" w:type="dxa"/>
            <w:noWrap w:val="0"/>
            <w:vAlign w:val="bottom"/>
          </w:tcPr>
          <w:p>
            <w:pPr>
              <w:rPr>
                <w:rFonts w:hint="default" w:ascii="Arial" w:hAnsi="Arial" w:cs="Arial"/>
                <w:i w:val="0"/>
                <w:color w:val="auto"/>
                <w:sz w:val="20"/>
                <w:szCs w:val="20"/>
                <w:highlight w:val="none"/>
                <w:u w:val="none"/>
              </w:rPr>
            </w:pPr>
          </w:p>
        </w:tc>
        <w:tc>
          <w:tcPr>
            <w:tcW w:w="3059"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378" w:type="dxa"/>
            <w:gridSpan w:val="8"/>
            <w:noWrap w:val="0"/>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部门：许昌市民政局</w:t>
            </w:r>
          </w:p>
        </w:tc>
        <w:tc>
          <w:tcPr>
            <w:tcW w:w="3059" w:type="dxa"/>
            <w:gridSpan w:val="2"/>
            <w:noWrap w:val="0"/>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top w:val="single" w:color="000000" w:sz="4" w:space="0"/>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93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110"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3795" w:type="dxa"/>
            <w:gridSpan w:val="3"/>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1679" w:type="dxa"/>
            <w:vMerge w:val="restart"/>
            <w:tcBorders>
              <w:top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restart"/>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675"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3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95"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20"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80" w:type="dxa"/>
            <w:vMerge w:val="restart"/>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1679"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67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3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9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679"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vMerge w:val="continue"/>
            <w:tcBorders>
              <w:left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367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93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110"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095"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2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380" w:type="dxa"/>
            <w:vMerge w:val="continue"/>
            <w:tcBorders>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c>
          <w:tcPr>
            <w:tcW w:w="1679" w:type="dxa"/>
            <w:vMerge w:val="continue"/>
            <w:tcBorders>
              <w:top w:val="single" w:color="000000" w:sz="4" w:space="0"/>
              <w:bottom w:val="single" w:color="000000" w:sz="4" w:space="0"/>
              <w:right w:val="single" w:color="000000" w:sz="4" w:space="0"/>
            </w:tcBorders>
            <w:shd w:val="clear" w:color="FFFFFF" w:fill="FFFFFF"/>
            <w:noWrap w:val="0"/>
            <w:vAlign w:val="center"/>
          </w:tcPr>
          <w:p>
            <w:pPr>
              <w:jc w:val="center"/>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93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1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95"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2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80"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679" w:type="dxa"/>
            <w:tcBorders>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23" w:type="dxa"/>
            <w:gridSpan w:val="4"/>
            <w:tcBorders>
              <w:left w:val="single" w:color="000000" w:sz="4" w:space="0"/>
              <w:bottom w:val="single" w:color="000000" w:sz="4" w:space="0"/>
              <w:right w:val="single" w:color="000000" w:sz="4" w:space="0"/>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93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294.44</w:t>
            </w:r>
          </w:p>
        </w:tc>
        <w:tc>
          <w:tcPr>
            <w:tcW w:w="111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431.28</w:t>
            </w:r>
          </w:p>
        </w:tc>
        <w:tc>
          <w:tcPr>
            <w:tcW w:w="109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509.32</w:t>
            </w:r>
          </w:p>
        </w:tc>
        <w:tc>
          <w:tcPr>
            <w:tcW w:w="132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b/>
                <w:i w:val="0"/>
                <w:color w:val="auto"/>
                <w:sz w:val="22"/>
                <w:szCs w:val="22"/>
                <w:highlight w:val="none"/>
                <w:u w:val="none"/>
              </w:rPr>
            </w:pPr>
          </w:p>
        </w:tc>
        <w:tc>
          <w:tcPr>
            <w:tcW w:w="138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509.32</w:t>
            </w:r>
          </w:p>
        </w:tc>
        <w:tc>
          <w:tcPr>
            <w:tcW w:w="1679"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w:t>
            </w:r>
          </w:p>
        </w:tc>
        <w:tc>
          <w:tcPr>
            <w:tcW w:w="367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城乡社区支出</w:t>
            </w:r>
          </w:p>
        </w:tc>
        <w:tc>
          <w:tcPr>
            <w:tcW w:w="93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11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320"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679" w:type="dxa"/>
            <w:tcBorders>
              <w:bottom w:val="single" w:color="000000" w:sz="4" w:space="0"/>
              <w:right w:val="single" w:color="000000" w:sz="4" w:space="0"/>
            </w:tcBorders>
            <w:shd w:val="clear" w:color="auto" w:fill="FFFFFF"/>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国有土地使用权出让收入安排的支出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2120899</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其他国有土地使用权出让收入安排的支出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24.00</w:t>
            </w: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270.44</w:t>
            </w:r>
          </w:p>
        </w:tc>
        <w:tc>
          <w:tcPr>
            <w:tcW w:w="11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67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彩票公益金安排的支出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270.44</w:t>
            </w:r>
          </w:p>
        </w:tc>
        <w:tc>
          <w:tcPr>
            <w:tcW w:w="11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485.32</w:t>
            </w:r>
          </w:p>
        </w:tc>
        <w:tc>
          <w:tcPr>
            <w:tcW w:w="167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2296002</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用于社会福利的彩票公益金支出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239.46</w:t>
            </w:r>
          </w:p>
        </w:tc>
        <w:tc>
          <w:tcPr>
            <w:tcW w:w="111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431.28</w:t>
            </w: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454.34</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454.34</w:t>
            </w:r>
          </w:p>
        </w:tc>
        <w:tc>
          <w:tcPr>
            <w:tcW w:w="1679"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2296099</w:t>
            </w:r>
          </w:p>
        </w:tc>
        <w:tc>
          <w:tcPr>
            <w:tcW w:w="3675" w:type="dxa"/>
            <w:tcBorders>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用于其他社会公益事业的彩票公益金支出</w:t>
            </w:r>
          </w:p>
        </w:tc>
        <w:tc>
          <w:tcPr>
            <w:tcW w:w="93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30.98</w:t>
            </w: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30.98</w:t>
            </w: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30.98</w:t>
            </w: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367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93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367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93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2248" w:type="dxa"/>
            <w:gridSpan w:val="3"/>
            <w:tcBorders>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3675" w:type="dxa"/>
            <w:tcBorders>
              <w:bottom w:val="single" w:color="000000" w:sz="4" w:space="0"/>
              <w:right w:val="single" w:color="000000" w:sz="4" w:space="0"/>
            </w:tcBorders>
            <w:noWrap w:val="0"/>
            <w:vAlign w:val="center"/>
          </w:tcPr>
          <w:p>
            <w:pPr>
              <w:jc w:val="left"/>
              <w:rPr>
                <w:rFonts w:hint="eastAsia" w:ascii="宋体" w:hAnsi="宋体" w:eastAsia="宋体" w:cs="宋体"/>
                <w:i w:val="0"/>
                <w:color w:val="auto"/>
                <w:sz w:val="22"/>
                <w:szCs w:val="22"/>
                <w:highlight w:val="none"/>
                <w:u w:val="none"/>
              </w:rPr>
            </w:pPr>
          </w:p>
        </w:tc>
        <w:tc>
          <w:tcPr>
            <w:tcW w:w="93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11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095"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2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380"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c>
          <w:tcPr>
            <w:tcW w:w="1679" w:type="dxa"/>
            <w:tcBorders>
              <w:bottom w:val="single" w:color="000000" w:sz="4" w:space="0"/>
              <w:right w:val="single" w:color="000000" w:sz="4" w:space="0"/>
            </w:tcBorders>
            <w:noWrap w:val="0"/>
            <w:vAlign w:val="center"/>
          </w:tcPr>
          <w:p>
            <w:pPr>
              <w:jc w:val="right"/>
              <w:rPr>
                <w:rFonts w:hint="eastAsia" w:ascii="宋体" w:hAnsi="宋体" w:eastAsia="宋体" w:cs="宋体"/>
                <w:i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3437" w:type="dxa"/>
            <w:gridSpan w:val="10"/>
            <w:noWrap w:val="0"/>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注：本表反映部门本年度政府性基金预算财政拨款收入、支出及结转和结余情况。本表金额转换为万元时，因四舍五入可能存在尾差。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2021年度部门决算情况说明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hint="eastAsia" w:ascii="仿宋_GB2312" w:hAnsi="仿宋_GB2312" w:eastAsia="仿宋_GB2312" w:cs="仿宋_GB2312"/>
          <w:color w:val="auto"/>
          <w:sz w:val="32"/>
          <w:szCs w:val="32"/>
          <w:highlight w:val="none"/>
          <w:lang w:val="en-US" w:eastAsia="zh-CN"/>
        </w:rPr>
        <w:t>9712.4</w:t>
      </w:r>
      <w:r>
        <w:rPr>
          <w:rFonts w:hint="eastAsia" w:ascii="仿宋_GB2312" w:hAnsi="仿宋_GB2312" w:eastAsia="仿宋_GB2312" w:cs="仿宋_GB2312"/>
          <w:color w:val="auto"/>
          <w:sz w:val="32"/>
          <w:szCs w:val="32"/>
          <w:highlight w:val="none"/>
        </w:rPr>
        <w:t>万元。与上年度相比，收、支总计各增加</w:t>
      </w:r>
      <w:r>
        <w:rPr>
          <w:rFonts w:hint="eastAsia" w:ascii="仿宋_GB2312" w:hAnsi="仿宋_GB2312" w:eastAsia="仿宋_GB2312" w:cs="仿宋_GB2312"/>
          <w:color w:val="auto"/>
          <w:sz w:val="32"/>
          <w:szCs w:val="32"/>
          <w:highlight w:val="none"/>
          <w:lang w:val="en-US" w:eastAsia="zh-CN"/>
        </w:rPr>
        <w:t>1781.91</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22.47</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上年有结转结余资金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hint="eastAsia" w:ascii="仿宋_GB2312" w:hAnsi="仿宋_GB2312" w:eastAsia="仿宋_GB2312" w:cs="仿宋_GB2312"/>
          <w:color w:val="auto"/>
          <w:sz w:val="32"/>
          <w:szCs w:val="32"/>
          <w:highlight w:val="none"/>
          <w:lang w:val="en-US" w:eastAsia="zh-CN"/>
        </w:rPr>
        <w:t>5753.92</w:t>
      </w:r>
      <w:r>
        <w:rPr>
          <w:rFonts w:hint="eastAsia" w:ascii="仿宋_GB2312" w:hAnsi="仿宋_GB2312" w:eastAsia="仿宋_GB2312" w:cs="仿宋_GB2312"/>
          <w:color w:val="auto"/>
          <w:sz w:val="32"/>
          <w:szCs w:val="32"/>
          <w:highlight w:val="none"/>
        </w:rPr>
        <w:t>万元，其中：财政拨款收入</w:t>
      </w:r>
      <w:r>
        <w:rPr>
          <w:rFonts w:hint="eastAsia" w:ascii="仿宋_GB2312" w:hAnsi="仿宋_GB2312" w:eastAsia="仿宋_GB2312" w:cs="仿宋_GB2312"/>
          <w:color w:val="auto"/>
          <w:sz w:val="32"/>
          <w:szCs w:val="32"/>
          <w:highlight w:val="none"/>
          <w:lang w:val="en-US" w:eastAsia="zh-CN"/>
        </w:rPr>
        <w:t>4634.71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80.55</w:t>
      </w:r>
      <w:r>
        <w:rPr>
          <w:rFonts w:hint="eastAsia" w:ascii="仿宋_GB2312" w:hAnsi="仿宋_GB2312" w:eastAsia="仿宋_GB2312" w:cs="仿宋_GB2312"/>
          <w:color w:val="auto"/>
          <w:sz w:val="32"/>
          <w:szCs w:val="32"/>
          <w:highlight w:val="none"/>
        </w:rPr>
        <w:t>%；上级补助收入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%；事业收入</w:t>
      </w:r>
      <w:r>
        <w:rPr>
          <w:rFonts w:hint="eastAsia" w:ascii="仿宋_GB2312" w:hAnsi="仿宋_GB2312" w:eastAsia="仿宋_GB2312" w:cs="仿宋_GB2312"/>
          <w:color w:val="auto"/>
          <w:sz w:val="32"/>
          <w:szCs w:val="32"/>
          <w:highlight w:val="none"/>
          <w:lang w:val="en-US" w:eastAsia="zh-CN"/>
        </w:rPr>
        <w:t>1119.21</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19.45</w:t>
      </w:r>
      <w:r>
        <w:rPr>
          <w:rFonts w:hint="eastAsia" w:ascii="仿宋_GB2312" w:hAnsi="仿宋_GB2312" w:eastAsia="仿宋_GB2312" w:cs="仿宋_GB2312"/>
          <w:color w:val="auto"/>
          <w:sz w:val="32"/>
          <w:szCs w:val="32"/>
          <w:highlight w:val="none"/>
        </w:rPr>
        <w:t>%；经营收入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%；附属单位上缴收入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年度支出合计</w:t>
      </w:r>
      <w:r>
        <w:rPr>
          <w:rFonts w:hint="eastAsia" w:ascii="仿宋_GB2312" w:hAnsi="仿宋_GB2312" w:eastAsia="仿宋_GB2312" w:cs="仿宋_GB2312"/>
          <w:color w:val="auto"/>
          <w:sz w:val="32"/>
          <w:szCs w:val="32"/>
          <w:highlight w:val="none"/>
          <w:lang w:val="en-US" w:eastAsia="zh-CN"/>
        </w:rPr>
        <w:t>8932.37</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3186.65</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35.68</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5745.72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64.32</w:t>
      </w:r>
      <w:r>
        <w:rPr>
          <w:rFonts w:hint="eastAsia" w:ascii="仿宋_GB2312" w:hAnsi="仿宋_GB2312" w:eastAsia="仿宋_GB2312" w:cs="仿宋_GB2312"/>
          <w:color w:val="auto"/>
          <w:sz w:val="32"/>
          <w:szCs w:val="32"/>
          <w:highlight w:val="none"/>
        </w:rPr>
        <w:t>%；上缴上级支出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%；经营支出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%；对附属单位补助支出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hint="eastAsia" w:ascii="仿宋_GB2312" w:hAnsi="仿宋_GB2312" w:eastAsia="仿宋_GB2312" w:cs="仿宋_GB2312"/>
          <w:color w:val="auto"/>
          <w:sz w:val="32"/>
          <w:szCs w:val="32"/>
          <w:highlight w:val="none"/>
          <w:lang w:val="en-US" w:eastAsia="zh-CN"/>
        </w:rPr>
        <w:t>8460.33</w:t>
      </w:r>
      <w:r>
        <w:rPr>
          <w:rFonts w:hint="eastAsia" w:ascii="仿宋_GB2312" w:hAnsi="仿宋_GB2312" w:eastAsia="仿宋_GB2312" w:cs="仿宋_GB2312"/>
          <w:color w:val="auto"/>
          <w:sz w:val="32"/>
          <w:szCs w:val="32"/>
          <w:highlight w:val="none"/>
        </w:rPr>
        <w:t>万元。与上年度相比，财政拨款收、支总计各增加</w:t>
      </w:r>
      <w:r>
        <w:rPr>
          <w:rFonts w:hint="eastAsia" w:ascii="仿宋_GB2312" w:hAnsi="仿宋_GB2312" w:eastAsia="仿宋_GB2312" w:cs="仿宋_GB2312"/>
          <w:color w:val="auto"/>
          <w:sz w:val="32"/>
          <w:szCs w:val="32"/>
          <w:highlight w:val="none"/>
          <w:lang w:val="en-US" w:eastAsia="zh-CN"/>
        </w:rPr>
        <w:t>1234.22</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17.08</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eastAsia="zh-CN"/>
        </w:rPr>
        <w:t>上年有结转结余资金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7710.19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86.32</w:t>
      </w:r>
      <w:r>
        <w:rPr>
          <w:rFonts w:hint="eastAsia" w:ascii="仿宋_GB2312" w:hAnsi="仿宋_GB2312" w:eastAsia="仿宋_GB2312" w:cs="仿宋_GB2312"/>
          <w:color w:val="auto"/>
          <w:sz w:val="32"/>
          <w:szCs w:val="32"/>
          <w:highlight w:val="none"/>
        </w:rPr>
        <w:t>%。与上年度相比，一般公共预算财政拨款支出增加</w:t>
      </w:r>
      <w:r>
        <w:rPr>
          <w:rFonts w:hint="eastAsia" w:ascii="仿宋_GB2312" w:hAnsi="仿宋_GB2312" w:eastAsia="仿宋_GB2312" w:cs="仿宋_GB2312"/>
          <w:color w:val="auto"/>
          <w:sz w:val="32"/>
          <w:szCs w:val="32"/>
          <w:highlight w:val="none"/>
          <w:lang w:val="en-US" w:eastAsia="zh-CN"/>
        </w:rPr>
        <w:t>3571.54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86.3</w:t>
      </w:r>
      <w:r>
        <w:rPr>
          <w:rFonts w:hint="eastAsia" w:ascii="仿宋_GB2312" w:hAnsi="仿宋_GB2312" w:eastAsia="仿宋_GB2312" w:cs="仿宋_GB2312"/>
          <w:color w:val="auto"/>
          <w:sz w:val="32"/>
          <w:szCs w:val="32"/>
          <w:highlight w:val="none"/>
        </w:rPr>
        <w:t>%。主要原因是。</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val="en-US" w:eastAsia="zh-CN"/>
        </w:rPr>
        <w:t>7710.19</w:t>
      </w:r>
      <w:r>
        <w:rPr>
          <w:rFonts w:hint="eastAsia" w:ascii="仿宋_GB2312" w:hAnsi="仿宋_GB2312" w:eastAsia="仿宋_GB2312" w:cs="仿宋_GB2312"/>
          <w:color w:val="auto"/>
          <w:sz w:val="32"/>
          <w:szCs w:val="32"/>
          <w:highlight w:val="none"/>
        </w:rPr>
        <w:t>万元，主要用于以下方面：一般公共服务（类）支出</w:t>
      </w:r>
      <w:r>
        <w:rPr>
          <w:rFonts w:hint="eastAsia" w:ascii="仿宋_GB2312" w:hAnsi="仿宋_GB2312" w:eastAsia="仿宋_GB2312" w:cs="仿宋_GB2312"/>
          <w:color w:val="auto"/>
          <w:sz w:val="32"/>
          <w:szCs w:val="32"/>
          <w:highlight w:val="none"/>
          <w:lang w:val="en-US" w:eastAsia="zh-CN"/>
        </w:rPr>
        <w:t>7.54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0.10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社会保障和就业（类）支出7636.77万元，占99.05%；卫生健康（类）支出65.88万元，占0.85%。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3722.92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7710.19</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207.1</w:t>
      </w:r>
      <w:r>
        <w:rPr>
          <w:rFonts w:hint="eastAsia" w:ascii="仿宋_GB2312" w:hAnsi="仿宋_GB2312" w:eastAsia="仿宋_GB2312" w:cs="仿宋_GB2312"/>
          <w:color w:val="auto"/>
          <w:sz w:val="32"/>
          <w:szCs w:val="32"/>
          <w:highlight w:val="none"/>
        </w:rPr>
        <w:t>%。其中：</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w:t>
      </w:r>
      <w:r>
        <w:rPr>
          <w:rFonts w:hint="eastAsia" w:ascii="仿宋_GB2312" w:eastAsia="仿宋_GB2312" w:cs="宋体"/>
          <w:b/>
          <w:color w:val="auto"/>
          <w:kern w:val="0"/>
          <w:sz w:val="32"/>
          <w:szCs w:val="32"/>
          <w:highlight w:val="none"/>
          <w:lang w:val="zh-CN"/>
        </w:rPr>
        <w:t>一般公共服务支出（类）群众团体事务（款）工会事务（项）</w:t>
      </w:r>
      <w:r>
        <w:rPr>
          <w:rFonts w:hint="eastAsia" w:ascii="仿宋_GB2312" w:hAnsi="仿宋_GB2312" w:eastAsia="仿宋_GB2312" w:cs="仿宋_GB2312"/>
          <w:color w:val="auto"/>
          <w:sz w:val="32"/>
          <w:szCs w:val="32"/>
          <w:highlight w:val="none"/>
          <w:lang w:val="en-US" w:eastAsia="zh-CN"/>
        </w:rPr>
        <w:t>年初预算为7.54万元，支出决算为7.54万元，完成年初预算的100%。</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rPr>
        <w:t>社会保障和就业支出（类）民政管理事务（款）行</w:t>
      </w:r>
      <w:r>
        <w:rPr>
          <w:rFonts w:hint="eastAsia" w:ascii="仿宋_GB2312" w:hAnsi="仿宋_GB2312" w:eastAsia="仿宋_GB2312" w:cs="仿宋_GB2312"/>
          <w:b/>
          <w:bCs/>
          <w:color w:val="auto"/>
          <w:sz w:val="32"/>
          <w:szCs w:val="32"/>
          <w:highlight w:val="none"/>
        </w:rPr>
        <w:t>政运行（项）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年初预算为651.08万元，支出决算为757.45万元，完成年初预算的%。决算数与年初预算数存在差异的主要原因是</w:t>
      </w:r>
      <w:r>
        <w:rPr>
          <w:rFonts w:hint="eastAsia" w:ascii="仿宋_GB2312" w:hAnsi="仿宋_GB2312" w:eastAsia="仿宋_GB2312" w:cs="仿宋_GB2312"/>
          <w:color w:val="auto"/>
          <w:sz w:val="32"/>
          <w:szCs w:val="32"/>
          <w:highlight w:val="none"/>
        </w:rPr>
        <w:t>该项经费年初有上年结转结余资金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rPr>
        <w:t>社会保障和就业支出（类）民政管理事务（款）一般行政管理事务（项）</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年初预算为0.00万元，支出决算为171.25万元。决算数与年初预算数存在差异的主要原因是</w:t>
      </w:r>
      <w:r>
        <w:rPr>
          <w:rFonts w:hint="eastAsia" w:ascii="仿宋_GB2312" w:hAnsi="仿宋_GB2312" w:eastAsia="仿宋_GB2312" w:cs="仿宋_GB2312"/>
          <w:color w:val="auto"/>
          <w:sz w:val="32"/>
          <w:szCs w:val="32"/>
          <w:highlight w:val="none"/>
        </w:rPr>
        <w:t>年初</w:t>
      </w:r>
      <w:r>
        <w:rPr>
          <w:rFonts w:hint="eastAsia" w:ascii="仿宋_GB2312" w:hAnsi="仿宋_GB2312" w:eastAsia="仿宋_GB2312" w:cs="仿宋_GB2312"/>
          <w:color w:val="auto"/>
          <w:sz w:val="32"/>
          <w:szCs w:val="32"/>
          <w:highlight w:val="none"/>
          <w:lang w:val="en-US" w:eastAsia="zh-CN"/>
        </w:rPr>
        <w:t>无预算</w:t>
      </w:r>
      <w:r>
        <w:rPr>
          <w:rFonts w:hint="eastAsia" w:ascii="仿宋_GB2312" w:hAnsi="仿宋_GB2312" w:eastAsia="仿宋_GB2312" w:cs="仿宋_GB2312"/>
          <w:color w:val="auto"/>
          <w:sz w:val="32"/>
          <w:szCs w:val="32"/>
          <w:highlight w:val="none"/>
        </w:rPr>
        <w:t>年初有上年结转结余资金</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（款）行政单位离退休（项）。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203.85</w:t>
      </w:r>
      <w:r>
        <w:rPr>
          <w:rFonts w:hint="eastAsia" w:ascii="仿宋_GB2312" w:hAnsi="仿宋_GB2312" w:eastAsia="仿宋_GB2312" w:cs="仿宋_GB2312"/>
          <w:color w:val="auto"/>
          <w:sz w:val="32"/>
          <w:szCs w:val="32"/>
          <w:highlight w:val="none"/>
        </w:rPr>
        <w:t>万</w:t>
      </w:r>
      <w:r>
        <w:rPr>
          <w:rFonts w:hint="eastAsia" w:ascii="仿宋_GB2312" w:hAnsi="仿宋_GB2312" w:eastAsia="仿宋_GB2312" w:cs="仿宋_GB2312"/>
          <w:color w:val="auto"/>
          <w:sz w:val="32"/>
          <w:szCs w:val="32"/>
          <w:highlight w:val="none"/>
        </w:rPr>
        <w:t>元，支出决算为</w:t>
      </w:r>
      <w:r>
        <w:rPr>
          <w:rFonts w:hint="eastAsia" w:ascii="仿宋_GB2312" w:hAnsi="仿宋_GB2312" w:eastAsia="仿宋_GB2312" w:cs="仿宋_GB2312"/>
          <w:color w:val="auto"/>
          <w:sz w:val="32"/>
          <w:szCs w:val="32"/>
          <w:highlight w:val="none"/>
          <w:lang w:val="en-US" w:eastAsia="zh-CN"/>
        </w:rPr>
        <w:t>205.51</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100.81</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val="en-US" w:eastAsia="zh-CN"/>
        </w:rPr>
        <w:t>退休人员增加</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eastAsia="仿宋_GB2312" w:cs="宋体"/>
          <w:color w:val="auto"/>
          <w:kern w:val="0"/>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5．</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（款）事业单位离退休（项）。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190.08</w:t>
      </w:r>
      <w:r>
        <w:rPr>
          <w:rFonts w:hint="eastAsia" w:ascii="仿宋_GB2312" w:hAnsi="仿宋_GB2312" w:eastAsia="仿宋_GB2312" w:cs="仿宋_GB2312"/>
          <w:color w:val="auto"/>
          <w:sz w:val="32"/>
          <w:szCs w:val="32"/>
          <w:highlight w:val="none"/>
        </w:rPr>
        <w:t>万元，支出决算为1</w:t>
      </w:r>
      <w:r>
        <w:rPr>
          <w:rFonts w:hint="eastAsia" w:ascii="仿宋_GB2312" w:hAnsi="仿宋_GB2312" w:eastAsia="仿宋_GB2312" w:cs="仿宋_GB2312"/>
          <w:color w:val="auto"/>
          <w:sz w:val="32"/>
          <w:szCs w:val="32"/>
          <w:highlight w:val="none"/>
          <w:lang w:val="en-US" w:eastAsia="zh-CN"/>
        </w:rPr>
        <w:t>29.34</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65.05</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eastAsia="仿宋_GB2312" w:cs="宋体"/>
          <w:color w:val="auto"/>
          <w:kern w:val="0"/>
          <w:sz w:val="32"/>
          <w:szCs w:val="32"/>
          <w:highlight w:val="none"/>
          <w:lang w:val="zh-CN"/>
        </w:rPr>
        <w:t>是本年有新去世退休人员。</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eastAsia="仿宋_GB2312" w:cs="宋体"/>
          <w:color w:val="auto"/>
          <w:kern w:val="0"/>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6．</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（款）离退休</w:t>
      </w:r>
      <w:r>
        <w:rPr>
          <w:rFonts w:hint="eastAsia" w:ascii="仿宋_GB2312" w:hAnsi="仿宋_GB2312" w:eastAsia="仿宋_GB2312" w:cs="仿宋_GB2312"/>
          <w:b/>
          <w:bCs/>
          <w:color w:val="auto"/>
          <w:sz w:val="32"/>
          <w:szCs w:val="32"/>
          <w:highlight w:val="none"/>
          <w:lang w:eastAsia="zh-CN"/>
        </w:rPr>
        <w:t>人员管理机构</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0.65</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0.59</w:t>
      </w:r>
      <w:r>
        <w:rPr>
          <w:rFonts w:hint="eastAsia" w:ascii="仿宋_GB2312" w:hAnsi="仿宋_GB2312" w:eastAsia="仿宋_GB2312" w:cs="仿宋_GB2312"/>
          <w:color w:val="auto"/>
          <w:sz w:val="32"/>
          <w:szCs w:val="32"/>
          <w:highlight w:val="none"/>
        </w:rPr>
        <w:t>万元，完成年初预算的%。决算数与年初预算数存在差异的主要原因是</w:t>
      </w:r>
      <w:r>
        <w:rPr>
          <w:rFonts w:hint="eastAsia" w:ascii="仿宋_GB2312" w:hAnsi="仿宋_GB2312" w:eastAsia="仿宋_GB2312" w:cs="仿宋_GB2312"/>
          <w:color w:val="auto"/>
          <w:sz w:val="32"/>
          <w:szCs w:val="32"/>
          <w:highlight w:val="none"/>
          <w:lang w:eastAsia="zh-CN"/>
        </w:rPr>
        <w:t>有上年结转结余资金</w:t>
      </w:r>
      <w:r>
        <w:rPr>
          <w:rFonts w:hint="eastAsia" w:ascii="仿宋_GB2312" w:eastAsia="仿宋_GB2312" w:cs="宋体"/>
          <w:color w:val="auto"/>
          <w:kern w:val="0"/>
          <w:sz w:val="32"/>
          <w:szCs w:val="32"/>
          <w:highlight w:val="none"/>
          <w:lang w:val="zh-CN"/>
        </w:rPr>
        <w:t>。</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.社会保障和就业支出（类）行政事业单位</w:t>
      </w:r>
      <w:r>
        <w:rPr>
          <w:rFonts w:hint="eastAsia" w:ascii="仿宋_GB2312" w:hAnsi="仿宋_GB2312" w:eastAsia="仿宋_GB2312" w:cs="仿宋_GB2312"/>
          <w:b/>
          <w:bCs/>
          <w:color w:val="auto"/>
          <w:sz w:val="32"/>
          <w:szCs w:val="32"/>
          <w:highlight w:val="none"/>
          <w:lang w:eastAsia="zh-CN"/>
        </w:rPr>
        <w:t>养老支出</w:t>
      </w:r>
      <w:r>
        <w:rPr>
          <w:rFonts w:hint="eastAsia" w:ascii="仿宋_GB2312" w:hAnsi="仿宋_GB2312" w:eastAsia="仿宋_GB2312" w:cs="仿宋_GB2312"/>
          <w:b/>
          <w:bCs/>
          <w:color w:val="auto"/>
          <w:sz w:val="32"/>
          <w:szCs w:val="32"/>
          <w:highlight w:val="none"/>
        </w:rPr>
        <w:t>（款）机关事业单位基本养老保险缴费支出（项）。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104.40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91.67</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87.81</w:t>
      </w:r>
      <w:r>
        <w:rPr>
          <w:rFonts w:hint="eastAsia" w:ascii="仿宋_GB2312" w:hAnsi="仿宋_GB2312" w:eastAsia="仿宋_GB2312" w:cs="仿宋_GB2312"/>
          <w:color w:val="auto"/>
          <w:sz w:val="32"/>
          <w:szCs w:val="32"/>
          <w:highlight w:val="none"/>
        </w:rPr>
        <w:t>%。决算数与年初预算数存在差异的主要原因是</w:t>
      </w:r>
      <w:r>
        <w:rPr>
          <w:rFonts w:hint="eastAsia" w:ascii="仿宋_GB2312" w:hAnsi="仿宋_GB2312" w:eastAsia="仿宋_GB2312" w:cs="仿宋_GB2312"/>
          <w:color w:val="auto"/>
          <w:sz w:val="32"/>
          <w:szCs w:val="32"/>
          <w:highlight w:val="none"/>
          <w:lang w:eastAsia="zh-CN"/>
        </w:rPr>
        <w:t>增加退休人员</w:t>
      </w:r>
      <w:r>
        <w:rPr>
          <w:rFonts w:hint="eastAsia" w:ascii="仿宋_GB2312" w:hAnsi="仿宋_GB2312" w:eastAsia="仿宋_GB2312" w:cs="仿宋_GB2312"/>
          <w:color w:val="auto"/>
          <w:sz w:val="32"/>
          <w:szCs w:val="32"/>
          <w:highlight w:val="none"/>
        </w:rPr>
        <w:t xml:space="preserve">。 </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lang w:eastAsia="zh-CN"/>
        </w:rPr>
        <w:t>社会保障和就业支出</w:t>
      </w:r>
      <w:r>
        <w:rPr>
          <w:rFonts w:hint="eastAsia" w:ascii="仿宋_GB2312" w:hAnsi="仿宋_GB2312" w:eastAsia="仿宋_GB2312" w:cs="仿宋_GB2312"/>
          <w:b/>
          <w:bCs/>
          <w:color w:val="auto"/>
          <w:sz w:val="32"/>
          <w:szCs w:val="32"/>
          <w:highlight w:val="none"/>
        </w:rPr>
        <w:t>（类）</w:t>
      </w:r>
      <w:r>
        <w:rPr>
          <w:rFonts w:hint="eastAsia" w:ascii="仿宋_GB2312" w:hAnsi="仿宋_GB2312" w:eastAsia="仿宋_GB2312" w:cs="仿宋_GB2312"/>
          <w:b/>
          <w:bCs/>
          <w:color w:val="auto"/>
          <w:sz w:val="32"/>
          <w:szCs w:val="32"/>
          <w:highlight w:val="none"/>
          <w:lang w:eastAsia="zh-CN"/>
        </w:rPr>
        <w:t>抚恤（款）死亡抚恤</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51.24</w:t>
      </w:r>
      <w:r>
        <w:rPr>
          <w:rFonts w:hint="eastAsia" w:ascii="仿宋_GB2312" w:hAnsi="仿宋_GB2312" w:eastAsia="仿宋_GB2312" w:cs="仿宋_GB2312"/>
          <w:color w:val="auto"/>
          <w:sz w:val="32"/>
          <w:szCs w:val="32"/>
          <w:highlight w:val="none"/>
        </w:rPr>
        <w:t>万元，决算数与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有上年结转结余资金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9.</w:t>
      </w:r>
      <w:r>
        <w:rPr>
          <w:rFonts w:hint="eastAsia" w:ascii="仿宋_GB2312" w:hAnsi="仿宋_GB2312" w:eastAsia="仿宋_GB2312" w:cs="仿宋_GB2312"/>
          <w:b/>
          <w:bCs/>
          <w:color w:val="auto"/>
          <w:sz w:val="32"/>
          <w:szCs w:val="32"/>
          <w:highlight w:val="none"/>
        </w:rPr>
        <w:t>社会</w:t>
      </w:r>
      <w:r>
        <w:rPr>
          <w:rFonts w:hint="eastAsia" w:ascii="仿宋_GB2312" w:hAnsi="仿宋_GB2312" w:eastAsia="仿宋_GB2312" w:cs="仿宋_GB2312"/>
          <w:b/>
          <w:bCs/>
          <w:color w:val="auto"/>
          <w:sz w:val="32"/>
          <w:szCs w:val="32"/>
          <w:highlight w:val="none"/>
        </w:rPr>
        <w:t>保障和就业支出（类）</w:t>
      </w:r>
      <w:r>
        <w:rPr>
          <w:rFonts w:hint="eastAsia" w:ascii="仿宋_GB2312" w:hAnsi="仿宋_GB2312" w:eastAsia="仿宋_GB2312" w:cs="仿宋_GB2312"/>
          <w:b/>
          <w:bCs/>
          <w:color w:val="auto"/>
          <w:sz w:val="32"/>
          <w:szCs w:val="32"/>
          <w:highlight w:val="none"/>
          <w:lang w:eastAsia="zh-CN"/>
        </w:rPr>
        <w:t>社会福利</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儿童福利</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154.26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158.73</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完成年初预算的</w:t>
      </w:r>
      <w:r>
        <w:rPr>
          <w:rFonts w:hint="eastAsia" w:ascii="仿宋_GB2312" w:hAnsi="仿宋_GB2312" w:eastAsia="仿宋_GB2312" w:cs="仿宋_GB2312"/>
          <w:color w:val="auto"/>
          <w:sz w:val="32"/>
          <w:szCs w:val="32"/>
          <w:highlight w:val="none"/>
          <w:lang w:val="en-US" w:eastAsia="zh-CN"/>
        </w:rPr>
        <w:t>102.9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决算数与年初预算数存在差异的主要原因是有上年结转结余资金。</w:t>
      </w:r>
    </w:p>
    <w:p>
      <w:pPr>
        <w:widowControl/>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社会</w:t>
      </w:r>
      <w:r>
        <w:rPr>
          <w:rFonts w:hint="eastAsia" w:ascii="仿宋_GB2312" w:hAnsi="仿宋_GB2312" w:eastAsia="仿宋_GB2312" w:cs="仿宋_GB2312"/>
          <w:b/>
          <w:bCs/>
          <w:color w:val="auto"/>
          <w:sz w:val="32"/>
          <w:szCs w:val="32"/>
          <w:highlight w:val="none"/>
        </w:rPr>
        <w:t>保障和就业支出（类）</w:t>
      </w:r>
      <w:r>
        <w:rPr>
          <w:rFonts w:hint="eastAsia" w:ascii="仿宋_GB2312" w:hAnsi="仿宋_GB2312" w:eastAsia="仿宋_GB2312" w:cs="仿宋_GB2312"/>
          <w:b/>
          <w:bCs/>
          <w:color w:val="auto"/>
          <w:sz w:val="32"/>
          <w:szCs w:val="32"/>
          <w:highlight w:val="none"/>
          <w:lang w:eastAsia="zh-CN"/>
        </w:rPr>
        <w:t>社会福利</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殡葬</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1331.09</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2510.65</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完成年初预算的</w:t>
      </w:r>
      <w:r>
        <w:rPr>
          <w:rFonts w:hint="eastAsia" w:ascii="仿宋_GB2312" w:hAnsi="仿宋_GB2312" w:eastAsia="仿宋_GB2312" w:cs="仿宋_GB2312"/>
          <w:color w:val="auto"/>
          <w:sz w:val="32"/>
          <w:szCs w:val="32"/>
          <w:highlight w:val="none"/>
          <w:lang w:val="en-US" w:eastAsia="zh-CN"/>
        </w:rPr>
        <w:t>188.62</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val="en-US" w:eastAsia="zh-CN"/>
        </w:rPr>
        <w:t>新增许昌市玉皇岭纪念园建设项目投资和当年追加的惠民政策补助资金</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社会</w:t>
      </w:r>
      <w:r>
        <w:rPr>
          <w:rFonts w:hint="eastAsia" w:ascii="仿宋_GB2312" w:hAnsi="仿宋_GB2312" w:eastAsia="仿宋_GB2312" w:cs="仿宋_GB2312"/>
          <w:b/>
          <w:bCs/>
          <w:color w:val="auto"/>
          <w:sz w:val="32"/>
          <w:szCs w:val="32"/>
          <w:highlight w:val="none"/>
        </w:rPr>
        <w:t>保障和就业支出（类）</w:t>
      </w:r>
      <w:r>
        <w:rPr>
          <w:rFonts w:hint="eastAsia" w:ascii="仿宋_GB2312" w:hAnsi="仿宋_GB2312" w:eastAsia="仿宋_GB2312" w:cs="仿宋_GB2312"/>
          <w:b/>
          <w:bCs/>
          <w:color w:val="auto"/>
          <w:sz w:val="32"/>
          <w:szCs w:val="32"/>
          <w:highlight w:val="none"/>
          <w:lang w:eastAsia="zh-CN"/>
        </w:rPr>
        <w:t>社会福利</w:t>
      </w:r>
      <w:r>
        <w:rPr>
          <w:rFonts w:hint="eastAsia" w:ascii="仿宋_GB2312" w:hAnsi="仿宋_GB2312" w:eastAsia="仿宋_GB2312" w:cs="仿宋_GB2312"/>
          <w:b/>
          <w:bCs/>
          <w:color w:val="auto"/>
          <w:sz w:val="32"/>
          <w:szCs w:val="32"/>
          <w:highlight w:val="none"/>
        </w:rPr>
        <w:t>（款）</w:t>
      </w:r>
      <w:r>
        <w:rPr>
          <w:rFonts w:hint="eastAsia" w:ascii="仿宋_GB2312" w:hAnsi="仿宋_GB2312" w:eastAsia="仿宋_GB2312" w:cs="仿宋_GB2312"/>
          <w:b/>
          <w:bCs/>
          <w:color w:val="auto"/>
          <w:sz w:val="32"/>
          <w:szCs w:val="32"/>
          <w:highlight w:val="none"/>
          <w:lang w:eastAsia="zh-CN"/>
        </w:rPr>
        <w:t>社会福利事业单位</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1266.18</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支出决算为</w:t>
      </w:r>
      <w:r>
        <w:rPr>
          <w:rFonts w:hint="eastAsia" w:ascii="仿宋_GB2312" w:hAnsi="仿宋_GB2312" w:eastAsia="仿宋_GB2312" w:cs="仿宋_GB2312"/>
          <w:color w:val="auto"/>
          <w:sz w:val="32"/>
          <w:szCs w:val="32"/>
          <w:highlight w:val="none"/>
          <w:lang w:val="en-US" w:eastAsia="zh-CN"/>
        </w:rPr>
        <w:t>2522.72</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完成年初预算的</w:t>
      </w:r>
      <w:r>
        <w:rPr>
          <w:rFonts w:hint="eastAsia" w:ascii="仿宋_GB2312" w:hAnsi="仿宋_GB2312" w:eastAsia="仿宋_GB2312" w:cs="仿宋_GB2312"/>
          <w:color w:val="auto"/>
          <w:sz w:val="32"/>
          <w:szCs w:val="32"/>
          <w:highlight w:val="none"/>
          <w:lang w:val="en-US" w:eastAsia="zh-CN"/>
        </w:rPr>
        <w:t>199.24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决算数与年初预算数存在差异的主要原因是有上年结转结余资金。</w:t>
      </w:r>
    </w:p>
    <w:p>
      <w:pPr>
        <w:keepNext w:val="0"/>
        <w:keepLines w:val="0"/>
        <w:pageBreakBefore w:val="0"/>
        <w:widowControl/>
        <w:kinsoku/>
        <w:wordWrap/>
        <w:overflowPunct/>
        <w:topLinePunct w:val="0"/>
        <w:autoSpaceDE/>
        <w:autoSpaceDN/>
        <w:bidi w:val="0"/>
        <w:adjustRightInd/>
        <w:snapToGrid/>
        <w:spacing w:before="0" w:beforeLines="0" w:after="0" w:afterLines="0"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12.</w:t>
      </w:r>
      <w:r>
        <w:rPr>
          <w:rFonts w:hint="eastAsia" w:ascii="仿宋_GB2312" w:hAnsi="仿宋_GB2312" w:eastAsia="仿宋_GB2312" w:cs="仿宋_GB2312"/>
          <w:b/>
          <w:bCs/>
          <w:color w:val="auto"/>
          <w:sz w:val="32"/>
          <w:szCs w:val="32"/>
          <w:highlight w:val="none"/>
          <w:lang w:val="zh-CN" w:eastAsia="zh-CN"/>
        </w:rPr>
        <w:t>社会保障和就业支出（类）最低生活保障（款）城市最低生活保障资金支出（项）。</w:t>
      </w:r>
      <w:r>
        <w:rPr>
          <w:rFonts w:hint="eastAsia" w:ascii="仿宋_GB2312" w:hAnsi="仿宋_GB2312" w:eastAsia="仿宋_GB2312" w:cs="仿宋_GB2312"/>
          <w:color w:val="auto"/>
          <w:sz w:val="32"/>
          <w:szCs w:val="32"/>
          <w:highlight w:val="none"/>
          <w:lang w:val="en-US" w:eastAsia="zh-CN"/>
        </w:rPr>
        <w:t>年初预算为0.00万元，支出决算为603.78万元。决算数与年初预算数存在差异的主要原因是此项资金</w:t>
      </w:r>
      <w:r>
        <w:rPr>
          <w:rFonts w:hint="eastAsia" w:ascii="仿宋_GB2312" w:hAnsi="仿宋_GB2312" w:eastAsia="仿宋_GB2312" w:cs="仿宋_GB2312"/>
          <w:color w:val="auto"/>
          <w:sz w:val="32"/>
          <w:szCs w:val="32"/>
          <w:highlight w:val="none"/>
          <w:lang w:val="en-US" w:eastAsia="zh-CN"/>
        </w:rPr>
        <w:t>为上级资金未列到本级预算中。</w:t>
      </w:r>
    </w:p>
    <w:p>
      <w:pPr>
        <w:autoSpaceDE w:val="0"/>
        <w:autoSpaceDN w:val="0"/>
        <w:adjustRightInd w:val="0"/>
        <w:ind w:firstLine="643" w:firstLineChars="200"/>
        <w:jc w:val="left"/>
        <w:rPr>
          <w:rFonts w:hint="eastAsia" w:ascii="仿宋_GB2312" w:eastAsia="仿宋_GB2312" w:cs="宋体"/>
          <w:color w:val="auto"/>
          <w:kern w:val="0"/>
          <w:sz w:val="32"/>
          <w:szCs w:val="32"/>
          <w:highlight w:val="none"/>
          <w:lang w:val="zh-CN"/>
        </w:rPr>
      </w:pPr>
      <w:r>
        <w:rPr>
          <w:rFonts w:hint="eastAsia" w:ascii="仿宋_GB2312" w:hAnsi="仿宋_GB2312" w:eastAsia="仿宋_GB2312" w:cs="仿宋_GB2312"/>
          <w:b/>
          <w:bCs/>
          <w:color w:val="auto"/>
          <w:sz w:val="32"/>
          <w:szCs w:val="32"/>
          <w:highlight w:val="none"/>
          <w:lang w:val="en-US" w:eastAsia="zh-CN"/>
        </w:rPr>
        <w:t>13.社会保障和就业支出（类）临时救助（款）临时救助支出（项）。</w:t>
      </w:r>
      <w:r>
        <w:rPr>
          <w:rFonts w:hint="eastAsia" w:ascii="仿宋_GB2312" w:hAnsi="仿宋_GB2312" w:eastAsia="仿宋_GB2312" w:cs="仿宋_GB2312"/>
          <w:color w:val="auto"/>
          <w:sz w:val="32"/>
          <w:szCs w:val="32"/>
          <w:highlight w:val="none"/>
          <w:lang w:val="en-US" w:eastAsia="zh-CN"/>
        </w:rPr>
        <w:t>年初预算为0.00万元，支出决算为47.25万元</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highlight w:val="none"/>
          <w:lang w:val="en-US" w:eastAsia="zh-CN"/>
        </w:rPr>
        <w:t>决算数与年初预算数存在差异的主要原因是</w:t>
      </w:r>
      <w:r>
        <w:rPr>
          <w:rFonts w:hint="eastAsia" w:ascii="仿宋_GB2312" w:eastAsia="仿宋_GB2312" w:cs="宋体"/>
          <w:color w:val="auto"/>
          <w:kern w:val="0"/>
          <w:sz w:val="32"/>
          <w:szCs w:val="32"/>
          <w:highlight w:val="none"/>
          <w:lang w:val="zh-CN"/>
        </w:rPr>
        <w:t>其中有上年度结转的“困难群众补助资金”，未含在年初部门预算内。</w:t>
      </w:r>
    </w:p>
    <w:p>
      <w:pPr>
        <w:autoSpaceDE w:val="0"/>
        <w:autoSpaceDN w:val="0"/>
        <w:adjustRightInd w:val="0"/>
        <w:ind w:firstLine="643"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14.社会保障和就业支出（类）临时救助（款）流浪乞讨人员救助支出（项）。</w:t>
      </w:r>
      <w:r>
        <w:rPr>
          <w:rFonts w:hint="eastAsia" w:ascii="仿宋_GB2312" w:hAnsi="仿宋_GB2312" w:eastAsia="仿宋_GB2312" w:cs="仿宋_GB2312"/>
          <w:color w:val="auto"/>
          <w:sz w:val="32"/>
          <w:szCs w:val="32"/>
          <w:highlight w:val="none"/>
          <w:lang w:val="en-US" w:eastAsia="zh-CN"/>
        </w:rPr>
        <w:t>年初预算为315.43万元，支出决算为386.59万元，</w:t>
      </w:r>
      <w:r>
        <w:rPr>
          <w:rFonts w:hint="eastAsia" w:ascii="仿宋_GB2312" w:hAnsi="仿宋_GB2312" w:eastAsia="仿宋_GB2312" w:cs="仿宋_GB2312"/>
          <w:color w:val="auto"/>
          <w:sz w:val="32"/>
          <w:szCs w:val="32"/>
          <w:highlight w:val="none"/>
          <w:lang w:val="zh-CN" w:eastAsia="zh-CN"/>
        </w:rPr>
        <w:t>完成年初预算的</w:t>
      </w:r>
      <w:r>
        <w:rPr>
          <w:rFonts w:hint="eastAsia" w:ascii="仿宋_GB2312" w:hAnsi="仿宋_GB2312" w:eastAsia="仿宋_GB2312" w:cs="仿宋_GB2312"/>
          <w:color w:val="auto"/>
          <w:sz w:val="32"/>
          <w:szCs w:val="32"/>
          <w:highlight w:val="none"/>
          <w:lang w:val="en-US" w:eastAsia="zh-CN"/>
        </w:rPr>
        <w:t>111.12</w:t>
      </w:r>
      <w:r>
        <w:rPr>
          <w:rFonts w:hint="eastAsia" w:ascii="仿宋_GB2312" w:hAnsi="仿宋_GB2312" w:eastAsia="仿宋_GB2312" w:cs="仿宋_GB2312"/>
          <w:color w:val="auto"/>
          <w:sz w:val="32"/>
          <w:szCs w:val="32"/>
          <w:highlight w:val="none"/>
          <w:lang w:val="zh-CN" w:eastAsia="zh-CN"/>
        </w:rPr>
        <w:t>%。决算数与年初预算数存在差异的主要原因是</w:t>
      </w:r>
      <w:r>
        <w:rPr>
          <w:rFonts w:hint="eastAsia" w:ascii="仿宋_GB2312" w:eastAsia="仿宋_GB2312" w:cs="宋体"/>
          <w:color w:val="auto"/>
          <w:kern w:val="0"/>
          <w:sz w:val="32"/>
          <w:szCs w:val="32"/>
          <w:highlight w:val="none"/>
          <w:lang w:val="zh-CN"/>
        </w:rPr>
        <w:t>其中有上年度结转的“困难群众补助资金”，未含在年初部门预算内。</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15.</w:t>
      </w:r>
      <w:r>
        <w:rPr>
          <w:rFonts w:hint="eastAsia" w:ascii="仿宋_GB2312" w:hAnsi="仿宋_GB2312" w:eastAsia="仿宋_GB2312" w:cs="仿宋_GB2312"/>
          <w:b/>
          <w:bCs/>
          <w:color w:val="auto"/>
          <w:sz w:val="32"/>
          <w:szCs w:val="32"/>
          <w:highlight w:val="none"/>
        </w:rPr>
        <w:t>卫生健康支出（类）行政事业单位医疗（款）行</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政单位医疗（项）。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20.24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18.88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93.28</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有</w:t>
      </w:r>
      <w:r>
        <w:rPr>
          <w:rFonts w:hint="eastAsia" w:ascii="仿宋_GB2312" w:hAnsi="仿宋_GB2312" w:eastAsia="仿宋_GB2312" w:cs="仿宋_GB2312"/>
          <w:color w:val="auto"/>
          <w:sz w:val="32"/>
          <w:szCs w:val="32"/>
          <w:highlight w:val="none"/>
          <w:lang w:eastAsia="zh-CN"/>
        </w:rPr>
        <w:t>退休人员</w:t>
      </w:r>
      <w:r>
        <w:rPr>
          <w:rFonts w:hint="eastAsia" w:ascii="仿宋_GB2312" w:hAnsi="仿宋_GB2312" w:eastAsia="仿宋_GB2312" w:cs="仿宋_GB2312"/>
          <w:color w:val="auto"/>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590" w:lineRule="exact"/>
        <w:ind w:right="0" w:righ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 xml:space="preserve">    16</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rPr>
        <w:t>卫生健康支出（类）行政事业单位医疗（款）事业单位医疗（项）。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32.67</w:t>
      </w:r>
      <w:r>
        <w:rPr>
          <w:rFonts w:hint="eastAsia" w:ascii="仿宋_GB2312" w:hAnsi="仿宋_GB2312" w:eastAsia="仿宋_GB2312" w:cs="仿宋_GB2312"/>
          <w:color w:val="auto"/>
          <w:sz w:val="32"/>
          <w:szCs w:val="32"/>
          <w:highlight w:val="none"/>
        </w:rPr>
        <w:t>万元，支出决算为2</w:t>
      </w:r>
      <w:r>
        <w:rPr>
          <w:rFonts w:hint="eastAsia" w:ascii="仿宋_GB2312" w:hAnsi="仿宋_GB2312" w:eastAsia="仿宋_GB2312" w:cs="仿宋_GB2312"/>
          <w:color w:val="auto"/>
          <w:sz w:val="32"/>
          <w:szCs w:val="32"/>
          <w:highlight w:val="none"/>
          <w:lang w:val="en-US" w:eastAsia="zh-CN"/>
        </w:rPr>
        <w:t>4.72</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94.45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仿宋_GB2312" w:eastAsia="仿宋_GB2312" w:cs="仿宋_GB2312"/>
          <w:color w:val="auto"/>
          <w:sz w:val="32"/>
          <w:szCs w:val="32"/>
          <w:highlight w:val="none"/>
          <w:lang w:eastAsia="zh-CN"/>
        </w:rPr>
        <w:t>是有退休人员</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before="0" w:beforeLines="0" w:after="0" w:afterLines="0" w:line="59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17</w:t>
      </w:r>
      <w:r>
        <w:rPr>
          <w:rFonts w:hint="eastAsia" w:ascii="仿宋_GB2312" w:hAnsi="仿宋_GB2312" w:eastAsia="仿宋_GB2312" w:cs="仿宋_GB2312"/>
          <w:b/>
          <w:bCs/>
          <w:color w:val="auto"/>
          <w:sz w:val="32"/>
          <w:szCs w:val="32"/>
          <w:highlight w:val="none"/>
        </w:rPr>
        <w:t>.卫生健康支出（类）行政事业单位医疗（款）公务员医疗补助（项）。</w:t>
      </w:r>
      <w:r>
        <w:rPr>
          <w:rFonts w:hint="eastAsia" w:ascii="仿宋_GB2312" w:hAnsi="仿宋_GB2312" w:eastAsia="仿宋_GB2312" w:cs="仿宋_GB2312"/>
          <w:color w:val="auto"/>
          <w:sz w:val="32"/>
          <w:szCs w:val="32"/>
          <w:highlight w:val="none"/>
        </w:rPr>
        <w:t>年初预算为</w:t>
      </w:r>
      <w:r>
        <w:rPr>
          <w:rFonts w:hint="eastAsia" w:ascii="仿宋_GB2312" w:hAnsi="仿宋_GB2312" w:eastAsia="仿宋_GB2312" w:cs="仿宋_GB2312"/>
          <w:color w:val="auto"/>
          <w:sz w:val="32"/>
          <w:szCs w:val="32"/>
          <w:highlight w:val="none"/>
          <w:lang w:val="en-US" w:eastAsia="zh-CN"/>
        </w:rPr>
        <w:t>19.28</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22.28</w:t>
      </w:r>
      <w:r>
        <w:rPr>
          <w:rFonts w:hint="eastAsia" w:ascii="仿宋_GB2312" w:hAnsi="仿宋_GB2312" w:eastAsia="仿宋_GB2312" w:cs="仿宋_GB2312"/>
          <w:color w:val="auto"/>
          <w:sz w:val="32"/>
          <w:szCs w:val="32"/>
          <w:highlight w:val="none"/>
        </w:rPr>
        <w:t>万元，完成年初预算的</w:t>
      </w:r>
      <w:r>
        <w:rPr>
          <w:rFonts w:hint="eastAsia" w:ascii="仿宋_GB2312" w:hAnsi="仿宋_GB2312" w:eastAsia="仿宋_GB2312" w:cs="仿宋_GB2312"/>
          <w:color w:val="auto"/>
          <w:sz w:val="32"/>
          <w:szCs w:val="32"/>
          <w:highlight w:val="none"/>
          <w:lang w:val="en-US" w:eastAsia="zh-CN"/>
        </w:rPr>
        <w:t>115.56</w:t>
      </w:r>
      <w:r>
        <w:rPr>
          <w:rFonts w:hint="eastAsia" w:ascii="仿宋_GB2312" w:hAnsi="仿宋_GB2312" w:eastAsia="仿宋_GB2312" w:cs="仿宋_GB2312"/>
          <w:color w:val="auto"/>
          <w:sz w:val="32"/>
          <w:szCs w:val="32"/>
          <w:highlight w:val="none"/>
        </w:rPr>
        <w:t>%。决算数与年初预算数存在差异的主要</w:t>
      </w:r>
      <w:r>
        <w:rPr>
          <w:rFonts w:hint="eastAsia" w:ascii="仿宋_GB2312" w:hAnsi="仿宋_GB2312" w:eastAsia="仿宋_GB2312" w:cs="仿宋_GB2312"/>
          <w:color w:val="auto"/>
          <w:sz w:val="32"/>
          <w:szCs w:val="32"/>
          <w:highlight w:val="none"/>
          <w:lang w:val="en-US" w:eastAsia="zh-CN"/>
        </w:rPr>
        <w:t>原因是</w:t>
      </w:r>
      <w:r>
        <w:rPr>
          <w:rFonts w:hint="eastAsia" w:ascii="仿宋_GB2312" w:hAnsi="仿宋_GB2312" w:eastAsia="仿宋_GB2312" w:cs="仿宋_GB2312"/>
          <w:color w:val="auto"/>
          <w:sz w:val="32"/>
          <w:szCs w:val="32"/>
          <w:highlight w:val="none"/>
        </w:rPr>
        <w:t>有上年结转结余资金</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s="仿宋_GB2312"/>
          <w:color w:val="auto"/>
          <w:sz w:val="32"/>
          <w:szCs w:val="32"/>
          <w:highlight w:val="none"/>
          <w:lang w:val="en-US" w:eastAsia="zh-CN"/>
        </w:rPr>
        <w:t>2792.97</w:t>
      </w:r>
      <w:r>
        <w:rPr>
          <w:rFonts w:hint="eastAsia" w:ascii="仿宋_GB2312" w:hAnsi="仿宋_GB2312" w:eastAsia="仿宋_GB2312" w:cs="仿宋_GB2312"/>
          <w:color w:val="auto"/>
          <w:sz w:val="32"/>
          <w:szCs w:val="32"/>
          <w:highlight w:val="none"/>
        </w:rPr>
        <w:t>万元。其中：人员经费</w:t>
      </w:r>
      <w:r>
        <w:rPr>
          <w:rFonts w:hint="eastAsia" w:ascii="仿宋_GB2312" w:hAnsi="仿宋_GB2312" w:eastAsia="仿宋_GB2312" w:cs="仿宋_GB2312"/>
          <w:color w:val="auto"/>
          <w:sz w:val="32"/>
          <w:szCs w:val="32"/>
          <w:highlight w:val="none"/>
          <w:lang w:val="en-US" w:eastAsia="zh-CN"/>
        </w:rPr>
        <w:t>2552.44</w:t>
      </w:r>
      <w:r>
        <w:rPr>
          <w:rFonts w:hint="eastAsia" w:ascii="仿宋_GB2312" w:hAnsi="仿宋_GB2312" w:eastAsia="仿宋_GB2312" w:cs="仿宋_GB2312"/>
          <w:color w:val="auto"/>
          <w:sz w:val="32"/>
          <w:szCs w:val="32"/>
          <w:highlight w:val="none"/>
        </w:rPr>
        <w:t>万元，主要包括：基本工资、津贴补贴、</w:t>
      </w:r>
      <w:r>
        <w:rPr>
          <w:rFonts w:hint="eastAsia" w:ascii="仿宋_GB2312" w:hAnsi="仿宋_GB2312" w:eastAsia="仿宋_GB2312" w:cs="仿宋_GB2312"/>
          <w:color w:val="auto"/>
          <w:sz w:val="32"/>
          <w:szCs w:val="32"/>
          <w:highlight w:val="none"/>
          <w:lang w:eastAsia="zh-CN"/>
        </w:rPr>
        <w:t>奖金、</w:t>
      </w:r>
      <w:r>
        <w:rPr>
          <w:rFonts w:hint="eastAsia" w:ascii="仿宋_GB2312" w:hAnsi="仿宋_GB2312" w:eastAsia="仿宋_GB2312" w:cs="仿宋_GB2312"/>
          <w:color w:val="auto"/>
          <w:sz w:val="32"/>
          <w:szCs w:val="32"/>
          <w:highlight w:val="none"/>
        </w:rPr>
        <w:t>绩效工资、机关事业单位基本养老保险缴费、职业年金缴费、其他社会保障缴费、</w:t>
      </w:r>
      <w:r>
        <w:rPr>
          <w:rFonts w:hint="eastAsia" w:ascii="仿宋_GB2312" w:hAnsi="仿宋_GB2312" w:eastAsia="仿宋_GB2312" w:cs="仿宋_GB2312"/>
          <w:color w:val="auto"/>
          <w:sz w:val="32"/>
          <w:szCs w:val="32"/>
          <w:highlight w:val="none"/>
          <w:lang w:eastAsia="zh-CN"/>
        </w:rPr>
        <w:t>住房公积金、</w:t>
      </w:r>
      <w:r>
        <w:rPr>
          <w:rFonts w:hint="eastAsia" w:ascii="仿宋_GB2312" w:hAnsi="仿宋_GB2312" w:eastAsia="仿宋_GB2312" w:cs="仿宋_GB2312"/>
          <w:color w:val="auto"/>
          <w:sz w:val="32"/>
          <w:szCs w:val="32"/>
          <w:highlight w:val="none"/>
        </w:rPr>
        <w:t>其他工资福利支出、</w:t>
      </w:r>
      <w:r>
        <w:rPr>
          <w:rFonts w:hint="eastAsia" w:ascii="仿宋_GB2312" w:hAnsi="仿宋_GB2312" w:eastAsia="仿宋_GB2312" w:cs="仿宋_GB2312"/>
          <w:color w:val="auto"/>
          <w:sz w:val="32"/>
          <w:szCs w:val="32"/>
          <w:highlight w:val="none"/>
          <w:lang w:eastAsia="zh-CN"/>
        </w:rPr>
        <w:t>对个人和家庭的补助、离休费、</w:t>
      </w:r>
      <w:r>
        <w:rPr>
          <w:rFonts w:hint="eastAsia" w:ascii="仿宋_GB2312" w:hAnsi="仿宋_GB2312" w:eastAsia="仿宋_GB2312" w:cs="仿宋_GB2312"/>
          <w:color w:val="auto"/>
          <w:sz w:val="32"/>
          <w:szCs w:val="32"/>
          <w:highlight w:val="none"/>
        </w:rPr>
        <w:t>退休费、抚恤金、生活补助、奖励金；公用经费</w:t>
      </w:r>
      <w:r>
        <w:rPr>
          <w:rFonts w:hint="eastAsia" w:ascii="仿宋_GB2312" w:hAnsi="仿宋_GB2312" w:eastAsia="仿宋_GB2312" w:cs="仿宋_GB2312"/>
          <w:color w:val="auto"/>
          <w:sz w:val="32"/>
          <w:szCs w:val="32"/>
          <w:highlight w:val="none"/>
          <w:lang w:val="en-US" w:eastAsia="zh-CN"/>
        </w:rPr>
        <w:t>240.53</w:t>
      </w:r>
      <w:r>
        <w:rPr>
          <w:rFonts w:hint="eastAsia" w:ascii="仿宋_GB2312" w:hAnsi="仿宋_GB2312" w:eastAsia="仿宋_GB2312" w:cs="仿宋_GB2312"/>
          <w:color w:val="auto"/>
          <w:sz w:val="32"/>
          <w:szCs w:val="32"/>
          <w:highlight w:val="none"/>
        </w:rPr>
        <w:t>万元，主要包括：办公费、印刷费、咨询费、水费、电费、邮电费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物业管理费、差旅费、维修（护）费、租赁费、会议费、培训费、公务接待费、专用材料费、劳务费、委托业务费、工会经费、福利费、公务用车运行维护费、其他交通费用、其他商品和服务支出。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15.4</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10.4</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67.53</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年度“三公”经费支出决算数与预算数存在差异的主要原因是</w:t>
      </w:r>
      <w:r>
        <w:rPr>
          <w:rFonts w:hint="eastAsia" w:ascii="仿宋_GB2312" w:hAnsi="仿宋_GB2312" w:eastAsia="仿宋_GB2312" w:cs="仿宋_GB2312"/>
          <w:color w:val="auto"/>
          <w:sz w:val="32"/>
          <w:szCs w:val="32"/>
          <w:highlight w:val="none"/>
          <w:lang w:eastAsia="zh-CN"/>
        </w:rPr>
        <w:t>公车出行任务和本年度接待任务较少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82.99</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93.35</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0.69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18.65</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6.65</w:t>
      </w:r>
      <w:r>
        <w:rPr>
          <w:rFonts w:hint="eastAsia" w:ascii="仿宋_GB2312" w:hAns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完成预算的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开支内容包括：</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11.7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82.99</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我部门</w:t>
      </w:r>
      <w:r>
        <w:rPr>
          <w:rFonts w:hint="eastAsia" w:ascii="仿宋_GB2312" w:hAnsi="仿宋_GB2312" w:eastAsia="仿宋_GB2312" w:cs="仿宋_GB2312"/>
          <w:color w:val="auto"/>
          <w:sz w:val="32"/>
          <w:szCs w:val="32"/>
          <w:highlight w:val="none"/>
          <w:lang w:val="en-US" w:eastAsia="zh-CN"/>
        </w:rPr>
        <w:t>本年度公车出行任务少。</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b/>
          <w:bCs/>
          <w:color w:val="auto"/>
          <w:sz w:val="32"/>
          <w:szCs w:val="32"/>
          <w:highlight w:val="none"/>
          <w:lang w:val="en-US" w:eastAsia="zh-CN"/>
        </w:rPr>
        <w:t>9.71</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rPr>
        <w:t>车辆保险、汽油，过路费、车辆维修费</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8辆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3.7</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0.69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18.65</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_GB2312" w:hAnsi="仿宋_GB2312" w:eastAsia="仿宋_GB2312" w:cs="仿宋_GB2312"/>
          <w:color w:val="auto"/>
          <w:sz w:val="32"/>
          <w:szCs w:val="32"/>
          <w:highlight w:val="none"/>
          <w:lang w:eastAsia="zh-CN"/>
        </w:rPr>
        <w:t>部分单位无接待任务。</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b/>
          <w:bCs/>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b/>
          <w:bCs/>
          <w:color w:val="auto"/>
          <w:sz w:val="32"/>
          <w:szCs w:val="32"/>
          <w:highlight w:val="none"/>
          <w:lang w:val="en-US" w:eastAsia="zh-CN"/>
        </w:rPr>
        <w:t>0.69</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eastAsia="zh-CN"/>
        </w:rPr>
        <w:t>接地带人员用餐</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个、来宾人</w:t>
      </w:r>
      <w:r>
        <w:rPr>
          <w:rFonts w:hint="eastAsia" w:ascii="仿宋_GB2312" w:hAnsi="仿宋_GB2312" w:eastAsia="仿宋_GB2312" w:cs="仿宋_GB2312"/>
          <w:color w:val="auto"/>
          <w:sz w:val="32"/>
          <w:szCs w:val="32"/>
          <w:highlight w:val="none"/>
          <w:lang w:val="en-US" w:eastAsia="zh-CN"/>
        </w:rPr>
        <w:t>67</w:t>
      </w:r>
      <w:r>
        <w:rPr>
          <w:rFonts w:hint="eastAsia" w:ascii="仿宋_GB2312" w:hAnsi="仿宋_GB2312" w:eastAsia="仿宋_GB2312" w:cs="仿宋_GB2312"/>
          <w:color w:val="auto"/>
          <w:sz w:val="32"/>
          <w:szCs w:val="32"/>
          <w:highlight w:val="none"/>
        </w:rPr>
        <w:t>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237.96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509.32</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214.03</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val="en-US" w:eastAsia="zh-CN"/>
        </w:rPr>
        <w:t>主要用于</w:t>
      </w:r>
      <w:r>
        <w:rPr>
          <w:rFonts w:hint="eastAsia" w:ascii="仿宋_GB2312" w:hAnsi="仿宋_GB2312" w:eastAsia="仿宋_GB2312" w:cs="仿宋_GB2312"/>
          <w:color w:val="auto"/>
          <w:sz w:val="32"/>
          <w:szCs w:val="32"/>
          <w:highlight w:val="none"/>
        </w:rPr>
        <w:t>精神卫生康复中心大楼建设项目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rPr>
        <w:t>精神卫生康复中心大楼建设</w:t>
      </w:r>
      <w:r>
        <w:rPr>
          <w:rFonts w:hint="eastAsia" w:ascii="仿宋_GB2312" w:hAnsi="仿宋_GB2312" w:eastAsia="仿宋_GB2312" w:cs="仿宋_GB2312"/>
          <w:color w:val="auto"/>
          <w:sz w:val="32"/>
          <w:szCs w:val="32"/>
          <w:highlight w:val="none"/>
          <w:lang w:val="en-US" w:eastAsia="zh-CN"/>
        </w:rPr>
        <w:t>项目年末有结转和结余资金。主要原因：</w:t>
      </w:r>
      <w:r>
        <w:rPr>
          <w:rFonts w:hint="eastAsia" w:ascii="仿宋_GB2312" w:hAnsi="仿宋_GB2312" w:eastAsia="仿宋_GB2312" w:cs="仿宋_GB2312"/>
          <w:color w:val="auto"/>
          <w:sz w:val="32"/>
          <w:szCs w:val="32"/>
          <w:highlight w:val="none"/>
        </w:rPr>
        <w:t>项目正在建设中</w:t>
      </w:r>
      <w:r>
        <w:rPr>
          <w:rFonts w:hint="eastAsia" w:ascii="仿宋_GB2312" w:hAnsi="仿宋_GB2312" w:eastAsia="仿宋_GB2312" w:cs="仿宋_GB2312"/>
          <w:color w:val="auto"/>
          <w:sz w:val="32"/>
          <w:szCs w:val="32"/>
          <w:highlight w:val="none"/>
          <w:lang w:val="en-US"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109.42</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119.96</w:t>
      </w:r>
      <w:r>
        <w:rPr>
          <w:rFonts w:hint="eastAsia" w:ascii="仿宋_GB2312" w:hAnsi="仿宋_GB2312" w:eastAsia="仿宋_GB2312" w:cs="仿宋_GB2312"/>
          <w:color w:val="auto"/>
          <w:sz w:val="32"/>
          <w:szCs w:val="32"/>
          <w:highlight w:val="none"/>
        </w:rPr>
        <w:t>万元，完成</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预算的</w:t>
      </w:r>
      <w:r>
        <w:rPr>
          <w:rFonts w:hint="eastAsia" w:ascii="仿宋_GB2312" w:hAnsi="仿宋_GB2312" w:eastAsia="仿宋_GB2312" w:cs="仿宋_GB2312"/>
          <w:color w:val="auto"/>
          <w:sz w:val="32"/>
          <w:szCs w:val="32"/>
          <w:highlight w:val="none"/>
          <w:lang w:val="en-US" w:eastAsia="zh-CN"/>
        </w:rPr>
        <w:t>109.63</w:t>
      </w:r>
      <w:r>
        <w:rPr>
          <w:rFonts w:hint="eastAsia" w:ascii="仿宋_GB2312" w:hAnsi="仿宋_GB2312" w:eastAsia="仿宋_GB2312" w:cs="仿宋_GB2312"/>
          <w:color w:val="auto"/>
          <w:sz w:val="32"/>
          <w:szCs w:val="32"/>
          <w:highlight w:val="none"/>
        </w:rPr>
        <w:t>%。决算数与</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预算数存在差异的主要原因是</w:t>
      </w:r>
      <w:r>
        <w:rPr>
          <w:rFonts w:hint="eastAsia" w:ascii="仿宋_GB2312" w:hAnsi="仿宋_GB2312" w:eastAsia="仿宋_GB2312" w:cs="仿宋_GB2312"/>
          <w:color w:val="auto"/>
          <w:sz w:val="32"/>
          <w:szCs w:val="32"/>
          <w:highlight w:val="none"/>
          <w:lang w:eastAsia="zh-CN"/>
        </w:rPr>
        <w:t>有上年结转结余资金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年度政府采购支出总额</w:t>
      </w:r>
      <w:r>
        <w:rPr>
          <w:rFonts w:hint="eastAsia" w:ascii="仿宋_GB2312" w:hAnsi="仿宋_GB2312" w:eastAsia="仿宋_GB2312" w:cs="仿宋_GB2312"/>
          <w:color w:val="auto"/>
          <w:sz w:val="32"/>
          <w:szCs w:val="32"/>
          <w:highlight w:val="none"/>
          <w:lang w:val="en-US" w:eastAsia="zh-CN"/>
        </w:rPr>
        <w:t>829.51</w:t>
      </w:r>
      <w:r>
        <w:rPr>
          <w:rFonts w:hint="eastAsia" w:ascii="仿宋_GB2312" w:hAnsi="仿宋_GB2312" w:eastAsia="仿宋_GB2312" w:cs="仿宋_GB2312"/>
          <w:color w:val="auto"/>
          <w:sz w:val="32"/>
          <w:szCs w:val="32"/>
          <w:highlight w:val="none"/>
        </w:rPr>
        <w:t>万元，其中：政府采购货物支出</w:t>
      </w:r>
      <w:r>
        <w:rPr>
          <w:rFonts w:hint="eastAsia" w:ascii="仿宋_GB2312" w:hAnsi="仿宋_GB2312" w:eastAsia="仿宋_GB2312" w:cs="仿宋_GB2312"/>
          <w:color w:val="auto"/>
          <w:sz w:val="32"/>
          <w:szCs w:val="32"/>
          <w:highlight w:val="none"/>
          <w:lang w:val="en-US" w:eastAsia="zh-CN"/>
        </w:rPr>
        <w:t>8.91</w:t>
      </w:r>
      <w:r>
        <w:rPr>
          <w:rFonts w:hint="eastAsia" w:ascii="仿宋_GB2312" w:hAnsi="仿宋_GB2312" w:eastAsia="仿宋_GB2312" w:cs="仿宋_GB2312"/>
          <w:color w:val="auto"/>
          <w:sz w:val="32"/>
          <w:szCs w:val="32"/>
          <w:highlight w:val="none"/>
        </w:rPr>
        <w:t>万元、政府采购工程支出</w:t>
      </w:r>
      <w:r>
        <w:rPr>
          <w:rFonts w:hint="eastAsia" w:ascii="仿宋_GB2312" w:hAnsi="仿宋_GB2312" w:eastAsia="仿宋_GB2312" w:cs="仿宋_GB2312"/>
          <w:color w:val="auto"/>
          <w:sz w:val="32"/>
          <w:szCs w:val="32"/>
          <w:highlight w:val="none"/>
          <w:lang w:val="en-US" w:eastAsia="zh-CN"/>
        </w:rPr>
        <w:t>187.33</w:t>
      </w:r>
      <w:r>
        <w:rPr>
          <w:rFonts w:hint="eastAsia" w:ascii="仿宋_GB2312" w:hAnsi="仿宋_GB2312" w:eastAsia="仿宋_GB2312" w:cs="仿宋_GB2312"/>
          <w:color w:val="auto"/>
          <w:sz w:val="32"/>
          <w:szCs w:val="32"/>
          <w:highlight w:val="none"/>
        </w:rPr>
        <w:t>万元、政府采购服务支出</w:t>
      </w:r>
      <w:r>
        <w:rPr>
          <w:rFonts w:hint="eastAsia" w:ascii="仿宋_GB2312" w:hAnsi="仿宋_GB2312" w:eastAsia="仿宋_GB2312" w:cs="仿宋_GB2312"/>
          <w:color w:val="auto"/>
          <w:sz w:val="32"/>
          <w:szCs w:val="32"/>
          <w:highlight w:val="none"/>
          <w:lang w:val="en-US" w:eastAsia="zh-CN"/>
        </w:rPr>
        <w:t>633.27</w:t>
      </w:r>
      <w:r>
        <w:rPr>
          <w:rFonts w:hint="eastAsia" w:ascii="仿宋_GB2312" w:hAnsi="仿宋_GB2312" w:eastAsia="仿宋_GB2312" w:cs="仿宋_GB2312"/>
          <w:color w:val="auto"/>
          <w:sz w:val="32"/>
          <w:szCs w:val="32"/>
          <w:highlight w:val="none"/>
        </w:rPr>
        <w:t>万元。授予中小企业合同金额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%，其中：授予小微企业合同金额</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万元，占政府采购支出总额的</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8932.37万元，其中：基本支出3186.65万元；支出项目21个，支出金额5745.72万元。开展项目绩效自评项目20个，自评金额5745.72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部门对本部门整体绩效目标和项目支出绩效目标进行了自评。一是部门整体绩效自评情况良好。本年度年收入超预计目标，预算和财务管理持续严格高效地完成，对各项支出的绩效坚持及时客观地评价。二是项目绩效自评情况。项目金额 5745.72万元。我部门共有21个项目批复了绩效目标。其中：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许昌市民政局5个，项目金额282.46万元；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许昌市殡仪馆8个，项目金额2707.82万元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许昌市按摩医院4个，项目金额1581.69万元；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许昌市社会福利院4个，项目金额895.24万元；</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85分。其中：13个项目评价等级为“优”、7个项目评价等级为“良”、1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firstLine="321" w:firstLineChars="1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我部门选取1项目开展了部门重点评价，评价得分：90分，等次为“优”。</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我部门将对照重点绩效评价发现问题进行整改，不断提高我部门项目和预算管理水平，提升财政资金使用效益。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abstractNum w:abstractNumId="1">
    <w:nsid w:val="63194407"/>
    <w:multiLevelType w:val="singleLevel"/>
    <w:tmpl w:val="63194407"/>
    <w:lvl w:ilvl="0" w:tentative="0">
      <w:start w:val="6"/>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060FFD"/>
    <w:rsid w:val="01322275"/>
    <w:rsid w:val="01DC6F05"/>
    <w:rsid w:val="02A3489A"/>
    <w:rsid w:val="02CA138D"/>
    <w:rsid w:val="02EC5F34"/>
    <w:rsid w:val="033646FC"/>
    <w:rsid w:val="03AB4F90"/>
    <w:rsid w:val="03C75F80"/>
    <w:rsid w:val="0478364D"/>
    <w:rsid w:val="053D4C0D"/>
    <w:rsid w:val="0557532E"/>
    <w:rsid w:val="064126EF"/>
    <w:rsid w:val="0799329C"/>
    <w:rsid w:val="08397436"/>
    <w:rsid w:val="086F16A7"/>
    <w:rsid w:val="08E626AC"/>
    <w:rsid w:val="0A0F7225"/>
    <w:rsid w:val="0A2B7D82"/>
    <w:rsid w:val="0AB541CF"/>
    <w:rsid w:val="0ADC40E9"/>
    <w:rsid w:val="0AE607F4"/>
    <w:rsid w:val="0B386127"/>
    <w:rsid w:val="0B451598"/>
    <w:rsid w:val="0BEC73F4"/>
    <w:rsid w:val="0C104C1F"/>
    <w:rsid w:val="0C392698"/>
    <w:rsid w:val="0F6916B2"/>
    <w:rsid w:val="10BD36F6"/>
    <w:rsid w:val="11BF0649"/>
    <w:rsid w:val="123E3E08"/>
    <w:rsid w:val="133212F4"/>
    <w:rsid w:val="13D22E22"/>
    <w:rsid w:val="14C06DF6"/>
    <w:rsid w:val="161C2DFF"/>
    <w:rsid w:val="16310FDD"/>
    <w:rsid w:val="16373578"/>
    <w:rsid w:val="16D3336B"/>
    <w:rsid w:val="17200028"/>
    <w:rsid w:val="17806C36"/>
    <w:rsid w:val="17A74F62"/>
    <w:rsid w:val="18A47774"/>
    <w:rsid w:val="1A3F77BE"/>
    <w:rsid w:val="1A8D28EB"/>
    <w:rsid w:val="1A9F2D78"/>
    <w:rsid w:val="1B2E6FD8"/>
    <w:rsid w:val="1B877D21"/>
    <w:rsid w:val="1BD377FA"/>
    <w:rsid w:val="1C4319A9"/>
    <w:rsid w:val="1D536D4B"/>
    <w:rsid w:val="1E264BAF"/>
    <w:rsid w:val="1E443B4B"/>
    <w:rsid w:val="1E53281B"/>
    <w:rsid w:val="1E994F4A"/>
    <w:rsid w:val="1EAF0224"/>
    <w:rsid w:val="1F0346E3"/>
    <w:rsid w:val="1F2230A4"/>
    <w:rsid w:val="20210932"/>
    <w:rsid w:val="202448E0"/>
    <w:rsid w:val="20F614FE"/>
    <w:rsid w:val="21302EEA"/>
    <w:rsid w:val="22376FB5"/>
    <w:rsid w:val="22A67655"/>
    <w:rsid w:val="23E152D7"/>
    <w:rsid w:val="23EE2489"/>
    <w:rsid w:val="24105C64"/>
    <w:rsid w:val="255D43C8"/>
    <w:rsid w:val="26714EF8"/>
    <w:rsid w:val="26876BDD"/>
    <w:rsid w:val="2714632A"/>
    <w:rsid w:val="27541E73"/>
    <w:rsid w:val="27B0539E"/>
    <w:rsid w:val="29365CF8"/>
    <w:rsid w:val="299469B3"/>
    <w:rsid w:val="2A805789"/>
    <w:rsid w:val="2ADC0D75"/>
    <w:rsid w:val="2B032B18"/>
    <w:rsid w:val="2B4A0E52"/>
    <w:rsid w:val="2BD73A50"/>
    <w:rsid w:val="2C975890"/>
    <w:rsid w:val="2D112747"/>
    <w:rsid w:val="2DEF21BB"/>
    <w:rsid w:val="2E4A2F05"/>
    <w:rsid w:val="2E5E2C24"/>
    <w:rsid w:val="2ECC1061"/>
    <w:rsid w:val="2F8975B4"/>
    <w:rsid w:val="2FA476AD"/>
    <w:rsid w:val="303F7540"/>
    <w:rsid w:val="30BC415B"/>
    <w:rsid w:val="31646A9A"/>
    <w:rsid w:val="319B17A0"/>
    <w:rsid w:val="31DD00BF"/>
    <w:rsid w:val="31F7064B"/>
    <w:rsid w:val="32225FFE"/>
    <w:rsid w:val="3293174C"/>
    <w:rsid w:val="32BB38D4"/>
    <w:rsid w:val="32C9376D"/>
    <w:rsid w:val="33780472"/>
    <w:rsid w:val="33AF0905"/>
    <w:rsid w:val="34F444CD"/>
    <w:rsid w:val="355932F4"/>
    <w:rsid w:val="35611882"/>
    <w:rsid w:val="36746FC3"/>
    <w:rsid w:val="368763AE"/>
    <w:rsid w:val="371F044D"/>
    <w:rsid w:val="395D59E7"/>
    <w:rsid w:val="39A93932"/>
    <w:rsid w:val="3A456E37"/>
    <w:rsid w:val="3A915562"/>
    <w:rsid w:val="3B8D4765"/>
    <w:rsid w:val="3BCA151A"/>
    <w:rsid w:val="3C000DBA"/>
    <w:rsid w:val="3CF01E3E"/>
    <w:rsid w:val="3DC045D3"/>
    <w:rsid w:val="3E504FFB"/>
    <w:rsid w:val="3E615CD0"/>
    <w:rsid w:val="3E9C47F6"/>
    <w:rsid w:val="3EF61144"/>
    <w:rsid w:val="3F8B0112"/>
    <w:rsid w:val="3FAB3095"/>
    <w:rsid w:val="3FE45947"/>
    <w:rsid w:val="41242965"/>
    <w:rsid w:val="435671EA"/>
    <w:rsid w:val="440809E9"/>
    <w:rsid w:val="442407A6"/>
    <w:rsid w:val="44805EA1"/>
    <w:rsid w:val="45710696"/>
    <w:rsid w:val="46142B1B"/>
    <w:rsid w:val="47E60DD0"/>
    <w:rsid w:val="48735039"/>
    <w:rsid w:val="492C684B"/>
    <w:rsid w:val="49500594"/>
    <w:rsid w:val="49E7604E"/>
    <w:rsid w:val="4AFE7AFF"/>
    <w:rsid w:val="4BF67CDD"/>
    <w:rsid w:val="4C900664"/>
    <w:rsid w:val="4D173441"/>
    <w:rsid w:val="4D603DD6"/>
    <w:rsid w:val="4E9564F2"/>
    <w:rsid w:val="4EBF010F"/>
    <w:rsid w:val="4F471EB0"/>
    <w:rsid w:val="51331326"/>
    <w:rsid w:val="51740A7F"/>
    <w:rsid w:val="51A5541E"/>
    <w:rsid w:val="51C96242"/>
    <w:rsid w:val="529A3F51"/>
    <w:rsid w:val="53906AE1"/>
    <w:rsid w:val="53D4691C"/>
    <w:rsid w:val="54A30B29"/>
    <w:rsid w:val="54F46F60"/>
    <w:rsid w:val="55A37BEA"/>
    <w:rsid w:val="56362CD2"/>
    <w:rsid w:val="577A2581"/>
    <w:rsid w:val="5784687B"/>
    <w:rsid w:val="57846959"/>
    <w:rsid w:val="578E6A87"/>
    <w:rsid w:val="5AC2203A"/>
    <w:rsid w:val="5B0E2BB7"/>
    <w:rsid w:val="5B9D26D5"/>
    <w:rsid w:val="5CBB3334"/>
    <w:rsid w:val="5D115FAF"/>
    <w:rsid w:val="5EC74F0F"/>
    <w:rsid w:val="603045FD"/>
    <w:rsid w:val="6281064F"/>
    <w:rsid w:val="62811722"/>
    <w:rsid w:val="629B2BD0"/>
    <w:rsid w:val="62E75A72"/>
    <w:rsid w:val="63152ACC"/>
    <w:rsid w:val="64571880"/>
    <w:rsid w:val="649125B6"/>
    <w:rsid w:val="652F4C1A"/>
    <w:rsid w:val="666D37F1"/>
    <w:rsid w:val="66C4266D"/>
    <w:rsid w:val="66FB3988"/>
    <w:rsid w:val="67087D8F"/>
    <w:rsid w:val="671F687E"/>
    <w:rsid w:val="67F415F8"/>
    <w:rsid w:val="682640D1"/>
    <w:rsid w:val="684B73E5"/>
    <w:rsid w:val="6A047A2A"/>
    <w:rsid w:val="6AFE4029"/>
    <w:rsid w:val="6E887588"/>
    <w:rsid w:val="6EA72F52"/>
    <w:rsid w:val="6EF15E9D"/>
    <w:rsid w:val="6EFB7548"/>
    <w:rsid w:val="6F3831C3"/>
    <w:rsid w:val="6F8B71C1"/>
    <w:rsid w:val="70753482"/>
    <w:rsid w:val="707B522A"/>
    <w:rsid w:val="719D7F60"/>
    <w:rsid w:val="72D36316"/>
    <w:rsid w:val="73194D05"/>
    <w:rsid w:val="73A83B0E"/>
    <w:rsid w:val="744D3EF9"/>
    <w:rsid w:val="74794411"/>
    <w:rsid w:val="75867C40"/>
    <w:rsid w:val="75B10B26"/>
    <w:rsid w:val="75FE32F3"/>
    <w:rsid w:val="76432199"/>
    <w:rsid w:val="76720990"/>
    <w:rsid w:val="76F44829"/>
    <w:rsid w:val="77A267C0"/>
    <w:rsid w:val="78882278"/>
    <w:rsid w:val="788E524A"/>
    <w:rsid w:val="78B118A6"/>
    <w:rsid w:val="78E069A5"/>
    <w:rsid w:val="79135044"/>
    <w:rsid w:val="7A2466C8"/>
    <w:rsid w:val="7A7D0F99"/>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uiPriority w:val="99"/>
    <w:rPr>
      <w:color w:val="0000FF"/>
      <w:u w:val="single"/>
    </w:rPr>
  </w:style>
  <w:style w:type="character" w:customStyle="1" w:styleId="10">
    <w:name w:val="font41"/>
    <w:qFormat/>
    <w:uiPriority w:val="0"/>
    <w:rPr>
      <w:rFonts w:hint="eastAsia" w:ascii="宋体" w:hAnsi="宋体" w:eastAsia="宋体" w:cs="宋体"/>
      <w:color w:val="000000"/>
      <w:sz w:val="24"/>
      <w:szCs w:val="24"/>
      <w:u w:val="none"/>
    </w:rPr>
  </w:style>
  <w:style w:type="character" w:customStyle="1" w:styleId="11">
    <w:name w:val="批注框文本 Char"/>
    <w:link w:val="2"/>
    <w:semiHidden/>
    <w:qFormat/>
    <w:uiPriority w:val="99"/>
    <w:rPr>
      <w:kern w:val="2"/>
      <w:sz w:val="18"/>
      <w:szCs w:val="18"/>
    </w:rPr>
  </w:style>
  <w:style w:type="character" w:customStyle="1" w:styleId="12">
    <w:name w:val="font21"/>
    <w:qFormat/>
    <w:uiPriority w:val="0"/>
    <w:rPr>
      <w:rFonts w:hint="eastAsia" w:ascii="宋体" w:hAnsi="宋体" w:eastAsia="宋体" w:cs="宋体"/>
      <w:color w:val="000000"/>
      <w:sz w:val="22"/>
      <w:szCs w:val="22"/>
      <w:u w:val="none"/>
    </w:rPr>
  </w:style>
  <w:style w:type="character" w:customStyle="1" w:styleId="13">
    <w:name w:val="font11"/>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页眉 Char"/>
    <w:link w:val="4"/>
    <w:qFormat/>
    <w:uiPriority w:val="99"/>
    <w:rPr>
      <w:kern w:val="2"/>
      <w:sz w:val="18"/>
      <w:szCs w:val="18"/>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页脚 Char"/>
    <w:link w:val="3"/>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36</Pages>
  <Words>9732</Words>
  <Characters>13010</Characters>
  <Lines>60</Lines>
  <Paragraphs>16</Paragraphs>
  <TotalTime>11</TotalTime>
  <ScaleCrop>false</ScaleCrop>
  <LinksUpToDate>false</LinksUpToDate>
  <CharactersWithSpaces>13329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悟の</cp:lastModifiedBy>
  <cp:lastPrinted>2018-07-24T10:50:00Z</cp:lastPrinted>
  <dcterms:modified xsi:type="dcterms:W3CDTF">2023-09-17T11:12:57Z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13964DD111384CD7BA6BA585CD1D6043_13</vt:lpwstr>
  </property>
</Properties>
</file>