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许昌市残疾人联合会</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许昌市残疾人联合会</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许昌市残疾人联合会</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（一）听取残疾人意见，反映残疾人的需求，维护残疾人的合法权益，为残疾人服务。</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（二）团结、教育残疾人遵纪守法，履行义务，发扬乐观进取精神，自尊、自信、自强、自立，为社会主义建设贡献力量。</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弘扬人道主义、宣传残疾人事业，沟通政府、社会与残疾人之间的联系，动员社会理解、尊重、关心、帮助残疾人。</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（四）开展残疾人康复、教育、劳动就业、文化、体育、科研 、用品用具供应、社会服务、无障碍设施和残疾预防工作；创造良好的环境和条件扶助残疾人平等参与社会生活。</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（五）协助政府研究和制定规章、措施、办法，实施残疾人事业的法规、政策，对有关业务进行管理和指导。</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（六）承担市政府残疾人工作协调委员会的日常工作，做好综合、协调、组织和服务。</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（七）指导和管理全市残疾人社团组织，培养残疾人工作者。</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（八）开展残疾人事业的国际交流与合作。</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（九）承办市委、市政府交办的其他事项。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（十）许昌市残疾人联合会下属二级机构。协助有关部门管理及指导全市残疾人劳动就业服务工作；调查、掌握残疾人劳动就业状况，开展就业培训；指导残疾人就业保障金的收缴。</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许昌市残疾人联合内设机构3个，包括：</w:t>
      </w:r>
      <w:r>
        <w:rPr>
          <w:rFonts w:hint="eastAsia" w:ascii="仿宋_GB2312" w:hAnsi="仿宋_GB2312" w:eastAsia="仿宋_GB2312" w:cs="仿宋_GB2312"/>
          <w:b w:val="0"/>
          <w:bCs w:val="0"/>
          <w:color w:val="auto"/>
          <w:sz w:val="32"/>
          <w:szCs w:val="32"/>
          <w:highlight w:val="none"/>
          <w:lang w:val="en-US" w:eastAsia="zh-CN"/>
        </w:rPr>
        <w:t>办公室、康复部、教育就业部</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直属事业单位许昌市残疾人就业服务中心</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从决算单位构成看，许昌市残疾人联合会部门决算包括：许昌市残疾人联合会本级决算（1个）、所属二级预算单位决算（1个）。</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本决算为汇总决算，纳入本部门2021年度部门决算编制范围的单位共2个，具体是：</w:t>
      </w:r>
      <w:bookmarkStart w:id="0" w:name="_GoBack"/>
      <w:bookmarkEnd w:id="0"/>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1.许昌市残疾人联合会（本级）</w:t>
      </w:r>
    </w:p>
    <w:p>
      <w:pPr>
        <w:widowControl/>
        <w:ind w:firstLine="640" w:firstLineChars="200"/>
        <w:jc w:val="both"/>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2.许昌市残疾人就业服务中心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4070" w:type="dxa"/>
        <w:tblInd w:w="0" w:type="dxa"/>
        <w:tblLayout w:type="autofit"/>
        <w:tblCellMar>
          <w:top w:w="0" w:type="dxa"/>
          <w:left w:w="0" w:type="dxa"/>
          <w:bottom w:w="0" w:type="dxa"/>
          <w:right w:w="0" w:type="dxa"/>
        </w:tblCellMar>
      </w:tblPr>
      <w:tblGrid>
        <w:gridCol w:w="5429"/>
        <w:gridCol w:w="719"/>
        <w:gridCol w:w="1055"/>
        <w:gridCol w:w="5093"/>
        <w:gridCol w:w="719"/>
        <w:gridCol w:w="1055"/>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458.79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568.30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459.79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590.15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590.15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590.15</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2870" w:type="dxa"/>
        <w:tblInd w:w="0" w:type="dxa"/>
        <w:tblLayout w:type="autofit"/>
        <w:tblCellMar>
          <w:top w:w="0" w:type="dxa"/>
          <w:left w:w="0" w:type="dxa"/>
          <w:bottom w:w="0" w:type="dxa"/>
          <w:right w:w="0" w:type="dxa"/>
        </w:tblCellMar>
      </w:tblPr>
      <w:tblGrid>
        <w:gridCol w:w="266"/>
        <w:gridCol w:w="266"/>
        <w:gridCol w:w="270"/>
        <w:gridCol w:w="5289"/>
        <w:gridCol w:w="1435"/>
        <w:gridCol w:w="1435"/>
        <w:gridCol w:w="912"/>
        <w:gridCol w:w="912"/>
        <w:gridCol w:w="912"/>
        <w:gridCol w:w="912"/>
        <w:gridCol w:w="910"/>
      </w:tblGrid>
      <w:tr>
        <w:tblPrEx>
          <w:tblCellMar>
            <w:top w:w="0" w:type="dxa"/>
            <w:left w:w="0" w:type="dxa"/>
            <w:bottom w:w="0" w:type="dxa"/>
            <w:right w:w="0" w:type="dxa"/>
          </w:tblCellMar>
        </w:tblPrEx>
        <w:trPr>
          <w:trHeight w:val="390" w:hRule="atLeast"/>
        </w:trPr>
        <w:tc>
          <w:tcPr>
            <w:tcW w:w="12870"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3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459.79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459.79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2975" w:type="dxa"/>
        <w:tblInd w:w="0" w:type="dxa"/>
        <w:tblLayout w:type="autofit"/>
        <w:tblCellMar>
          <w:top w:w="0" w:type="dxa"/>
          <w:left w:w="0" w:type="dxa"/>
          <w:bottom w:w="0" w:type="dxa"/>
          <w:right w:w="0" w:type="dxa"/>
        </w:tblCellMar>
      </w:tblPr>
      <w:tblGrid>
        <w:gridCol w:w="266"/>
        <w:gridCol w:w="266"/>
        <w:gridCol w:w="270"/>
        <w:gridCol w:w="5245"/>
        <w:gridCol w:w="1414"/>
        <w:gridCol w:w="1414"/>
        <w:gridCol w:w="1414"/>
        <w:gridCol w:w="1113"/>
        <w:gridCol w:w="1113"/>
        <w:gridCol w:w="1112"/>
      </w:tblGrid>
      <w:tr>
        <w:tblPrEx>
          <w:tblCellMar>
            <w:top w:w="0" w:type="dxa"/>
            <w:left w:w="0" w:type="dxa"/>
            <w:bottom w:w="0" w:type="dxa"/>
            <w:right w:w="0" w:type="dxa"/>
          </w:tblCellMar>
        </w:tblPrEx>
        <w:trPr>
          <w:trHeight w:val="390" w:hRule="atLeast"/>
        </w:trPr>
        <w:tc>
          <w:tcPr>
            <w:tcW w:w="12975"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3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3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3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3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590.15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466.87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123.28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568.30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462.30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2390" w:type="dxa"/>
        <w:tblInd w:w="0" w:type="dxa"/>
        <w:tblLayout w:type="autofit"/>
        <w:tblCellMar>
          <w:top w:w="0" w:type="dxa"/>
          <w:left w:w="0" w:type="dxa"/>
          <w:bottom w:w="0" w:type="dxa"/>
          <w:right w:w="0" w:type="dxa"/>
        </w:tblCellMar>
      </w:tblPr>
      <w:tblGrid>
        <w:gridCol w:w="3506"/>
        <w:gridCol w:w="467"/>
        <w:gridCol w:w="973"/>
        <w:gridCol w:w="3979"/>
        <w:gridCol w:w="467"/>
        <w:gridCol w:w="785"/>
        <w:gridCol w:w="863"/>
        <w:gridCol w:w="790"/>
        <w:gridCol w:w="640"/>
      </w:tblGrid>
      <w:tr>
        <w:tblPrEx>
          <w:tblCellMar>
            <w:top w:w="0" w:type="dxa"/>
            <w:left w:w="0" w:type="dxa"/>
            <w:bottom w:w="0" w:type="dxa"/>
            <w:right w:w="0" w:type="dxa"/>
          </w:tblCellMar>
        </w:tblPrEx>
        <w:trPr>
          <w:trHeight w:val="390" w:hRule="atLeast"/>
        </w:trPr>
        <w:tc>
          <w:tcPr>
            <w:tcW w:w="1239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8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8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8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1560" w:hRule="atLeast"/>
        </w:trPr>
        <w:tc>
          <w:tcPr>
            <w:tcW w:w="327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6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458.79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566.54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566.54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459.79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587.39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587.39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239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1670" w:type="dxa"/>
        <w:tblInd w:w="0" w:type="dxa"/>
        <w:tblLayout w:type="autofit"/>
        <w:tblCellMar>
          <w:top w:w="0" w:type="dxa"/>
          <w:left w:w="0" w:type="dxa"/>
          <w:bottom w:w="0" w:type="dxa"/>
          <w:right w:w="0" w:type="dxa"/>
        </w:tblCellMar>
      </w:tblPr>
      <w:tblGrid>
        <w:gridCol w:w="266"/>
        <w:gridCol w:w="266"/>
        <w:gridCol w:w="270"/>
        <w:gridCol w:w="5303"/>
        <w:gridCol w:w="2072"/>
        <w:gridCol w:w="2072"/>
        <w:gridCol w:w="2070"/>
      </w:tblGrid>
      <w:tr>
        <w:tblPrEx>
          <w:tblCellMar>
            <w:top w:w="0" w:type="dxa"/>
            <w:left w:w="0" w:type="dxa"/>
            <w:bottom w:w="0" w:type="dxa"/>
            <w:right w:w="0" w:type="dxa"/>
          </w:tblCellMar>
        </w:tblPrEx>
        <w:trPr>
          <w:trHeight w:val="390" w:hRule="atLeast"/>
        </w:trPr>
        <w:tc>
          <w:tcPr>
            <w:tcW w:w="11670"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587.39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466.87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566.54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460.54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82.66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42.14</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35" w:type="dxa"/>
        <w:tblInd w:w="0" w:type="dxa"/>
        <w:tblLayout w:type="autofit"/>
        <w:tblCellMar>
          <w:top w:w="0" w:type="dxa"/>
          <w:left w:w="0" w:type="dxa"/>
          <w:bottom w:w="0" w:type="dxa"/>
          <w:right w:w="0" w:type="dxa"/>
        </w:tblCellMar>
      </w:tblPr>
      <w:tblGrid>
        <w:gridCol w:w="639"/>
        <w:gridCol w:w="3330"/>
        <w:gridCol w:w="768"/>
        <w:gridCol w:w="639"/>
        <w:gridCol w:w="2370"/>
        <w:gridCol w:w="667"/>
        <w:gridCol w:w="639"/>
        <w:gridCol w:w="4210"/>
        <w:gridCol w:w="673"/>
      </w:tblGrid>
      <w:tr>
        <w:tblPrEx>
          <w:tblCellMar>
            <w:top w:w="0" w:type="dxa"/>
            <w:left w:w="0" w:type="dxa"/>
            <w:bottom w:w="0" w:type="dxa"/>
            <w:right w:w="0" w:type="dxa"/>
          </w:tblCellMar>
        </w:tblPrEx>
        <w:trPr>
          <w:trHeight w:val="390" w:hRule="atLeast"/>
        </w:trPr>
        <w:tc>
          <w:tcPr>
            <w:tcW w:w="13935"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CellMar>
            <w:top w:w="0" w:type="dxa"/>
            <w:left w:w="0" w:type="dxa"/>
            <w:bottom w:w="0" w:type="dxa"/>
            <w:right w:w="0"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1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3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3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4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1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3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3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366.94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49.93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406.20</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60.67</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250" w:type="dxa"/>
        <w:tblInd w:w="0" w:type="dxa"/>
        <w:tblLayout w:type="autofit"/>
        <w:tblCellMar>
          <w:top w:w="0" w:type="dxa"/>
          <w:left w:w="0" w:type="dxa"/>
          <w:bottom w:w="0" w:type="dxa"/>
          <w:right w:w="0" w:type="dxa"/>
        </w:tblCellMar>
      </w:tblPr>
      <w:tblGrid>
        <w:gridCol w:w="1410"/>
        <w:gridCol w:w="1080"/>
        <w:gridCol w:w="1020"/>
        <w:gridCol w:w="975"/>
        <w:gridCol w:w="870"/>
        <w:gridCol w:w="1140"/>
        <w:gridCol w:w="975"/>
        <w:gridCol w:w="1140"/>
        <w:gridCol w:w="1410"/>
        <w:gridCol w:w="1410"/>
        <w:gridCol w:w="1410"/>
        <w:gridCol w:w="1410"/>
      </w:tblGrid>
      <w:tr>
        <w:tblPrEx>
          <w:tblCellMar>
            <w:top w:w="0" w:type="dxa"/>
            <w:left w:w="0" w:type="dxa"/>
            <w:bottom w:w="0" w:type="dxa"/>
            <w:right w:w="0" w:type="dxa"/>
          </w:tblCellMar>
        </w:tblPrEx>
        <w:trPr>
          <w:trHeight w:val="540" w:hRule="atLeast"/>
        </w:trPr>
        <w:tc>
          <w:tcPr>
            <w:tcW w:w="1425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44"/>
                <w:szCs w:val="44"/>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4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7755"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286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9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423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880" w:hRule="atLeast"/>
        </w:trPr>
        <w:tc>
          <w:tcPr>
            <w:tcW w:w="141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8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8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15" w:hRule="atLeast"/>
        </w:trPr>
        <w:tc>
          <w:tcPr>
            <w:tcW w:w="1425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2990" w:type="dxa"/>
        <w:tblInd w:w="0" w:type="dxa"/>
        <w:tblLayout w:type="autofit"/>
        <w:tblCellMar>
          <w:top w:w="0" w:type="dxa"/>
          <w:left w:w="0" w:type="dxa"/>
          <w:bottom w:w="0" w:type="dxa"/>
          <w:right w:w="0" w:type="dxa"/>
        </w:tblCellMar>
      </w:tblPr>
      <w:tblGrid>
        <w:gridCol w:w="266"/>
        <w:gridCol w:w="266"/>
        <w:gridCol w:w="270"/>
        <w:gridCol w:w="5252"/>
        <w:gridCol w:w="1161"/>
        <w:gridCol w:w="1261"/>
        <w:gridCol w:w="1438"/>
        <w:gridCol w:w="1173"/>
        <w:gridCol w:w="1371"/>
        <w:gridCol w:w="1175"/>
      </w:tblGrid>
      <w:tr>
        <w:tblPrEx>
          <w:tblCellMar>
            <w:top w:w="0" w:type="dxa"/>
            <w:left w:w="0" w:type="dxa"/>
            <w:bottom w:w="0" w:type="dxa"/>
            <w:right w:w="0" w:type="dxa"/>
          </w:tblCellMar>
        </w:tblPrEx>
        <w:trPr>
          <w:trHeight w:val="390" w:hRule="atLeast"/>
        </w:trPr>
        <w:tc>
          <w:tcPr>
            <w:tcW w:w="12990"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23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418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3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590.15</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325.47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35.55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中央及省级残疾人事业发展补助转移支付资金直接拨付至各县、市区残联。</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459.79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459.79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590.15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466.87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79.11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123.28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20.89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588.39</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325.07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35.59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中央及省级残疾人事业发展补助转移支付资金直接拨付至各县、市区残联</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587.39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99.53</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202.42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25.63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中央及省级残疾人事业发展补助转移支付资金直接拨付至各县、市区残联。</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587.39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支出566.54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支出19.12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3.26</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406.59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587.39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144.46</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31.19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100.28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w:t>
      </w:r>
      <w:r>
        <w:rPr>
          <w:rFonts w:hint="eastAsia" w:ascii="仿宋_GB2312" w:hAnsi="仿宋_GB2312" w:eastAsia="仿宋_GB2312" w:cs="仿宋_GB2312"/>
          <w:color w:val="auto"/>
          <w:sz w:val="32"/>
          <w:szCs w:val="32"/>
          <w:highlight w:val="none"/>
          <w:lang w:val="en-US" w:eastAsia="zh-CN"/>
        </w:rPr>
        <w:t>主要原因是离退休人员待遇调整</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年初预算为5.34万元，支出决算为5.34万元，完成年初预算的100%。决算数与年初预算数不存在差异。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u w:val="none"/>
          <w:lang w:val="en-US" w:eastAsia="zh-CN"/>
        </w:rPr>
        <w:t>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lang w:val="en-US" w:eastAsia="zh-CN"/>
        </w:rPr>
        <w:t>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年初预算为21.33万元，支出决算为25.80万元，完成年初预算的120.96%。决算数与年初预算数存在差异的主要原因是年底各种保险未缴纳。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u w:val="none"/>
          <w:lang w:val="en-US" w:eastAsia="zh-CN"/>
        </w:rPr>
        <w:t>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lang w:val="en-US" w:eastAsia="zh-CN"/>
        </w:rPr>
        <w:t>行政事业单位养老支出（款）机关事业单位职业年金缴费支出（项）。</w:t>
      </w:r>
      <w:r>
        <w:rPr>
          <w:rFonts w:hint="eastAsia" w:ascii="仿宋_GB2312" w:hAnsi="仿宋_GB2312" w:eastAsia="仿宋_GB2312" w:cs="仿宋_GB2312"/>
          <w:color w:val="auto"/>
          <w:sz w:val="32"/>
          <w:szCs w:val="32"/>
          <w:highlight w:val="none"/>
          <w:lang w:val="en-US" w:eastAsia="zh-CN"/>
        </w:rPr>
        <w:t>年初预算为5.11万元，支出决算为5.81万元，完成年初预算的113.69%。决算数与年初预算数存在差异的主要原因是年底各种保险未缴纳。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6．社会保障和就业支出（类）残疾人事业（款）行政运行（项）。</w:t>
      </w:r>
      <w:r>
        <w:rPr>
          <w:rFonts w:hint="eastAsia" w:ascii="仿宋_GB2312" w:hAnsi="仿宋_GB2312" w:eastAsia="仿宋_GB2312" w:cs="仿宋_GB2312"/>
          <w:color w:val="auto"/>
          <w:sz w:val="32"/>
          <w:szCs w:val="32"/>
          <w:highlight w:val="none"/>
          <w:lang w:val="en-US" w:eastAsia="zh-CN"/>
        </w:rPr>
        <w:t>年初预算为181.73万元，支出决算为211.45万元，完成年初预算的116.35%。决算数与年初预算数存在差异的主要原因是经费有结余。</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7．社会保障和就业支出（类）残疾人事业（款）一般行政管理事务（项）。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年初预算为0.00万元，支出决算为40.52万元.决算数与年初预算数存在差异的主要原因是往年结余资金支出。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8．社会保障和就业支出（类）残疾人事业（款）其他残疾人事业支出（项）。</w:t>
      </w:r>
      <w:r>
        <w:rPr>
          <w:rFonts w:hint="eastAsia" w:ascii="仿宋_GB2312" w:hAnsi="仿宋_GB2312" w:eastAsia="仿宋_GB2312" w:cs="仿宋_GB2312"/>
          <w:color w:val="auto"/>
          <w:sz w:val="32"/>
          <w:szCs w:val="32"/>
          <w:highlight w:val="none"/>
          <w:lang w:val="en-US" w:eastAsia="zh-CN"/>
        </w:rPr>
        <w:t>年初预算为143.98万元，支出决算为208.57万元，完成年初预算的144.86%。决算数与年初预算数存在差异的主要原因是往年结余资金支出。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年初预算为0.00万元，支出决算为37.86万元。决算数与年初预算数存在差异的主要原因是贫困残疾人春节慰问支出。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年初预算为5.86万元，支出决算为7.90万元，完成年初预算的134.81%。决算数与年初预算数存在差异的主要原因是年底各种保险费缴纳。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年初预算为4.83万元，支出决算为5.64万元，完成年初预算的116.77%。决算数与年初预算数存在差异的主要原因是使用部分2020年结余资金。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年初预算为5.58万元，支出决算为5.58万元，完成年初预算的100%。决算数与年初预算数不存在差异。</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466.87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406.2</w:t>
      </w:r>
      <w:r>
        <w:rPr>
          <w:rFonts w:hint="eastAsia" w:ascii="仿宋_GB2312" w:hAnsi="仿宋_GB2312" w:eastAsia="仿宋_GB2312" w:cs="仿宋_GB2312"/>
          <w:color w:val="auto"/>
          <w:sz w:val="32"/>
          <w:szCs w:val="32"/>
          <w:highlight w:val="none"/>
        </w:rPr>
        <w:t>万元，主要包括：基本工资、津贴补贴、绩效工资、机关事业单位基本养老保险缴费、职业年金缴费、其他社会保障缴费、其他工资福利支出、退休费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生活补助、其他对个人和家庭的补助支出；公用经费</w:t>
      </w:r>
      <w:r>
        <w:rPr>
          <w:rFonts w:hint="eastAsia" w:ascii="仿宋_GB2312" w:hAnsi="仿宋_GB2312" w:eastAsia="仿宋_GB2312" w:cs="仿宋_GB2312"/>
          <w:color w:val="auto"/>
          <w:sz w:val="32"/>
          <w:szCs w:val="32"/>
          <w:highlight w:val="none"/>
          <w:lang w:val="en-US" w:eastAsia="zh-CN"/>
        </w:rPr>
        <w:t>60.67</w:t>
      </w:r>
      <w:r>
        <w:rPr>
          <w:rFonts w:hint="eastAsia" w:ascii="仿宋_GB2312" w:hAnsi="仿宋_GB2312" w:eastAsia="仿宋_GB2312" w:cs="仿宋_GB2312"/>
          <w:color w:val="auto"/>
          <w:sz w:val="32"/>
          <w:szCs w:val="32"/>
          <w:highlight w:val="none"/>
        </w:rPr>
        <w:t>万元，主要包括：办公费、印刷费、水费、电费、邮电费、差旅费、租赁费、会议费、培训费、劳务费、委托业务费、工会经费、福利费、公务用车运行维护费、其他交通费用、其他商品和服务支出、办公设备购置</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6.50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36.59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严格落实上级过紧日子要求，压减不必要开支。</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39.67</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39.67</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减少公务用车</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车辆燃油费、维修费、保险费、过路费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量。</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万元。决算数与预算数存在差异的主要原因是</w:t>
      </w:r>
      <w:r>
        <w:rPr>
          <w:rFonts w:hint="eastAsia" w:ascii="仿宋_GB2312" w:hAnsi="仿宋_GB2312" w:eastAsia="仿宋_GB2312" w:cs="仿宋_GB2312"/>
          <w:color w:val="auto"/>
          <w:sz w:val="32"/>
          <w:szCs w:val="32"/>
          <w:highlight w:val="none"/>
          <w:lang w:val="en-US" w:eastAsia="zh-CN"/>
        </w:rPr>
        <w:t>减少公务接待活动</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0.00万元。主要用于残疾人就业及专门协会调研及业务工作交流。2021年共接待国内来访团组0个、来宾0人次（不包括陪同人员）。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主要用于</w:t>
      </w:r>
      <w:r>
        <w:rPr>
          <w:rFonts w:hint="eastAsia" w:ascii="仿宋_GB2312" w:hAnsi="仿宋_GB2312" w:eastAsia="仿宋_GB2312" w:cs="仿宋_GB2312"/>
          <w:color w:val="auto"/>
          <w:sz w:val="32"/>
          <w:szCs w:val="32"/>
          <w:highlight w:val="none"/>
          <w:lang w:val="en-US" w:eastAsia="zh-CN"/>
        </w:rPr>
        <w:t>残疾人康复救助、评定补贴、燃油补贴、辅助器具购置等残疾人事业发展补助支出，不存在项目年末结转和结余数额较大。</w:t>
      </w:r>
    </w:p>
    <w:p>
      <w:pPr>
        <w:widowControl/>
        <w:spacing w:line="590" w:lineRule="exact"/>
        <w:ind w:firstLine="640" w:firstLineChars="200"/>
        <w:outlineLvl w:val="1"/>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rPr>
        <w:t>九、机关运行经费支出情</w:t>
      </w:r>
      <w:r>
        <w:rPr>
          <w:rFonts w:hint="eastAsia" w:ascii="黑体" w:hAnsi="黑体" w:eastAsia="黑体" w:cs="黑体"/>
          <w:color w:val="auto"/>
          <w:sz w:val="32"/>
          <w:szCs w:val="32"/>
          <w:highlight w:val="none"/>
          <w:u w:val="none"/>
        </w:rPr>
        <w:t>况说明</w:t>
      </w:r>
    </w:p>
    <w:p>
      <w:pPr>
        <w:widowControl/>
        <w:spacing w:line="590" w:lineRule="exact"/>
        <w:ind w:firstLine="640" w:firstLineChars="200"/>
        <w:rPr>
          <w:rFonts w:hint="eastAsia"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u w:val="none"/>
        </w:rPr>
        <w:t>2021</w:t>
      </w:r>
      <w:r>
        <w:rPr>
          <w:rFonts w:hint="eastAsia" w:ascii="仿宋_GB2312" w:hAnsi="仿宋_GB2312" w:eastAsia="仿宋_GB2312" w:cs="仿宋_GB2312"/>
          <w:color w:val="auto"/>
          <w:sz w:val="32"/>
          <w:szCs w:val="32"/>
          <w:highlight w:val="none"/>
          <w:u w:val="none"/>
        </w:rPr>
        <w:t>年度机关运行经费</w:t>
      </w:r>
      <w:r>
        <w:rPr>
          <w:rFonts w:hint="eastAsia" w:ascii="仿宋_GB2312" w:hAnsi="仿宋_GB2312" w:eastAsia="仿宋_GB2312" w:cs="仿宋_GB2312"/>
          <w:color w:val="auto"/>
          <w:sz w:val="32"/>
          <w:szCs w:val="32"/>
          <w:highlight w:val="none"/>
          <w:u w:val="none"/>
          <w:lang w:eastAsia="zh-CN"/>
        </w:rPr>
        <w:t>年初</w:t>
      </w:r>
      <w:r>
        <w:rPr>
          <w:rFonts w:hint="eastAsia" w:ascii="仿宋_GB2312" w:hAnsi="仿宋_GB2312" w:eastAsia="仿宋_GB2312" w:cs="仿宋_GB2312"/>
          <w:color w:val="auto"/>
          <w:sz w:val="32"/>
          <w:szCs w:val="32"/>
          <w:highlight w:val="none"/>
          <w:u w:val="none"/>
        </w:rPr>
        <w:t>预算为</w:t>
      </w:r>
      <w:r>
        <w:rPr>
          <w:rFonts w:hint="eastAsia" w:ascii="仿宋_GB2312" w:hAnsi="仿宋_GB2312" w:eastAsia="仿宋_GB2312" w:cs="仿宋_GB2312"/>
          <w:color w:val="auto"/>
          <w:sz w:val="32"/>
          <w:szCs w:val="32"/>
          <w:highlight w:val="none"/>
          <w:u w:val="none"/>
          <w:lang w:val="en-US" w:eastAsia="zh-CN"/>
        </w:rPr>
        <w:t>41.28</w:t>
      </w:r>
      <w:r>
        <w:rPr>
          <w:rFonts w:hint="eastAsia" w:ascii="仿宋_GB2312" w:hAnsi="仿宋_GB2312" w:eastAsia="仿宋_GB2312" w:cs="仿宋_GB2312"/>
          <w:color w:val="auto"/>
          <w:sz w:val="32"/>
          <w:szCs w:val="32"/>
          <w:highlight w:val="none"/>
          <w:u w:val="none"/>
        </w:rPr>
        <w:t>万元，支出决算为</w:t>
      </w:r>
      <w:r>
        <w:rPr>
          <w:rFonts w:hint="eastAsia" w:ascii="仿宋_GB2312" w:hAnsi="仿宋_GB2312" w:eastAsia="仿宋_GB2312" w:cs="仿宋_GB2312"/>
          <w:color w:val="auto"/>
          <w:sz w:val="32"/>
          <w:szCs w:val="32"/>
          <w:highlight w:val="none"/>
          <w:u w:val="none"/>
          <w:lang w:val="en-US" w:eastAsia="zh-CN"/>
        </w:rPr>
        <w:t>60.67</w:t>
      </w:r>
      <w:r>
        <w:rPr>
          <w:rFonts w:hint="eastAsia" w:ascii="仿宋_GB2312" w:hAnsi="仿宋_GB2312" w:eastAsia="仿宋_GB2312" w:cs="仿宋_GB2312"/>
          <w:color w:val="auto"/>
          <w:sz w:val="32"/>
          <w:szCs w:val="32"/>
          <w:highlight w:val="none"/>
          <w:u w:val="none"/>
        </w:rPr>
        <w:t>万元，完成</w:t>
      </w:r>
      <w:r>
        <w:rPr>
          <w:rFonts w:hint="eastAsia" w:ascii="仿宋_GB2312" w:hAnsi="仿宋_GB2312" w:eastAsia="仿宋_GB2312" w:cs="仿宋_GB2312"/>
          <w:color w:val="auto"/>
          <w:sz w:val="32"/>
          <w:szCs w:val="32"/>
          <w:highlight w:val="none"/>
          <w:u w:val="none"/>
          <w:lang w:eastAsia="zh-CN"/>
        </w:rPr>
        <w:t>年初</w:t>
      </w:r>
      <w:r>
        <w:rPr>
          <w:rFonts w:hint="eastAsia" w:ascii="仿宋_GB2312" w:hAnsi="仿宋_GB2312" w:eastAsia="仿宋_GB2312" w:cs="仿宋_GB2312"/>
          <w:color w:val="auto"/>
          <w:sz w:val="32"/>
          <w:szCs w:val="32"/>
          <w:highlight w:val="none"/>
          <w:u w:val="none"/>
        </w:rPr>
        <w:t>预算的</w:t>
      </w:r>
      <w:r>
        <w:rPr>
          <w:rFonts w:hint="eastAsia" w:ascii="仿宋_GB2312" w:hAnsi="仿宋_GB2312" w:eastAsia="仿宋_GB2312" w:cs="仿宋_GB2312"/>
          <w:color w:val="auto"/>
          <w:sz w:val="32"/>
          <w:szCs w:val="32"/>
          <w:highlight w:val="none"/>
          <w:u w:val="none"/>
          <w:lang w:val="en-US" w:eastAsia="zh-CN"/>
        </w:rPr>
        <w:t>146.97</w:t>
      </w:r>
      <w:r>
        <w:rPr>
          <w:rFonts w:hint="eastAsia" w:ascii="仿宋_GB2312" w:hAnsi="仿宋_GB2312" w:eastAsia="仿宋_GB2312" w:cs="仿宋_GB2312"/>
          <w:color w:val="auto"/>
          <w:sz w:val="32"/>
          <w:szCs w:val="32"/>
          <w:highlight w:val="none"/>
          <w:u w:val="none"/>
        </w:rPr>
        <w:t>%。决算数与</w:t>
      </w:r>
      <w:r>
        <w:rPr>
          <w:rFonts w:hint="eastAsia" w:ascii="仿宋_GB2312" w:hAnsi="仿宋_GB2312" w:eastAsia="仿宋_GB2312" w:cs="仿宋_GB2312"/>
          <w:color w:val="auto"/>
          <w:sz w:val="32"/>
          <w:szCs w:val="32"/>
          <w:highlight w:val="none"/>
          <w:u w:val="none"/>
          <w:lang w:eastAsia="zh-CN"/>
        </w:rPr>
        <w:t>年初</w:t>
      </w:r>
      <w:r>
        <w:rPr>
          <w:rFonts w:hint="eastAsia" w:ascii="仿宋_GB2312" w:hAnsi="仿宋_GB2312" w:eastAsia="仿宋_GB2312" w:cs="仿宋_GB2312"/>
          <w:color w:val="auto"/>
          <w:sz w:val="32"/>
          <w:szCs w:val="32"/>
          <w:highlight w:val="none"/>
          <w:u w:val="none"/>
        </w:rPr>
        <w:t>预算数存在差异的主要原因是</w:t>
      </w:r>
      <w:r>
        <w:rPr>
          <w:rFonts w:hint="eastAsia" w:ascii="仿宋_GB2312" w:hAnsi="仿宋_GB2312" w:eastAsia="仿宋_GB2312" w:cs="仿宋_GB2312"/>
          <w:color w:val="auto"/>
          <w:sz w:val="32"/>
          <w:szCs w:val="32"/>
          <w:highlight w:val="none"/>
          <w:u w:val="none"/>
          <w:lang w:val="en-US" w:eastAsia="zh-CN"/>
        </w:rPr>
        <w:t>使用上年结转结余资金</w:t>
      </w:r>
      <w:r>
        <w:rPr>
          <w:rFonts w:hint="eastAsia" w:ascii="仿宋_GB2312" w:hAnsi="仿宋_GB2312" w:eastAsia="仿宋_GB2312" w:cs="仿宋_GB2312"/>
          <w:color w:val="auto"/>
          <w:sz w:val="32"/>
          <w:szCs w:val="32"/>
          <w:highlight w:val="none"/>
          <w:u w:val="none"/>
        </w:rPr>
        <w:t>。</w:t>
      </w:r>
    </w:p>
    <w:p>
      <w:pPr>
        <w:widowControl/>
        <w:spacing w:line="590" w:lineRule="exact"/>
        <w:ind w:firstLine="640" w:firstLineChars="200"/>
        <w:outlineLvl w:val="1"/>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2021年期末，我部门共有车辆2辆，其中：省级领导干部用车0辆、主要领导干部用车0辆、机要通信用车2辆、应急保障车0辆、执法执勤用车0辆、特种专业技术用车0辆、离退休干部用车0辆、其他用车0辆；单位价值5</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.00万元以上通用设备0台（套），单位价值10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结合工作实际，我们编制了《残联领域预算绩效管理指标体系》，确保绩效目标管理、绩效运行监控和绩效评级等绩效管理各项重点工作有效开展。2021年我部门纳入预算绩效管理的支出总额为590.15万元，其中：基本支出466.87万元；支出项目5个，支出金额123.28万元。开展项目绩效自评项目5个，自评金额123.28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按照《许昌市财政局关于开展2021年度市级预算绩效自评工作的通知》（许财效）〔2021〕1号）等文件精神，我部门对本部门整体绩效目标和项目支出绩效目标进行了自评。一是部门整体绩效自评情况，2021年，</w:t>
      </w:r>
      <w:r>
        <w:rPr>
          <w:rFonts w:hint="eastAsia" w:ascii="仿宋_GB2312" w:hAnsi="仿宋_GB2312" w:eastAsia="仿宋_GB2312" w:cs="仿宋_GB2312"/>
          <w:color w:val="auto"/>
          <w:sz w:val="32"/>
          <w:szCs w:val="32"/>
          <w:highlight w:val="none"/>
          <w:lang w:eastAsia="zh-CN"/>
        </w:rPr>
        <w:t>我部门</w:t>
      </w:r>
      <w:r>
        <w:rPr>
          <w:rFonts w:hint="eastAsia" w:ascii="仿宋_GB2312" w:hAnsi="仿宋_GB2312" w:eastAsia="仿宋_GB2312" w:cs="仿宋_GB2312"/>
          <w:color w:val="000000"/>
          <w:sz w:val="32"/>
          <w:szCs w:val="32"/>
          <w:lang w:val="en-US" w:eastAsia="zh-CN"/>
        </w:rPr>
        <w:t>对残疾儿童康复救助、残疾人康复教育就业服务中心运行费、市直机关、社会团体、事业单位应缴残疾人就业保障金财政代扣、年审经费等</w:t>
      </w:r>
      <w:r>
        <w:rPr>
          <w:rFonts w:hint="eastAsia" w:ascii="仿宋_GB2312" w:hAnsi="仿宋_GB2312" w:eastAsia="仿宋_GB2312" w:cs="仿宋_GB2312"/>
          <w:color w:val="auto"/>
          <w:sz w:val="32"/>
          <w:szCs w:val="32"/>
          <w:highlight w:val="none"/>
          <w:lang w:val="en-US" w:eastAsia="zh-CN"/>
        </w:rPr>
        <w:t>工作开展综合效果显著。二是项目绩效自评情况。我部门共有2个项目批复了绩效目标。其中：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许昌市残疾人联合会（本级）4个，项目金额121.52万元；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许昌市残疾人就业服务中心1个，项目金额1.76万元。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我部门选取0项目开展了部门重点评价，评价得分：/分。许昌市财政局选取我部门：0个项目开展财政重点评价。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2021年我单位未开展重点项目绩效评价。</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70541"/>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9A1C3B"/>
    <w:rsid w:val="03C75F80"/>
    <w:rsid w:val="0478364D"/>
    <w:rsid w:val="053D4C0D"/>
    <w:rsid w:val="0557532E"/>
    <w:rsid w:val="06C34E84"/>
    <w:rsid w:val="0799329C"/>
    <w:rsid w:val="08397436"/>
    <w:rsid w:val="086F16A7"/>
    <w:rsid w:val="0A0F7225"/>
    <w:rsid w:val="0A2B7D82"/>
    <w:rsid w:val="0ADC40E9"/>
    <w:rsid w:val="0AE607F4"/>
    <w:rsid w:val="0B386127"/>
    <w:rsid w:val="0B451598"/>
    <w:rsid w:val="0B9E18FE"/>
    <w:rsid w:val="0BEC73F4"/>
    <w:rsid w:val="0C392698"/>
    <w:rsid w:val="0C4D10C3"/>
    <w:rsid w:val="10BD36F6"/>
    <w:rsid w:val="10BE1384"/>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BA5204C"/>
    <w:rsid w:val="1C4319A9"/>
    <w:rsid w:val="1E443B4B"/>
    <w:rsid w:val="1E994F4A"/>
    <w:rsid w:val="1EAF0224"/>
    <w:rsid w:val="1F2230A4"/>
    <w:rsid w:val="20210932"/>
    <w:rsid w:val="202448E0"/>
    <w:rsid w:val="20F614FE"/>
    <w:rsid w:val="21302EEA"/>
    <w:rsid w:val="21E55460"/>
    <w:rsid w:val="22376FB5"/>
    <w:rsid w:val="23E152D7"/>
    <w:rsid w:val="23EE2489"/>
    <w:rsid w:val="255D43C8"/>
    <w:rsid w:val="256A1A8B"/>
    <w:rsid w:val="26714EF8"/>
    <w:rsid w:val="26876BDD"/>
    <w:rsid w:val="2714632A"/>
    <w:rsid w:val="27541E73"/>
    <w:rsid w:val="27B0539E"/>
    <w:rsid w:val="289D646B"/>
    <w:rsid w:val="29365CF8"/>
    <w:rsid w:val="299469B3"/>
    <w:rsid w:val="2A805789"/>
    <w:rsid w:val="2ADC0D75"/>
    <w:rsid w:val="2B4A0E52"/>
    <w:rsid w:val="2C975890"/>
    <w:rsid w:val="2DEF21BB"/>
    <w:rsid w:val="2DEF2BCE"/>
    <w:rsid w:val="2E4A2F05"/>
    <w:rsid w:val="2ECC1061"/>
    <w:rsid w:val="2FA476AD"/>
    <w:rsid w:val="303F7540"/>
    <w:rsid w:val="309A3CBF"/>
    <w:rsid w:val="31DD00BF"/>
    <w:rsid w:val="3226225E"/>
    <w:rsid w:val="3293174C"/>
    <w:rsid w:val="32BB38D4"/>
    <w:rsid w:val="32C9376D"/>
    <w:rsid w:val="33780472"/>
    <w:rsid w:val="33AF0905"/>
    <w:rsid w:val="34D0015B"/>
    <w:rsid w:val="355932F4"/>
    <w:rsid w:val="35611882"/>
    <w:rsid w:val="36261F45"/>
    <w:rsid w:val="36746FC3"/>
    <w:rsid w:val="368763AE"/>
    <w:rsid w:val="380F3221"/>
    <w:rsid w:val="395D59E7"/>
    <w:rsid w:val="39A93932"/>
    <w:rsid w:val="3A915562"/>
    <w:rsid w:val="3B34005B"/>
    <w:rsid w:val="3B8D4765"/>
    <w:rsid w:val="3BA1717E"/>
    <w:rsid w:val="3C000DBA"/>
    <w:rsid w:val="3DC045D3"/>
    <w:rsid w:val="3E504FFB"/>
    <w:rsid w:val="3E615CD0"/>
    <w:rsid w:val="3E8678E5"/>
    <w:rsid w:val="3E9C47F6"/>
    <w:rsid w:val="3F8B0112"/>
    <w:rsid w:val="3FAB3095"/>
    <w:rsid w:val="3FE45947"/>
    <w:rsid w:val="408118AF"/>
    <w:rsid w:val="41242965"/>
    <w:rsid w:val="435671EA"/>
    <w:rsid w:val="440809E9"/>
    <w:rsid w:val="4417000E"/>
    <w:rsid w:val="442407A6"/>
    <w:rsid w:val="44805EA1"/>
    <w:rsid w:val="45710696"/>
    <w:rsid w:val="460225AA"/>
    <w:rsid w:val="46142B1B"/>
    <w:rsid w:val="47C542C6"/>
    <w:rsid w:val="47E60DD0"/>
    <w:rsid w:val="48735039"/>
    <w:rsid w:val="492C684B"/>
    <w:rsid w:val="49500594"/>
    <w:rsid w:val="498B69C5"/>
    <w:rsid w:val="49E7604E"/>
    <w:rsid w:val="4BF67CDD"/>
    <w:rsid w:val="4C1930A0"/>
    <w:rsid w:val="4CAF376A"/>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186149D"/>
    <w:rsid w:val="62811722"/>
    <w:rsid w:val="62E75A72"/>
    <w:rsid w:val="64250805"/>
    <w:rsid w:val="64571880"/>
    <w:rsid w:val="649125B6"/>
    <w:rsid w:val="652F4C1A"/>
    <w:rsid w:val="666D37F1"/>
    <w:rsid w:val="66D32213"/>
    <w:rsid w:val="67087D8F"/>
    <w:rsid w:val="671F687E"/>
    <w:rsid w:val="67F415F8"/>
    <w:rsid w:val="682640D1"/>
    <w:rsid w:val="684B73E5"/>
    <w:rsid w:val="6A047A2A"/>
    <w:rsid w:val="6A1828E9"/>
    <w:rsid w:val="6C5A55A2"/>
    <w:rsid w:val="6CBF4A81"/>
    <w:rsid w:val="6D963FD3"/>
    <w:rsid w:val="6E561357"/>
    <w:rsid w:val="6EFB7548"/>
    <w:rsid w:val="6F3831C3"/>
    <w:rsid w:val="6F8B71C1"/>
    <w:rsid w:val="70753482"/>
    <w:rsid w:val="707B522A"/>
    <w:rsid w:val="72F36AA7"/>
    <w:rsid w:val="73194D05"/>
    <w:rsid w:val="73A83B0E"/>
    <w:rsid w:val="744D3EF9"/>
    <w:rsid w:val="74794411"/>
    <w:rsid w:val="75867C40"/>
    <w:rsid w:val="75B10B26"/>
    <w:rsid w:val="76432199"/>
    <w:rsid w:val="76F44829"/>
    <w:rsid w:val="77A267C0"/>
    <w:rsid w:val="78882278"/>
    <w:rsid w:val="78B118A6"/>
    <w:rsid w:val="79135044"/>
    <w:rsid w:val="7A7D0F99"/>
    <w:rsid w:val="7BF723EE"/>
    <w:rsid w:val="7E3E5A2A"/>
    <w:rsid w:val="7E4A0E7C"/>
    <w:rsid w:val="7EFD449D"/>
    <w:rsid w:val="7FB62D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9193</Words>
  <Characters>11415</Characters>
  <Lines>60</Lines>
  <Paragraphs>16</Paragraphs>
  <TotalTime>6</TotalTime>
  <ScaleCrop>false</ScaleCrop>
  <LinksUpToDate>false</LinksUpToDate>
  <CharactersWithSpaces>11674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宋一铄</cp:lastModifiedBy>
  <cp:lastPrinted>2018-07-24T10:50:00Z</cp:lastPrinted>
  <dcterms:modified xsi:type="dcterms:W3CDTF">2023-04-17T08:41:40Z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70AAC5BA0AD84A2592516270AE5831A2</vt:lpwstr>
  </property>
</Properties>
</file>