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许昌市机关事务中心部门决算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许昌市机关事务中心概况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许昌市机关事务中心概况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部门主要职能是负责全市行政事业单位公务用车管理、市直行政事业单位房地产管理、</w:t>
      </w:r>
      <w:r>
        <w:rPr>
          <w:rFonts w:hint="eastAsia" w:ascii="仿宋_GB2312" w:hAnsi="宋体" w:eastAsia="仿宋_GB2312"/>
          <w:sz w:val="32"/>
        </w:rPr>
        <w:t>全市公共机构节能监督管理、统管办公区管理服务保障等工作</w:t>
      </w:r>
      <w:r>
        <w:rPr>
          <w:rFonts w:hint="eastAsia" w:ascii="仿宋_GB2312" w:hAnsi="宋体" w:eastAsia="仿宋_GB2312" w:cs="宋体"/>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许昌市机关事务中心内设机构9个，包括：</w:t>
      </w:r>
      <w:r>
        <w:rPr>
          <w:rFonts w:hint="eastAsia" w:ascii="仿宋_GB2312" w:hAnsi="仿宋_GB2312" w:eastAsia="仿宋_GB2312"/>
          <w:sz w:val="32"/>
        </w:rPr>
        <w:t>办公室、机关党委、房地产与基建科、公共机构节能科、后勤改革与发展指导科、保卫科、资产财务科、公务车辆管理科、综合服务科。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从决算单位构成看，许昌市机关事务中心部门决算包括：本级决算（1个）、所属单位决算（3个）。</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本决算为汇总决算，纳入本部门2021年度部门决算编制范围的单位共4个，其中二级预算单位3个，具体是：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1.许昌市机关事务中心 (本级)</w:t>
      </w:r>
    </w:p>
    <w:p>
      <w:pPr>
        <w:widowControl/>
        <w:ind w:left="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2.许昌市机关事务中心后勤一处</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3.许昌市机关事务中心后勤二处</w:t>
      </w:r>
    </w:p>
    <w:p>
      <w:pPr>
        <w:ind w:firstLine="640" w:firstLineChars="200"/>
        <w:rPr>
          <w:rFonts w:ascii="仿宋_GB2312" w:hAnsi="黑体" w:eastAsia="仿宋_GB2312" w:cs="黑体"/>
          <w:sz w:val="32"/>
          <w:szCs w:val="32"/>
        </w:rPr>
      </w:pPr>
      <w:r>
        <w:rPr>
          <w:rFonts w:hint="eastAsia" w:ascii="仿宋_GB2312" w:hAnsi="仿宋_GB2312" w:eastAsia="仿宋_GB2312" w:cs="仿宋_GB2312"/>
          <w:kern w:val="0"/>
          <w:sz w:val="32"/>
          <w:szCs w:val="32"/>
        </w:rPr>
        <w:t>4.</w:t>
      </w:r>
      <w:r>
        <w:rPr>
          <w:rFonts w:hint="eastAsia" w:ascii="仿宋_GB2312" w:hAnsi="黑体" w:eastAsia="仿宋_GB2312" w:cs="黑体"/>
          <w:sz w:val="32"/>
          <w:szCs w:val="32"/>
        </w:rPr>
        <w:t>许昌市机关公务用车服务中心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120" w:type="dxa"/>
        <w:tblInd w:w="-4" w:type="dxa"/>
        <w:tblLayout w:type="fixed"/>
        <w:tblCellMar>
          <w:top w:w="0" w:type="dxa"/>
          <w:left w:w="0" w:type="dxa"/>
          <w:bottom w:w="0" w:type="dxa"/>
          <w:right w:w="0" w:type="dxa"/>
        </w:tblCellMar>
      </w:tblPr>
      <w:tblGrid>
        <w:gridCol w:w="1027"/>
        <w:gridCol w:w="59"/>
        <w:gridCol w:w="1271"/>
        <w:gridCol w:w="1553"/>
        <w:gridCol w:w="1012"/>
        <w:gridCol w:w="541"/>
        <w:gridCol w:w="120"/>
        <w:gridCol w:w="1270"/>
        <w:gridCol w:w="163"/>
        <w:gridCol w:w="1553"/>
        <w:gridCol w:w="1553"/>
        <w:gridCol w:w="1348"/>
        <w:gridCol w:w="205"/>
        <w:gridCol w:w="456"/>
        <w:gridCol w:w="1714"/>
        <w:gridCol w:w="275"/>
      </w:tblGrid>
      <w:tr>
        <w:tblPrEx>
          <w:tblCellMar>
            <w:top w:w="0" w:type="dxa"/>
            <w:left w:w="0" w:type="dxa"/>
            <w:bottom w:w="0" w:type="dxa"/>
            <w:right w:w="0" w:type="dxa"/>
          </w:tblCellMar>
        </w:tblPrEx>
        <w:trPr>
          <w:gridAfter w:val="1"/>
          <w:wAfter w:w="275" w:type="dxa"/>
          <w:trHeight w:val="435" w:hRule="atLeast"/>
        </w:trPr>
        <w:tc>
          <w:tcPr>
            <w:tcW w:w="13845" w:type="dxa"/>
            <w:gridSpan w:val="1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922"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7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617"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89"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55" w:hRule="atLeast"/>
        </w:trPr>
        <w:tc>
          <w:tcPr>
            <w:tcW w:w="6853" w:type="dxa"/>
            <w:gridSpan w:val="8"/>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4617"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89"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853" w:type="dxa"/>
            <w:gridSpan w:val="8"/>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7267" w:type="dxa"/>
            <w:gridSpan w:val="8"/>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7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98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7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98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5,471.47</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7,399.42</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5,471.47</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2,220.90</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22"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61" w:type="dxa"/>
            <w:gridSpan w:val="2"/>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4617"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61"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9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r>
      <w:tr>
        <w:tblPrEx>
          <w:tblCellMar>
            <w:top w:w="0" w:type="dxa"/>
            <w:left w:w="108" w:type="dxa"/>
            <w:bottom w:w="0" w:type="dxa"/>
            <w:right w:w="108" w:type="dxa"/>
          </w:tblCellMar>
        </w:tblPrEx>
        <w:trPr>
          <w:trHeight w:val="308" w:hRule="atLeast"/>
        </w:trPr>
        <w:tc>
          <w:tcPr>
            <w:tcW w:w="14120" w:type="dxa"/>
            <w:gridSpan w:val="16"/>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275" w:type="dxa"/>
          <w:trHeight w:val="435" w:hRule="atLeast"/>
        </w:trPr>
        <w:tc>
          <w:tcPr>
            <w:tcW w:w="13845"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p>
        </w:tc>
      </w:tr>
      <w:tr>
        <w:tblPrEx>
          <w:tblCellMar>
            <w:top w:w="0" w:type="dxa"/>
            <w:left w:w="0" w:type="dxa"/>
            <w:bottom w:w="0" w:type="dxa"/>
            <w:right w:w="0" w:type="dxa"/>
          </w:tblCellMar>
        </w:tblPrEx>
        <w:trPr>
          <w:gridAfter w:val="1"/>
          <w:wAfter w:w="275" w:type="dxa"/>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275" w:type="dxa"/>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5000" w:type="pct"/>
        <w:tblInd w:w="0" w:type="dxa"/>
        <w:tblLayout w:type="autofit"/>
        <w:tblCellMar>
          <w:top w:w="0" w:type="dxa"/>
          <w:left w:w="108" w:type="dxa"/>
          <w:bottom w:w="0" w:type="dxa"/>
          <w:right w:w="108" w:type="dxa"/>
        </w:tblCellMar>
      </w:tblPr>
      <w:tblGrid>
        <w:gridCol w:w="497"/>
        <w:gridCol w:w="393"/>
        <w:gridCol w:w="337"/>
        <w:gridCol w:w="4471"/>
        <w:gridCol w:w="1582"/>
        <w:gridCol w:w="1582"/>
        <w:gridCol w:w="1029"/>
        <w:gridCol w:w="766"/>
        <w:gridCol w:w="803"/>
        <w:gridCol w:w="1041"/>
        <w:gridCol w:w="1673"/>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12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93"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79"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86"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99"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83"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06"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1898" w:type="pct"/>
            <w:gridSpan w:val="4"/>
            <w:tcBorders>
              <w:top w:val="nil"/>
              <w:left w:val="nil"/>
              <w:bottom w:val="nil"/>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574"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74"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79"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86"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99"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8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06" w:type="pct"/>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898"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74"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574"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379"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286"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299"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383"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606"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305"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593" w:type="pct"/>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05"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9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05"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9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898"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74"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74"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79"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286"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299"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83"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606"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1898"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7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5,471.47</w:t>
            </w:r>
          </w:p>
        </w:tc>
        <w:tc>
          <w:tcPr>
            <w:tcW w:w="57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5,471.47</w:t>
            </w:r>
          </w:p>
        </w:tc>
        <w:tc>
          <w:tcPr>
            <w:tcW w:w="37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8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9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8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0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593"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7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5,297.25</w:t>
            </w:r>
          </w:p>
        </w:tc>
        <w:tc>
          <w:tcPr>
            <w:tcW w:w="57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5,297.25</w:t>
            </w:r>
          </w:p>
        </w:tc>
        <w:tc>
          <w:tcPr>
            <w:tcW w:w="37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人大事务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2010150</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5,261.06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5,261.06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795.84</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795.84</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2010350</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4,465.22</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4,465.22</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7.08</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组织事务</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2013201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124.89</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124.89</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119.63</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119.63</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20.39</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20.39</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61.02</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61.02</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10.66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10.66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49.34</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49.34</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49.34</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49.34</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15.06</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15.06</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18.77</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18.77</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0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59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w:t>
            </w:r>
          </w:p>
        </w:tc>
        <w:tc>
          <w:tcPr>
            <w:tcW w:w="57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w:t>
            </w:r>
          </w:p>
        </w:tc>
        <w:tc>
          <w:tcPr>
            <w:tcW w:w="37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8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97"/>
        <w:gridCol w:w="394"/>
        <w:gridCol w:w="336"/>
        <w:gridCol w:w="4527"/>
        <w:gridCol w:w="1604"/>
        <w:gridCol w:w="1604"/>
        <w:gridCol w:w="1435"/>
        <w:gridCol w:w="970"/>
        <w:gridCol w:w="899"/>
        <w:gridCol w:w="1908"/>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130"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8"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61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2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58"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3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91" w:type="pct"/>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trHeight w:val="255" w:hRule="atLeast"/>
        </w:trPr>
        <w:tc>
          <w:tcPr>
            <w:tcW w:w="1933" w:type="pct"/>
            <w:gridSpan w:val="4"/>
            <w:tcBorders>
              <w:top w:val="nil"/>
              <w:left w:val="nil"/>
              <w:bottom w:val="nil"/>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5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2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58"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3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91" w:type="pct"/>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933"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82"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582"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522"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58"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333"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691" w:type="pct"/>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20"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613" w:type="pct"/>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9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20"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9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20"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3"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9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933"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82"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82"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522"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58"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33"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691" w:type="pc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1933"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7,692.37</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4,790.60</w:t>
            </w:r>
          </w:p>
        </w:tc>
        <w:tc>
          <w:tcPr>
            <w:tcW w:w="52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2,901.77</w:t>
            </w:r>
          </w:p>
        </w:tc>
        <w:tc>
          <w:tcPr>
            <w:tcW w:w="35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613"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7,399.42</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4,542.85</w:t>
            </w:r>
          </w:p>
        </w:tc>
        <w:tc>
          <w:tcPr>
            <w:tcW w:w="52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2,856.57</w:t>
            </w:r>
          </w:p>
        </w:tc>
        <w:tc>
          <w:tcPr>
            <w:tcW w:w="35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w:t>
            </w:r>
          </w:p>
        </w:tc>
        <w:tc>
          <w:tcPr>
            <w:tcW w:w="1613"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人大事务</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2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2010150</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7,358.32</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4,504.39</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2,853.93</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1,346.24</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1,327.20</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19.04</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2010350</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6,012.08</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3,177.19</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2,834.89</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20104</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发展与改革事务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2010450</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组织事务</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2013201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183.13</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183.13</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29.94</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29.94</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47.27</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47.27</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86.49</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86.49</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26.09</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26.09</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污染防治</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2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2110399</w:t>
            </w:r>
          </w:p>
        </w:tc>
        <w:tc>
          <w:tcPr>
            <w:tcW w:w="1613"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其他污染防治支出</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8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35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9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845" w:type="pct"/>
        <w:jc w:val="center"/>
        <w:tblLayout w:type="autofit"/>
        <w:tblCellMar>
          <w:top w:w="0" w:type="dxa"/>
          <w:left w:w="0" w:type="dxa"/>
          <w:bottom w:w="0" w:type="dxa"/>
          <w:right w:w="0" w:type="dxa"/>
        </w:tblCellMar>
      </w:tblPr>
      <w:tblGrid>
        <w:gridCol w:w="3076"/>
        <w:gridCol w:w="505"/>
        <w:gridCol w:w="1274"/>
        <w:gridCol w:w="3883"/>
        <w:gridCol w:w="505"/>
        <w:gridCol w:w="1191"/>
        <w:gridCol w:w="1417"/>
        <w:gridCol w:w="551"/>
        <w:gridCol w:w="69"/>
        <w:gridCol w:w="1083"/>
      </w:tblGrid>
      <w:tr>
        <w:tblPrEx>
          <w:tblCellMar>
            <w:top w:w="0" w:type="dxa"/>
            <w:left w:w="0" w:type="dxa"/>
            <w:bottom w:w="0" w:type="dxa"/>
            <w:right w:w="0" w:type="dxa"/>
          </w:tblCellMar>
        </w:tblPrEx>
        <w:trPr>
          <w:gridAfter w:val="2"/>
          <w:wAfter w:w="402" w:type="pct"/>
          <w:trHeight w:val="600" w:hRule="atLeast"/>
          <w:jc w:val="center"/>
        </w:trPr>
        <w:tc>
          <w:tcPr>
            <w:tcW w:w="4543" w:type="pct"/>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jc w:val="center"/>
        </w:trPr>
        <w:tc>
          <w:tcPr>
            <w:tcW w:w="111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7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480"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43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7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425"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3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56"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363" w:type="pct"/>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55" w:hRule="atLeast"/>
          <w:jc w:val="center"/>
        </w:trPr>
        <w:tc>
          <w:tcPr>
            <w:tcW w:w="3197" w:type="pct"/>
            <w:gridSpan w:val="4"/>
            <w:tcBorders>
              <w:top w:val="nil"/>
              <w:left w:val="nil"/>
              <w:bottom w:val="single" w:color="000000" w:sz="4" w:space="0"/>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17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575" w:type="pct"/>
            <w:gridSpan w:val="5"/>
            <w:tcBorders>
              <w:top w:val="nil"/>
              <w:left w:val="nil"/>
              <w:bottom w:val="single" w:color="000000" w:sz="4" w:space="0"/>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jc w:val="center"/>
        </w:trPr>
        <w:tc>
          <w:tcPr>
            <w:tcW w:w="1765"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3180" w:type="pct"/>
            <w:gridSpan w:val="7"/>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jc w:val="center"/>
        </w:trPr>
        <w:tc>
          <w:tcPr>
            <w:tcW w:w="1113" w:type="pct"/>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2"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80"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1432"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3"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25" w:type="pct"/>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32"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256" w:type="pct"/>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363"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jc w:val="center"/>
        </w:trPr>
        <w:tc>
          <w:tcPr>
            <w:tcW w:w="111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80"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3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5"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6"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3"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80"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25"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53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256" w:type="pct"/>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6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5,471.47</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7,399.42</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7,399.42</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5,471.47</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2,220.90</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2,220.90</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17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113" w:type="pc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72" w:type="pct"/>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48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143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73"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42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53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7,692.37</w:t>
            </w:r>
          </w:p>
        </w:tc>
        <w:tc>
          <w:tcPr>
            <w:tcW w:w="2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5" w:hRule="atLeast"/>
          <w:jc w:val="center"/>
        </w:trPr>
        <w:tc>
          <w:tcPr>
            <w:tcW w:w="4945" w:type="pct"/>
            <w:gridSpan w:val="10"/>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r>
        <w:tblPrEx>
          <w:tblCellMar>
            <w:top w:w="0" w:type="dxa"/>
            <w:left w:w="0" w:type="dxa"/>
            <w:bottom w:w="0" w:type="dxa"/>
            <w:right w:w="0" w:type="dxa"/>
          </w:tblCellMar>
        </w:tblPrEx>
        <w:trPr>
          <w:gridAfter w:val="2"/>
          <w:wAfter w:w="402" w:type="pct"/>
          <w:trHeight w:val="600" w:hRule="atLeast"/>
          <w:jc w:val="center"/>
        </w:trPr>
        <w:tc>
          <w:tcPr>
            <w:tcW w:w="4543" w:type="pct"/>
            <w:gridSpan w:val="8"/>
            <w:tcBorders>
              <w:top w:val="nil"/>
              <w:left w:val="nil"/>
              <w:bottom w:val="nil"/>
              <w:right w:val="nil"/>
            </w:tcBorders>
            <w:shd w:val="clear" w:color="auto" w:fill="FFFFFF"/>
            <w:tcMar>
              <w:top w:w="15" w:type="dxa"/>
              <w:left w:w="15" w:type="dxa"/>
              <w:right w:w="15" w:type="dxa"/>
            </w:tcMar>
            <w:vAlign w:val="center"/>
          </w:tcPr>
          <w:p>
            <w:pPr>
              <w:widowControl/>
              <w:textAlignment w:val="center"/>
              <w:rPr>
                <w:rFonts w:ascii="华文中宋" w:hAnsi="华文中宋" w:eastAsia="华文中宋" w:cs="华文中宋"/>
                <w:color w:val="000000"/>
                <w:sz w:val="32"/>
                <w:szCs w:val="32"/>
              </w:rPr>
            </w:pPr>
          </w:p>
        </w:tc>
      </w:tr>
    </w:tbl>
    <w:tbl>
      <w:tblPr>
        <w:tblStyle w:val="5"/>
        <w:tblpPr w:leftFromText="180" w:rightFromText="180" w:vertAnchor="text" w:horzAnchor="margin" w:tblpXSpec="center" w:tblpY="1"/>
        <w:tblOverlap w:val="never"/>
        <w:tblW w:w="5000" w:type="pct"/>
        <w:tblInd w:w="0" w:type="dxa"/>
        <w:tblLayout w:type="autofit"/>
        <w:tblCellMar>
          <w:top w:w="0" w:type="dxa"/>
          <w:left w:w="108" w:type="dxa"/>
          <w:bottom w:w="0" w:type="dxa"/>
          <w:right w:w="108" w:type="dxa"/>
        </w:tblCellMar>
      </w:tblPr>
      <w:tblGrid>
        <w:gridCol w:w="1673"/>
        <w:gridCol w:w="782"/>
        <w:gridCol w:w="788"/>
        <w:gridCol w:w="5474"/>
        <w:gridCol w:w="1528"/>
        <w:gridCol w:w="1528"/>
        <w:gridCol w:w="2401"/>
      </w:tblGrid>
      <w:tr>
        <w:tblPrEx>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590"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76"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78"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931"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39"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39"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47" w:type="pct"/>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55" w:hRule="atLeast"/>
        </w:trPr>
        <w:tc>
          <w:tcPr>
            <w:tcW w:w="3614" w:type="pct"/>
            <w:gridSpan w:val="5"/>
            <w:tcBorders>
              <w:top w:val="nil"/>
              <w:left w:val="nil"/>
              <w:bottom w:val="single" w:color="000000" w:sz="4" w:space="0"/>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1386" w:type="pct"/>
            <w:gridSpan w:val="2"/>
            <w:tcBorders>
              <w:top w:val="nil"/>
              <w:left w:val="nil"/>
              <w:bottom w:val="single" w:color="000000" w:sz="4" w:space="0"/>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3075"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925" w:type="pct"/>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1144"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931" w:type="pct"/>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39"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539"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847"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1144"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144"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075"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39"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39"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47"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3075" w:type="pct"/>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7,692.37</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4,790.60</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2,901.77</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7,399.42</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4,542.85</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2,856.57</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人大事务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2010150</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25.00</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7,358.32</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4,504.39</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2,853.93</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1,346.24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1,327.20</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19.04</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2010350</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6,012.08</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3,177.19</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2,834.89</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20104</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发展与改革事务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2010450</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组织事务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2013201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4.11</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188.39</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183.13</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183.13</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29.94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29.94</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47.27</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47.27</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86.49</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86.49</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2080506</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机关事业单位职业年金缴费支出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59.36</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26.09</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26.09</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污染防治</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r>
      <w:tr>
        <w:tblPrEx>
          <w:tblCellMar>
            <w:top w:w="0" w:type="dxa"/>
            <w:left w:w="108" w:type="dxa"/>
            <w:bottom w:w="0" w:type="dxa"/>
            <w:right w:w="108" w:type="dxa"/>
          </w:tblCellMar>
        </w:tblPrEx>
        <w:trPr>
          <w:trHeight w:val="308" w:hRule="atLeast"/>
        </w:trPr>
        <w:tc>
          <w:tcPr>
            <w:tcW w:w="1144"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2110399</w:t>
            </w:r>
          </w:p>
        </w:tc>
        <w:tc>
          <w:tcPr>
            <w:tcW w:w="19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其他污染防治支出</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7"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r>
      <w:tr>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82" w:type="pct"/>
        <w:jc w:val="center"/>
        <w:tblLayout w:type="fixed"/>
        <w:tblCellMar>
          <w:top w:w="0" w:type="dxa"/>
          <w:left w:w="0" w:type="dxa"/>
          <w:bottom w:w="0" w:type="dxa"/>
          <w:right w:w="0" w:type="dxa"/>
        </w:tblCellMar>
      </w:tblPr>
      <w:tblGrid>
        <w:gridCol w:w="804"/>
        <w:gridCol w:w="236"/>
        <w:gridCol w:w="81"/>
        <w:gridCol w:w="161"/>
        <w:gridCol w:w="161"/>
        <w:gridCol w:w="1490"/>
        <w:gridCol w:w="1018"/>
        <w:gridCol w:w="515"/>
        <w:gridCol w:w="63"/>
        <w:gridCol w:w="779"/>
        <w:gridCol w:w="554"/>
        <w:gridCol w:w="492"/>
        <w:gridCol w:w="1371"/>
        <w:gridCol w:w="196"/>
        <w:gridCol w:w="739"/>
        <w:gridCol w:w="392"/>
        <w:gridCol w:w="213"/>
        <w:gridCol w:w="188"/>
        <w:gridCol w:w="589"/>
        <w:gridCol w:w="995"/>
        <w:gridCol w:w="1587"/>
        <w:gridCol w:w="481"/>
        <w:gridCol w:w="461"/>
        <w:gridCol w:w="168"/>
        <w:gridCol w:w="483"/>
      </w:tblGrid>
      <w:tr>
        <w:tblPrEx>
          <w:tblCellMar>
            <w:top w:w="0" w:type="dxa"/>
            <w:left w:w="0" w:type="dxa"/>
            <w:bottom w:w="0" w:type="dxa"/>
            <w:right w:w="0" w:type="dxa"/>
          </w:tblCellMar>
        </w:tblPrEx>
        <w:trPr>
          <w:gridAfter w:val="1"/>
          <w:wAfter w:w="169" w:type="pct"/>
          <w:trHeight w:val="600" w:hRule="atLeast"/>
          <w:jc w:val="center"/>
        </w:trPr>
        <w:tc>
          <w:tcPr>
            <w:tcW w:w="4830" w:type="pct"/>
            <w:gridSpan w:val="2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jc w:val="center"/>
        </w:trPr>
        <w:tc>
          <w:tcPr>
            <w:tcW w:w="508" w:type="pct"/>
            <w:gridSpan w:val="5"/>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85" w:type="pct"/>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7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95"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724" w:type="pct"/>
            <w:gridSpan w:val="3"/>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60"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13"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181" w:type="pct"/>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56" w:type="pct"/>
            <w:gridSpan w:val="4"/>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jc w:val="center"/>
        </w:trPr>
        <w:tc>
          <w:tcPr>
            <w:tcW w:w="1593" w:type="pct"/>
            <w:gridSpan w:val="9"/>
            <w:tcBorders>
              <w:top w:val="nil"/>
              <w:left w:val="nil"/>
              <w:bottom w:val="nil"/>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27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95"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724" w:type="pct"/>
            <w:gridSpan w:val="3"/>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60"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13"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181" w:type="pct"/>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56" w:type="pct"/>
            <w:gridSpan w:val="4"/>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jc w:val="center"/>
        </w:trPr>
        <w:tc>
          <w:tcPr>
            <w:tcW w:w="1867" w:type="pct"/>
            <w:gridSpan w:val="10"/>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3132" w:type="pct"/>
            <w:gridSpan w:val="1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jc w:val="center"/>
        </w:trPr>
        <w:tc>
          <w:tcPr>
            <w:tcW w:w="394"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996" w:type="pct"/>
            <w:gridSpan w:val="4"/>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476" w:type="pct"/>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368" w:type="pct"/>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551" w:type="pct"/>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98" w:type="pct"/>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348" w:type="pct"/>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076" w:type="pct"/>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89" w:type="pct"/>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jc w:val="center"/>
        </w:trPr>
        <w:tc>
          <w:tcPr>
            <w:tcW w:w="394"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6" w:type="pct"/>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76"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8"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8"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8"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76"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9"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1,502.17</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3,144.23</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374.82</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53.15</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680.33</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16.84</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61.03</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3.34</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51.84</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96.46</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24.91</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51.34</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91.72</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297.14</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19.43</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5.18</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45.37</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109.56</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34.55</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0.35</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5.96</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116.14</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551" w:type="pct"/>
            <w:gridSpan w:val="2"/>
            <w:tcBorders>
              <w:top w:val="nil"/>
              <w:left w:val="nil"/>
              <w:bottom w:val="single" w:color="000000" w:sz="4" w:space="0"/>
              <w:right w:val="single" w:color="000000" w:sz="4" w:space="0"/>
            </w:tcBorders>
            <w:shd w:val="clear" w:color="FFFFFF" w:fill="FFFFFF"/>
            <w:noWrap/>
            <w:vAlign w:val="center"/>
          </w:tcPr>
          <w:p>
            <w:r>
              <w:rPr>
                <w:rFonts w:hint="eastAsia"/>
              </w:rPr>
              <w:t xml:space="preserve">  因公出国（境）费用</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379.10</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0.28</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851.46</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92.36</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0.06</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77.11</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0.40</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12.31</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0.50</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9.89</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838.03</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17.21</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9.35</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0.10</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8.57</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1076" w:type="pct"/>
            <w:gridSpan w:val="3"/>
            <w:tcBorders>
              <w:top w:val="nil"/>
              <w:left w:val="nil"/>
              <w:bottom w:val="single" w:color="000000" w:sz="4" w:space="0"/>
              <w:right w:val="single" w:color="000000" w:sz="4" w:space="0"/>
            </w:tcBorders>
            <w:shd w:val="clear" w:color="FFFFFF" w:fill="FFFFFF"/>
            <w:noWrap/>
            <w:vAlign w:val="center"/>
          </w:tcPr>
          <w:p>
            <w:r>
              <w:rPr>
                <w:rFonts w:hint="eastAsia"/>
              </w:rPr>
              <w:t xml:space="preserve">  对民间非营利组织和群众性自治组织补贴</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551" w:type="pct"/>
            <w:gridSpan w:val="2"/>
            <w:tcBorders>
              <w:top w:val="nil"/>
              <w:left w:val="nil"/>
              <w:bottom w:val="single" w:color="000000" w:sz="4" w:space="0"/>
              <w:right w:val="single" w:color="000000" w:sz="4" w:space="0"/>
            </w:tcBorders>
            <w:shd w:val="clear" w:color="FFFFFF" w:fill="FFFFFF"/>
            <w:noWrap/>
            <w:vAlign w:val="center"/>
          </w:tcPr>
          <w:p>
            <w:r>
              <w:rPr>
                <w:rFonts w:hint="eastAsia"/>
              </w:rPr>
              <w:t xml:space="preserve">  公务用车运行维护费</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247.79</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551"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bookmarkStart w:id="0" w:name="_GoBack"/>
            <w:bookmarkEnd w:id="0"/>
            <w:r>
              <w:rPr>
                <w:rFonts w:hint="eastAsia" w:ascii="宋体" w:hAnsi="宋体" w:cs="Arial"/>
                <w:color w:val="000000"/>
                <w:kern w:val="0"/>
                <w:sz w:val="22"/>
              </w:rPr>
              <w:t>其他交通费用</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229.33</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551" w:type="pct"/>
            <w:gridSpan w:val="2"/>
            <w:tcBorders>
              <w:top w:val="nil"/>
              <w:left w:val="nil"/>
              <w:bottom w:val="single" w:color="000000" w:sz="4" w:space="0"/>
              <w:right w:val="single" w:color="000000" w:sz="4" w:space="0"/>
            </w:tcBorders>
            <w:shd w:val="clear" w:color="FFFFFF" w:fill="FFFFFF"/>
            <w:noWrap/>
            <w:vAlign w:val="center"/>
          </w:tcPr>
          <w:p>
            <w:r>
              <w:rPr>
                <w:rFonts w:hint="eastAsia"/>
              </w:rPr>
              <w:t xml:space="preserve">  税金及附加费用</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394" w:type="pct"/>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6" w:type="pct"/>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8" w:type="pct"/>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551" w:type="pct"/>
            <w:gridSpan w:val="2"/>
            <w:tcBorders>
              <w:top w:val="nil"/>
              <w:left w:val="nil"/>
              <w:bottom w:val="single" w:color="000000" w:sz="4" w:space="0"/>
              <w:right w:val="single" w:color="000000" w:sz="4" w:space="0"/>
            </w:tcBorders>
            <w:shd w:val="clear" w:color="FFFFFF" w:fill="FFFFFF"/>
            <w:noWrap/>
            <w:vAlign w:val="center"/>
          </w:tcPr>
          <w:p>
            <w:r>
              <w:rPr>
                <w:rFonts w:hint="eastAsia"/>
              </w:rPr>
              <w:t xml:space="preserve">  其他商品和服务支出</w:t>
            </w:r>
          </w:p>
        </w:tc>
        <w:tc>
          <w:tcPr>
            <w:tcW w:w="398"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8"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76" w:type="pct"/>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390" w:type="pct"/>
            <w:gridSpan w:val="7"/>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476"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1,594.53</w:t>
            </w:r>
          </w:p>
        </w:tc>
        <w:tc>
          <w:tcPr>
            <w:tcW w:w="2742" w:type="pct"/>
            <w:gridSpan w:val="1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38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3,196.07</w:t>
            </w:r>
          </w:p>
        </w:tc>
      </w:tr>
      <w:tr>
        <w:tblPrEx>
          <w:tblCellMar>
            <w:top w:w="0" w:type="dxa"/>
            <w:left w:w="108" w:type="dxa"/>
            <w:bottom w:w="0" w:type="dxa"/>
            <w:right w:w="108" w:type="dxa"/>
          </w:tblCellMar>
        </w:tblPrEx>
        <w:trPr>
          <w:trHeight w:val="308" w:hRule="atLeast"/>
          <w:jc w:val="center"/>
        </w:trPr>
        <w:tc>
          <w:tcPr>
            <w:tcW w:w="5000" w:type="pct"/>
            <w:gridSpan w:val="25"/>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注：本表反映部门本年度一般公共预算财政拨款基本支出明细情况。本表金额转换为万元时，因四舍五入可能存在尾差。</w:t>
            </w:r>
          </w:p>
        </w:tc>
      </w:tr>
      <w:tr>
        <w:tblPrEx>
          <w:tblCellMar>
            <w:top w:w="0" w:type="dxa"/>
            <w:left w:w="0" w:type="dxa"/>
            <w:bottom w:w="0" w:type="dxa"/>
            <w:right w:w="0" w:type="dxa"/>
          </w:tblCellMar>
        </w:tblPrEx>
        <w:trPr>
          <w:gridAfter w:val="1"/>
          <w:wAfter w:w="169" w:type="pct"/>
          <w:trHeight w:val="600" w:hRule="atLeast"/>
          <w:jc w:val="center"/>
        </w:trPr>
        <w:tc>
          <w:tcPr>
            <w:tcW w:w="4830" w:type="pct"/>
            <w:gridSpan w:val="2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tbl>
            <w:tblPr>
              <w:tblStyle w:val="5"/>
              <w:tblW w:w="13493" w:type="dxa"/>
              <w:tblInd w:w="116" w:type="dxa"/>
              <w:tblLayout w:type="fixed"/>
              <w:tblCellMar>
                <w:top w:w="0" w:type="dxa"/>
                <w:left w:w="108" w:type="dxa"/>
                <w:bottom w:w="0" w:type="dxa"/>
                <w:right w:w="108" w:type="dxa"/>
              </w:tblCellMar>
            </w:tblPr>
            <w:tblGrid>
              <w:gridCol w:w="1028"/>
              <w:gridCol w:w="958"/>
              <w:gridCol w:w="1087"/>
              <w:gridCol w:w="1162"/>
              <w:gridCol w:w="1201"/>
              <w:gridCol w:w="1203"/>
              <w:gridCol w:w="1014"/>
              <w:gridCol w:w="965"/>
              <w:gridCol w:w="1066"/>
              <w:gridCol w:w="1032"/>
              <w:gridCol w:w="199"/>
              <w:gridCol w:w="766"/>
              <w:gridCol w:w="510"/>
              <w:gridCol w:w="1302"/>
            </w:tblGrid>
            <w:tr>
              <w:tblPrEx>
                <w:tblCellMar>
                  <w:top w:w="0" w:type="dxa"/>
                  <w:left w:w="108" w:type="dxa"/>
                  <w:bottom w:w="0" w:type="dxa"/>
                  <w:right w:w="108" w:type="dxa"/>
                </w:tblCellMar>
              </w:tblPrEx>
              <w:trPr>
                <w:trHeight w:val="420" w:hRule="atLeast"/>
              </w:trPr>
              <w:tc>
                <w:tcPr>
                  <w:tcW w:w="13493" w:type="dxa"/>
                  <w:gridSpan w:val="14"/>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0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95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8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162"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20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203"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14"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965"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6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032"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965"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1812"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255" w:hRule="atLeast"/>
              </w:trPr>
              <w:tc>
                <w:tcPr>
                  <w:tcW w:w="6639" w:type="dxa"/>
                  <w:gridSpan w:val="6"/>
                  <w:tcBorders>
                    <w:top w:val="nil"/>
                    <w:left w:val="nil"/>
                    <w:bottom w:val="single" w:color="000000" w:sz="4" w:space="0"/>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6854" w:type="dxa"/>
                  <w:gridSpan w:val="8"/>
                  <w:tcBorders>
                    <w:top w:val="nil"/>
                    <w:left w:val="nil"/>
                    <w:bottom w:val="single" w:color="000000" w:sz="4" w:space="0"/>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63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854" w:type="dxa"/>
                  <w:gridSpan w:val="8"/>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02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5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5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0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01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6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573"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30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10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5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08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20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20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01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96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0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31"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27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30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5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8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0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0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1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9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31"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7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0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1028"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255.52</w:t>
                  </w:r>
                </w:p>
              </w:tc>
              <w:tc>
                <w:tcPr>
                  <w:tcW w:w="9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08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11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120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248.18</w:t>
                  </w:r>
                </w:p>
              </w:tc>
              <w:tc>
                <w:tcPr>
                  <w:tcW w:w="96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247.79</w:t>
                  </w:r>
                </w:p>
              </w:tc>
              <w:tc>
                <w:tcPr>
                  <w:tcW w:w="1231"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247.79</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0.40</w:t>
                  </w:r>
                </w:p>
              </w:tc>
            </w:tr>
            <w:tr>
              <w:tblPrEx>
                <w:tblCellMar>
                  <w:top w:w="0" w:type="dxa"/>
                  <w:left w:w="108" w:type="dxa"/>
                  <w:bottom w:w="0" w:type="dxa"/>
                  <w:right w:w="108" w:type="dxa"/>
                </w:tblCellMar>
              </w:tblPrEx>
              <w:trPr>
                <w:trHeight w:val="615" w:hRule="atLeast"/>
              </w:trPr>
              <w:tc>
                <w:tcPr>
                  <w:tcW w:w="13493" w:type="dxa"/>
                  <w:gridSpan w:val="14"/>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center"/>
              <w:textAlignment w:val="center"/>
              <w:rPr>
                <w:rFonts w:ascii="华文中宋" w:hAnsi="华文中宋" w:eastAsia="华文中宋" w:cs="华文中宋"/>
                <w:color w:val="000000"/>
                <w:kern w:val="0"/>
                <w:sz w:val="32"/>
                <w:szCs w:val="32"/>
              </w:rPr>
            </w:pPr>
          </w:p>
          <w:p>
            <w:pPr>
              <w:widowControl/>
              <w:textAlignment w:val="center"/>
              <w:rPr>
                <w:rFonts w:ascii="华文中宋" w:hAnsi="华文中宋" w:eastAsia="华文中宋" w:cs="华文中宋"/>
                <w:color w:val="000000"/>
                <w:sz w:val="32"/>
                <w:szCs w:val="32"/>
              </w:rPr>
            </w:pPr>
          </w:p>
          <w:p>
            <w:pPr>
              <w:widowControl/>
              <w:textAlignment w:val="center"/>
              <w:rPr>
                <w:rFonts w:ascii="华文中宋" w:hAnsi="华文中宋" w:eastAsia="华文中宋" w:cs="华文中宋"/>
                <w:color w:val="000000"/>
                <w:sz w:val="32"/>
                <w:szCs w:val="32"/>
              </w:rPr>
            </w:pPr>
          </w:p>
          <w:p>
            <w:pPr>
              <w:widowControl/>
              <w:textAlignment w:val="center"/>
              <w:rPr>
                <w:rFonts w:ascii="华文中宋" w:hAnsi="华文中宋" w:eastAsia="华文中宋" w:cs="华文中宋"/>
                <w:color w:val="000000"/>
                <w:sz w:val="32"/>
                <w:szCs w:val="32"/>
              </w:rPr>
            </w:pPr>
          </w:p>
          <w:p>
            <w:pPr>
              <w:widowControl/>
              <w:textAlignment w:val="center"/>
              <w:rPr>
                <w:rFonts w:ascii="华文中宋" w:hAnsi="华文中宋" w:eastAsia="华文中宋" w:cs="华文中宋"/>
                <w:color w:val="000000"/>
                <w:sz w:val="32"/>
                <w:szCs w:val="32"/>
              </w:rPr>
            </w:pPr>
          </w:p>
          <w:p>
            <w:pPr>
              <w:widowControl/>
              <w:textAlignment w:val="center"/>
              <w:rPr>
                <w:rFonts w:ascii="华文中宋" w:hAnsi="华文中宋" w:eastAsia="华文中宋" w:cs="华文中宋"/>
                <w:color w:val="000000"/>
                <w:sz w:val="32"/>
                <w:szCs w:val="32"/>
              </w:rPr>
            </w:pPr>
          </w:p>
        </w:tc>
      </w:tr>
      <w:tr>
        <w:tblPrEx>
          <w:tblCellMar>
            <w:top w:w="0" w:type="dxa"/>
            <w:left w:w="0" w:type="dxa"/>
            <w:bottom w:w="0" w:type="dxa"/>
            <w:right w:w="0" w:type="dxa"/>
          </w:tblCellMar>
        </w:tblPrEx>
        <w:trPr>
          <w:gridAfter w:val="1"/>
          <w:wAfter w:w="169" w:type="pct"/>
          <w:trHeight w:val="600" w:hRule="atLeast"/>
          <w:jc w:val="center"/>
        </w:trPr>
        <w:tc>
          <w:tcPr>
            <w:tcW w:w="4830" w:type="pct"/>
            <w:gridSpan w:val="2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政府性基金预算财政拨款收入支出决算表</w:t>
            </w:r>
          </w:p>
        </w:tc>
      </w:tr>
      <w:tr>
        <w:tblPrEx>
          <w:tblCellMar>
            <w:top w:w="0" w:type="dxa"/>
            <w:left w:w="108" w:type="dxa"/>
            <w:bottom w:w="0" w:type="dxa"/>
            <w:right w:w="108" w:type="dxa"/>
          </w:tblCellMar>
        </w:tblPrEx>
        <w:trPr>
          <w:gridAfter w:val="2"/>
          <w:wAfter w:w="228" w:type="pct"/>
          <w:trHeight w:val="255" w:hRule="atLeast"/>
          <w:jc w:val="center"/>
        </w:trPr>
        <w:tc>
          <w:tcPr>
            <w:tcW w:w="283"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4"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81"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39"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64" w:type="pct"/>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4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08" w:type="pct"/>
            <w:gridSpan w:val="5"/>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56"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88" w:type="pct"/>
            <w:gridSpan w:val="3"/>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0" w:type="dxa"/>
            <w:left w:w="108" w:type="dxa"/>
            <w:bottom w:w="0" w:type="dxa"/>
            <w:right w:w="108" w:type="dxa"/>
          </w:tblCellMar>
        </w:tblPrEx>
        <w:trPr>
          <w:gridAfter w:val="2"/>
          <w:wAfter w:w="228" w:type="pct"/>
          <w:trHeight w:val="255" w:hRule="atLeast"/>
          <w:jc w:val="center"/>
        </w:trPr>
        <w:tc>
          <w:tcPr>
            <w:tcW w:w="1032" w:type="pct"/>
            <w:gridSpan w:val="6"/>
            <w:tcBorders>
              <w:top w:val="nil"/>
              <w:left w:val="nil"/>
              <w:bottom w:val="nil"/>
              <w:right w:val="nil"/>
            </w:tcBorders>
            <w:shd w:val="clear" w:color="000000" w:fill="FFFFFF"/>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部门：许昌市机关事务中心</w:t>
            </w:r>
          </w:p>
        </w:tc>
        <w:tc>
          <w:tcPr>
            <w:tcW w:w="539"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64" w:type="pct"/>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482" w:type="pct"/>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608" w:type="pct"/>
            <w:gridSpan w:val="5"/>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556" w:type="pct"/>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88" w:type="pct"/>
            <w:gridSpan w:val="3"/>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After w:val="2"/>
          <w:wAfter w:w="228" w:type="pct"/>
          <w:trHeight w:val="308" w:hRule="atLeast"/>
          <w:jc w:val="center"/>
        </w:trPr>
        <w:tc>
          <w:tcPr>
            <w:tcW w:w="1032" w:type="pct"/>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39" w:type="pct"/>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664" w:type="pct"/>
            <w:gridSpan w:val="4"/>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1647" w:type="pct"/>
            <w:gridSpan w:val="8"/>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888" w:type="pct"/>
            <w:gridSpan w:val="3"/>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gridAfter w:val="2"/>
          <w:wAfter w:w="228" w:type="pct"/>
          <w:trHeight w:val="312" w:hRule="atLeast"/>
          <w:jc w:val="center"/>
        </w:trPr>
        <w:tc>
          <w:tcPr>
            <w:tcW w:w="451" w:type="pct"/>
            <w:gridSpan w:val="4"/>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81" w:type="pct"/>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39" w:type="pct"/>
            <w:gridSpan w:val="2"/>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664" w:type="pct"/>
            <w:gridSpan w:val="4"/>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82" w:type="pct"/>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608" w:type="pct"/>
            <w:gridSpan w:val="5"/>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556" w:type="pct"/>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888" w:type="pct"/>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228" w:type="pct"/>
          <w:trHeight w:val="312" w:hRule="atLeast"/>
          <w:jc w:val="center"/>
        </w:trPr>
        <w:tc>
          <w:tcPr>
            <w:tcW w:w="451" w:type="pct"/>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64" w:type="pct"/>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8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8" w:type="pct"/>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6"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88" w:type="pct"/>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228" w:type="pct"/>
          <w:trHeight w:val="312" w:hRule="atLeast"/>
          <w:jc w:val="center"/>
        </w:trPr>
        <w:tc>
          <w:tcPr>
            <w:tcW w:w="451" w:type="pct"/>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39"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64" w:type="pct"/>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8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8" w:type="pct"/>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6"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88" w:type="pct"/>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2"/>
          <w:wAfter w:w="228" w:type="pct"/>
          <w:trHeight w:val="308" w:hRule="atLeast"/>
          <w:jc w:val="center"/>
        </w:trPr>
        <w:tc>
          <w:tcPr>
            <w:tcW w:w="1032" w:type="pct"/>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39" w:type="pct"/>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664" w:type="pct"/>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82" w:type="pc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608" w:type="pct"/>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556" w:type="pct"/>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88" w:type="pct"/>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gridAfter w:val="2"/>
          <w:wAfter w:w="228" w:type="pct"/>
          <w:trHeight w:val="308" w:hRule="atLeast"/>
          <w:jc w:val="center"/>
        </w:trPr>
        <w:tc>
          <w:tcPr>
            <w:tcW w:w="1032" w:type="pct"/>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39"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64" w:type="pct"/>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4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08" w:type="pct"/>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88"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After w:val="2"/>
          <w:wAfter w:w="228" w:type="pct"/>
          <w:trHeight w:val="308" w:hRule="atLeast"/>
          <w:jc w:val="center"/>
        </w:trPr>
        <w:tc>
          <w:tcPr>
            <w:tcW w:w="451" w:type="pct"/>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1" w:type="pct"/>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9"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64" w:type="pct"/>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8" w:type="pct"/>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56"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8"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2"/>
          <w:wAfter w:w="228" w:type="pct"/>
          <w:trHeight w:val="308" w:hRule="atLeast"/>
          <w:jc w:val="center"/>
        </w:trPr>
        <w:tc>
          <w:tcPr>
            <w:tcW w:w="4771" w:type="pct"/>
            <w:gridSpan w:val="23"/>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eastAsia="仿宋_GB2312" w:cs="仿宋_GB2312"/>
          <w:sz w:val="32"/>
          <w:szCs w:val="32"/>
        </w:rPr>
        <w:t>7692.37</w:t>
      </w:r>
      <w:r>
        <w:rPr>
          <w:rFonts w:hint="eastAsia" w:ascii="仿宋_GB2312" w:hAnsi="仿宋_GB2312" w:eastAsia="仿宋_GB2312" w:cs="仿宋_GB2312"/>
          <w:sz w:val="32"/>
          <w:szCs w:val="32"/>
        </w:rPr>
        <w:t>万元。与上年度相比，收、支总计各减少</w:t>
      </w:r>
      <w:r>
        <w:rPr>
          <w:rFonts w:hint="eastAsia" w:ascii="仿宋_GB2312" w:eastAsia="仿宋_GB2312" w:cs="仿宋_GB2312"/>
          <w:sz w:val="32"/>
          <w:szCs w:val="32"/>
        </w:rPr>
        <w:t>956.18</w:t>
      </w:r>
      <w:r>
        <w:rPr>
          <w:rFonts w:hint="eastAsia" w:ascii="仿宋_GB2312" w:hAnsi="仿宋_GB2312" w:eastAsia="仿宋_GB2312" w:cs="仿宋_GB2312"/>
          <w:sz w:val="32"/>
          <w:szCs w:val="32"/>
        </w:rPr>
        <w:t>万元，下降11.06%。主要原因是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eastAsia="仿宋_GB2312" w:cs="仿宋_GB2312"/>
          <w:sz w:val="32"/>
          <w:szCs w:val="32"/>
        </w:rPr>
        <w:t>5471.47</w:t>
      </w:r>
      <w:r>
        <w:rPr>
          <w:rFonts w:hint="eastAsia" w:ascii="仿宋_GB2312" w:hAnsi="仿宋_GB2312" w:eastAsia="仿宋_GB2312" w:cs="仿宋_GB2312"/>
          <w:sz w:val="32"/>
          <w:szCs w:val="32"/>
        </w:rPr>
        <w:t>万元，其中：财政拨款收入</w:t>
      </w:r>
      <w:r>
        <w:rPr>
          <w:rFonts w:ascii="仿宋_GB2312" w:eastAsia="仿宋_GB2312" w:cs="仿宋_GB2312"/>
          <w:sz w:val="32"/>
          <w:szCs w:val="32"/>
        </w:rPr>
        <w:t>5471.47</w:t>
      </w:r>
      <w:r>
        <w:rPr>
          <w:rFonts w:hint="eastAsia" w:ascii="仿宋_GB2312" w:hAnsi="仿宋_GB2312" w:eastAsia="仿宋_GB2312" w:cs="仿宋_GB2312"/>
          <w:sz w:val="32"/>
          <w:szCs w:val="32"/>
        </w:rPr>
        <w:t>万元，占100%；上级补助收入0万元；事业收入0万元；经营收入0万元；附属单位上缴收入0万元；其他收入0万元。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eastAsia="仿宋_GB2312" w:cs="仿宋_GB2312"/>
          <w:sz w:val="32"/>
          <w:szCs w:val="32"/>
        </w:rPr>
        <w:t>7692.37</w:t>
      </w:r>
      <w:r>
        <w:rPr>
          <w:rFonts w:hint="eastAsia" w:ascii="仿宋_GB2312" w:hAnsi="仿宋_GB2312" w:eastAsia="仿宋_GB2312" w:cs="仿宋_GB2312"/>
          <w:sz w:val="32"/>
          <w:szCs w:val="32"/>
        </w:rPr>
        <w:t>万元，其中：基本支出</w:t>
      </w:r>
      <w:r>
        <w:rPr>
          <w:rFonts w:ascii="仿宋_GB2312" w:eastAsia="仿宋_GB2312" w:cs="仿宋_GB2312"/>
          <w:sz w:val="32"/>
          <w:szCs w:val="32"/>
        </w:rPr>
        <w:t>4790.6</w:t>
      </w:r>
      <w:r>
        <w:rPr>
          <w:rFonts w:hint="eastAsia" w:ascii="仿宋_GB2312" w:hAnsi="仿宋_GB2312" w:eastAsia="仿宋_GB2312" w:cs="仿宋_GB2312"/>
          <w:sz w:val="32"/>
          <w:szCs w:val="32"/>
        </w:rPr>
        <w:t>万元，占62.28%；项目支出2901.77万元，占37.72%；上缴上级支出0万元；经营支出0万元；对附属单位补助支出0万元。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eastAsia="仿宋_GB2312" w:cs="仿宋_GB2312"/>
          <w:sz w:val="32"/>
          <w:szCs w:val="32"/>
        </w:rPr>
        <w:t>7692.37</w:t>
      </w:r>
      <w:r>
        <w:rPr>
          <w:rFonts w:hint="eastAsia" w:ascii="仿宋_GB2312" w:hAnsi="仿宋_GB2312" w:eastAsia="仿宋_GB2312" w:cs="仿宋_GB2312"/>
          <w:sz w:val="32"/>
          <w:szCs w:val="32"/>
        </w:rPr>
        <w:t>万元。与上年度相比，财政拨款收、支总计各减少956.18万元，下降11.06%。主要原因是</w:t>
      </w:r>
      <w:r>
        <w:rPr>
          <w:rFonts w:hint="eastAsia" w:ascii="仿宋_GB2312" w:eastAsia="仿宋_GB2312"/>
          <w:sz w:val="32"/>
          <w:szCs w:val="32"/>
        </w:rPr>
        <w:t>厉行节约，压减支出。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7692.37</w:t>
      </w:r>
      <w:r>
        <w:rPr>
          <w:rFonts w:hint="eastAsia" w:ascii="仿宋_GB2312" w:hAnsi="仿宋_GB2312" w:eastAsia="仿宋_GB2312" w:cs="仿宋_GB2312"/>
          <w:sz w:val="32"/>
          <w:szCs w:val="32"/>
        </w:rPr>
        <w:t>万元，占支出合计的100%。与上年度相比，一般公共预算财政拨款支出增加1060.60万元，增长15.99%。主要原因是增加创业中心办公用房租赁费、消防管网改造、供热工程改造、</w:t>
      </w:r>
      <w:r>
        <w:rPr>
          <w:rFonts w:hint="eastAsia" w:ascii="仿宋_GB2312" w:eastAsia="仿宋_GB2312" w:cs="宋体"/>
          <w:kern w:val="0"/>
          <w:sz w:val="32"/>
          <w:szCs w:val="32"/>
          <w:lang w:val="zh-CN"/>
        </w:rPr>
        <w:t>新增人员工资及疫情防控物资支出</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7692.37</w:t>
      </w:r>
      <w:r>
        <w:rPr>
          <w:rFonts w:hint="eastAsia" w:ascii="仿宋_GB2312" w:hAnsi="仿宋_GB2312" w:eastAsia="仿宋_GB2312" w:cs="仿宋_GB2312"/>
          <w:sz w:val="32"/>
          <w:szCs w:val="32"/>
        </w:rPr>
        <w:t>万元，主要用于以下方面：一般公共服务（类）支出7399.42万元，占96.19%；社会保障和就业（类）支出188.39万元，占2.45%；卫生健康（类）支出59.36万元，占0.77%；节能环保（类）支出45.20万元，占0.59%。</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eastAsia="仿宋_GB2312" w:cs="仿宋_GB2312"/>
          <w:sz w:val="32"/>
          <w:szCs w:val="32"/>
        </w:rPr>
        <w:t>7692.37</w:t>
      </w:r>
      <w:r>
        <w:rPr>
          <w:rFonts w:hint="eastAsia" w:ascii="仿宋_GB2312" w:hAnsi="仿宋_GB2312" w:eastAsia="仿宋_GB2312" w:cs="仿宋_GB2312"/>
          <w:sz w:val="32"/>
          <w:szCs w:val="32"/>
        </w:rPr>
        <w:t>万元，支出决算为</w:t>
      </w:r>
      <w:r>
        <w:rPr>
          <w:rFonts w:ascii="仿宋_GB2312" w:eastAsia="仿宋_GB2312" w:cs="仿宋_GB2312"/>
          <w:sz w:val="32"/>
          <w:szCs w:val="32"/>
        </w:rPr>
        <w:t>7692.37</w:t>
      </w:r>
      <w:r>
        <w:rPr>
          <w:rFonts w:hint="eastAsia" w:ascii="仿宋_GB2312" w:hAnsi="仿宋_GB2312" w:eastAsia="仿宋_GB2312" w:cs="仿宋_GB2312"/>
          <w:sz w:val="32"/>
          <w:szCs w:val="32"/>
        </w:rPr>
        <w:t>万元，完成年初预算的100%。其中：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eastAsia="仿宋_GB2312"/>
          <w:b/>
          <w:bCs/>
          <w:sz w:val="32"/>
          <w:szCs w:val="32"/>
        </w:rPr>
        <w:t>一般公共服务支出（类）人大事务（款）事业运行（项）。</w:t>
      </w:r>
      <w:r>
        <w:rPr>
          <w:rFonts w:hint="eastAsia" w:ascii="仿宋_GB2312" w:eastAsia="仿宋_GB2312"/>
          <w:sz w:val="32"/>
          <w:szCs w:val="32"/>
        </w:rPr>
        <w:t>年初预算为25万元，支出决算为25万元，完成年初预算的100%。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eastAsia="仿宋_GB2312"/>
          <w:b/>
          <w:bCs/>
          <w:sz w:val="32"/>
          <w:szCs w:val="32"/>
        </w:rPr>
        <w:t>一般公共服务支出（类）政府事务办公厅（室）及相关机构事务（款）机关服务（项）。</w:t>
      </w:r>
      <w:r>
        <w:rPr>
          <w:rFonts w:hint="eastAsia" w:ascii="仿宋_GB2312" w:eastAsia="仿宋_GB2312"/>
          <w:sz w:val="32"/>
          <w:szCs w:val="32"/>
        </w:rPr>
        <w:t>年初预算为1346.24万元，支出决算为1346.24万元，完成年初预算的100%。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eastAsia="仿宋_GB2312"/>
          <w:b/>
          <w:bCs/>
          <w:sz w:val="32"/>
          <w:szCs w:val="32"/>
        </w:rPr>
        <w:t>3.一般公共服务支出（类）政府事务办公厅（室）及相关机构事务（款）事业运行（项）。</w:t>
      </w:r>
      <w:r>
        <w:rPr>
          <w:rFonts w:hint="eastAsia" w:ascii="仿宋_GB2312" w:eastAsia="仿宋_GB2312"/>
          <w:sz w:val="32"/>
          <w:szCs w:val="32"/>
        </w:rPr>
        <w:t>年初预算为6012.08万元，支出决算为6012.08万元，完成年初预算的100%。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hAnsi="仿宋_GB2312" w:eastAsia="仿宋_GB2312" w:cs="仿宋_GB2312"/>
          <w:color w:val="FF0000"/>
          <w:sz w:val="32"/>
          <w:szCs w:val="32"/>
        </w:rPr>
      </w:pPr>
      <w:r>
        <w:rPr>
          <w:rFonts w:hint="eastAsia" w:ascii="仿宋_GB2312" w:eastAsia="仿宋_GB2312"/>
          <w:b/>
          <w:sz w:val="32"/>
          <w:szCs w:val="32"/>
        </w:rPr>
        <w:t>4．一般公共服务</w:t>
      </w:r>
      <w:r>
        <w:rPr>
          <w:rFonts w:hint="eastAsia" w:ascii="仿宋_GB2312" w:eastAsia="仿宋_GB2312"/>
          <w:b/>
          <w:bCs/>
          <w:sz w:val="32"/>
          <w:szCs w:val="32"/>
        </w:rPr>
        <w:t>支出</w:t>
      </w:r>
      <w:r>
        <w:rPr>
          <w:rFonts w:hint="eastAsia" w:ascii="仿宋_GB2312" w:eastAsia="仿宋_GB2312"/>
          <w:b/>
          <w:sz w:val="32"/>
          <w:szCs w:val="32"/>
        </w:rPr>
        <w:t>（类）发展与改革事务（款）事业运行（项）。</w:t>
      </w:r>
      <w:r>
        <w:rPr>
          <w:rFonts w:hint="eastAsia" w:ascii="仿宋_GB2312" w:eastAsia="仿宋_GB2312"/>
          <w:sz w:val="32"/>
          <w:szCs w:val="32"/>
        </w:rPr>
        <w:t>年初预算为2.64万元，支出决算为2.64万元，完成年初预算的100%。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highlight w:val="yellow"/>
        </w:rPr>
      </w:pPr>
      <w:r>
        <w:rPr>
          <w:rFonts w:hint="eastAsia" w:ascii="仿宋_GB2312" w:eastAsia="仿宋_GB2312"/>
          <w:b/>
          <w:sz w:val="32"/>
          <w:szCs w:val="32"/>
        </w:rPr>
        <w:t>5.一般公共服务</w:t>
      </w:r>
      <w:r>
        <w:rPr>
          <w:rFonts w:hint="eastAsia" w:ascii="仿宋_GB2312" w:eastAsia="仿宋_GB2312"/>
          <w:b/>
          <w:bCs/>
          <w:sz w:val="32"/>
          <w:szCs w:val="32"/>
        </w:rPr>
        <w:t>支出</w:t>
      </w:r>
      <w:r>
        <w:rPr>
          <w:rFonts w:hint="eastAsia" w:ascii="仿宋_GB2312" w:eastAsia="仿宋_GB2312"/>
          <w:b/>
          <w:sz w:val="32"/>
          <w:szCs w:val="32"/>
        </w:rPr>
        <w:t>（类）群众团体事务（款）工会事务（项）。</w:t>
      </w:r>
      <w:r>
        <w:rPr>
          <w:rFonts w:hint="eastAsia" w:ascii="仿宋_GB2312" w:eastAsia="仿宋_GB2312"/>
          <w:sz w:val="32"/>
          <w:szCs w:val="32"/>
        </w:rPr>
        <w:t>年初预算为9.35万元，支出决算为9.35万元，完成年初预算的100%。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highlight w:val="yellow"/>
        </w:rPr>
      </w:pPr>
      <w:r>
        <w:rPr>
          <w:rFonts w:hint="eastAsia" w:ascii="仿宋_GB2312" w:eastAsia="仿宋_GB2312"/>
          <w:b/>
          <w:sz w:val="32"/>
          <w:szCs w:val="32"/>
        </w:rPr>
        <w:t>6.一般公共服务</w:t>
      </w:r>
      <w:r>
        <w:rPr>
          <w:rFonts w:hint="eastAsia" w:ascii="仿宋_GB2312" w:eastAsia="仿宋_GB2312"/>
          <w:b/>
          <w:bCs/>
          <w:sz w:val="32"/>
          <w:szCs w:val="32"/>
        </w:rPr>
        <w:t>支出</w:t>
      </w:r>
      <w:r>
        <w:rPr>
          <w:rFonts w:hint="eastAsia" w:ascii="仿宋_GB2312" w:eastAsia="仿宋_GB2312"/>
          <w:b/>
          <w:sz w:val="32"/>
          <w:szCs w:val="32"/>
        </w:rPr>
        <w:t>（类）组织事务（款）行政运行（项）。</w:t>
      </w:r>
      <w:r>
        <w:rPr>
          <w:rFonts w:hint="eastAsia" w:ascii="仿宋_GB2312" w:eastAsia="仿宋_GB2312"/>
          <w:sz w:val="32"/>
          <w:szCs w:val="32"/>
        </w:rPr>
        <w:t>年初预算为4.11万元，支出决算为4.11万元，完成年初预算的100%。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hAnsi="仿宋_GB2312" w:eastAsia="仿宋_GB2312" w:cs="仿宋_GB2312"/>
          <w:sz w:val="32"/>
          <w:szCs w:val="32"/>
        </w:rPr>
      </w:pPr>
      <w:r>
        <w:rPr>
          <w:rFonts w:hint="eastAsia" w:ascii="仿宋_GB2312" w:eastAsia="仿宋_GB2312"/>
          <w:b/>
          <w:bCs/>
          <w:sz w:val="32"/>
          <w:szCs w:val="32"/>
        </w:rPr>
        <w:t>7.社会保障和就业支出（类）行政事业单位养老支出（款）行政单位离退休（项）。</w:t>
      </w:r>
      <w:r>
        <w:rPr>
          <w:rFonts w:hint="eastAsia" w:ascii="仿宋_GB2312" w:eastAsia="仿宋_GB2312"/>
          <w:sz w:val="32"/>
          <w:szCs w:val="32"/>
        </w:rPr>
        <w:t>年初预算为29.94万元，支出决算为29.94万元，完成年初预算的100%。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rPr>
      </w:pPr>
      <w:r>
        <w:rPr>
          <w:rFonts w:hint="eastAsia" w:ascii="仿宋_GB2312" w:eastAsia="仿宋_GB2312"/>
          <w:b/>
          <w:bCs/>
          <w:sz w:val="32"/>
          <w:szCs w:val="32"/>
        </w:rPr>
        <w:t>8.社会保障和就业支出（类）行政事业单位养老支出（款）事业单位离退休（项）。</w:t>
      </w:r>
      <w:r>
        <w:rPr>
          <w:rFonts w:hint="eastAsia" w:ascii="仿宋_GB2312" w:eastAsia="仿宋_GB2312"/>
          <w:sz w:val="32"/>
          <w:szCs w:val="32"/>
        </w:rPr>
        <w:t>年初预算为47.27万元，支出决算为47.27万元，完成年初预算的100%。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hAnsi="仿宋_GB2312" w:eastAsia="仿宋_GB2312" w:cs="仿宋_GB2312"/>
          <w:color w:val="FF0000"/>
          <w:sz w:val="32"/>
          <w:szCs w:val="32"/>
        </w:rPr>
      </w:pPr>
      <w:r>
        <w:rPr>
          <w:rFonts w:hint="eastAsia" w:ascii="仿宋_GB2312" w:eastAsia="仿宋_GB2312"/>
          <w:b/>
          <w:bCs/>
          <w:sz w:val="32"/>
          <w:szCs w:val="32"/>
        </w:rPr>
        <w:t>9.社会保障和就业支出（类）行政事业单位养老支出（款）机关事业单位基本养老保险缴费支出（项）。</w:t>
      </w:r>
      <w:r>
        <w:rPr>
          <w:rFonts w:hint="eastAsia" w:ascii="仿宋_GB2312" w:eastAsia="仿宋_GB2312"/>
          <w:sz w:val="32"/>
          <w:szCs w:val="32"/>
        </w:rPr>
        <w:t>年初预算为86.49万元，支出决算为86.49万元，完成年初预算的100%。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highlight w:val="yellow"/>
        </w:rPr>
      </w:pPr>
      <w:r>
        <w:rPr>
          <w:rFonts w:hint="eastAsia" w:ascii="仿宋_GB2312" w:eastAsia="仿宋_GB2312"/>
          <w:b/>
          <w:bCs/>
          <w:sz w:val="32"/>
          <w:szCs w:val="32"/>
        </w:rPr>
        <w:t>10.社会保障和就业支出（类）行政事业单位养老支出（款）机关事业单位职业年金缴费支出（项）。</w:t>
      </w:r>
      <w:r>
        <w:rPr>
          <w:rFonts w:hint="eastAsia" w:ascii="仿宋_GB2312" w:eastAsia="仿宋_GB2312"/>
          <w:sz w:val="32"/>
          <w:szCs w:val="32"/>
        </w:rPr>
        <w:t>年初预算为19.43万元，支出决算为19.43万元，完成年初预算的100%。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rPr>
      </w:pPr>
      <w:r>
        <w:rPr>
          <w:rFonts w:hint="eastAsia" w:ascii="仿宋_GB2312" w:eastAsia="仿宋_GB2312"/>
          <w:b/>
          <w:bCs/>
          <w:sz w:val="32"/>
          <w:szCs w:val="32"/>
        </w:rPr>
        <w:t>11.社会保障和就业支出（类）抚恤（款）死亡抚恤（项）。</w:t>
      </w:r>
      <w:r>
        <w:rPr>
          <w:rFonts w:hint="eastAsia" w:ascii="仿宋_GB2312" w:eastAsia="仿宋_GB2312"/>
          <w:sz w:val="32"/>
          <w:szCs w:val="32"/>
        </w:rPr>
        <w:t>年初预算为5.26万元，支出决算为5.26万元，完成年初预算的100%。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rPr>
      </w:pPr>
      <w:r>
        <w:rPr>
          <w:rFonts w:hint="eastAsia" w:ascii="仿宋_GB2312" w:eastAsia="仿宋_GB2312"/>
          <w:b/>
          <w:bCs/>
          <w:sz w:val="32"/>
          <w:szCs w:val="32"/>
        </w:rPr>
        <w:t>12.卫生健康支出（类）行政事业单位医疗（款）行政单位医疗（项）。</w:t>
      </w:r>
      <w:r>
        <w:rPr>
          <w:rFonts w:hint="eastAsia" w:ascii="仿宋_GB2312" w:eastAsia="仿宋_GB2312"/>
          <w:sz w:val="32"/>
          <w:szCs w:val="32"/>
        </w:rPr>
        <w:t>年初预算为17.04万元，支出决算为17.04万元，完成年初预算的100%。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rPr>
      </w:pPr>
      <w:r>
        <w:rPr>
          <w:rFonts w:hint="eastAsia" w:ascii="仿宋_GB2312" w:eastAsia="仿宋_GB2312"/>
          <w:b/>
          <w:bCs/>
          <w:sz w:val="32"/>
          <w:szCs w:val="32"/>
        </w:rPr>
        <w:t>13.卫生健康支出（类）行政事业单位医疗（款）事业单位医疗（项）。</w:t>
      </w:r>
      <w:r>
        <w:rPr>
          <w:rFonts w:hint="eastAsia" w:ascii="仿宋_GB2312" w:eastAsia="仿宋_GB2312"/>
          <w:sz w:val="32"/>
          <w:szCs w:val="32"/>
        </w:rPr>
        <w:t>年初预算为26.09万元，支出决算为26.09万元，完成年初预算的100%。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eastAsia="仿宋_GB2312"/>
          <w:sz w:val="32"/>
          <w:szCs w:val="32"/>
        </w:rPr>
      </w:pPr>
      <w:r>
        <w:rPr>
          <w:rFonts w:hint="eastAsia" w:ascii="仿宋_GB2312" w:eastAsia="仿宋_GB2312"/>
          <w:b/>
          <w:bCs/>
          <w:sz w:val="32"/>
          <w:szCs w:val="32"/>
        </w:rPr>
        <w:t>14.卫生健康支出（类）行政事业单位医疗（款）公务员医疗补助（项）。</w:t>
      </w:r>
      <w:r>
        <w:rPr>
          <w:rFonts w:hint="eastAsia" w:ascii="仿宋_GB2312" w:eastAsia="仿宋_GB2312"/>
          <w:sz w:val="32"/>
          <w:szCs w:val="32"/>
        </w:rPr>
        <w:t>年初预算为16.23万元，支出决算为16.23万元，完成年初预算的100%。</w:t>
      </w:r>
      <w:r>
        <w:rPr>
          <w:rFonts w:hint="eastAsia" w:ascii="仿宋_GB2312" w:hAnsi="仿宋_GB2312" w:eastAsia="仿宋_GB2312" w:cs="仿宋_GB2312"/>
          <w:sz w:val="32"/>
          <w:szCs w:val="32"/>
        </w:rPr>
        <w:t>决算数与年初预算数不存在差异。</w:t>
      </w:r>
    </w:p>
    <w:p>
      <w:pPr>
        <w:ind w:firstLine="642" w:firstLineChars="200"/>
        <w:rPr>
          <w:rFonts w:ascii="仿宋_GB2312" w:hAnsi="仿宋_GB2312" w:eastAsia="仿宋_GB2312" w:cs="仿宋_GB2312"/>
          <w:sz w:val="32"/>
          <w:szCs w:val="32"/>
        </w:rPr>
      </w:pPr>
      <w:r>
        <w:rPr>
          <w:rFonts w:hint="eastAsia" w:ascii="仿宋_GB2312" w:eastAsia="仿宋_GB2312"/>
          <w:b/>
          <w:bCs/>
          <w:sz w:val="32"/>
          <w:szCs w:val="32"/>
        </w:rPr>
        <w:t>15.节能环保支出（类）污染防治（款）其他污染防治支出（项）。</w:t>
      </w:r>
      <w:r>
        <w:rPr>
          <w:rFonts w:hint="eastAsia" w:ascii="仿宋_GB2312" w:eastAsia="仿宋_GB2312"/>
          <w:sz w:val="32"/>
          <w:szCs w:val="32"/>
        </w:rPr>
        <w:t>年初预算为45.20万元，支出决算为45.20万元，完成年初预算的100%</w:t>
      </w:r>
      <w:r>
        <w:rPr>
          <w:rFonts w:hint="eastAsia"/>
        </w:rPr>
        <w:t>。</w:t>
      </w:r>
      <w:r>
        <w:rPr>
          <w:rFonts w:hint="eastAsia" w:ascii="仿宋_GB2312" w:hAnsi="仿宋_GB2312" w:eastAsia="仿宋_GB2312" w:cs="仿宋_GB2312"/>
          <w:sz w:val="32"/>
          <w:szCs w:val="32"/>
        </w:rPr>
        <w:t>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年度一般公共预算财政拨款基本支出4790.60万元。其中：人员经费</w:t>
      </w:r>
      <w:r>
        <w:rPr>
          <w:rFonts w:ascii="仿宋_GB2312" w:eastAsia="仿宋_GB2312" w:cs="仿宋_GB2312"/>
          <w:sz w:val="32"/>
          <w:szCs w:val="32"/>
        </w:rPr>
        <w:t>1594.53</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公务员医疗补助缴费、其他社会保障缴费、住房公积金、其他工资福利支出、退休费、抚恤金、生活补助、奖励金；公用经费</w:t>
      </w:r>
      <w:r>
        <w:rPr>
          <w:rFonts w:ascii="仿宋_GB2312" w:eastAsia="仿宋_GB2312" w:cs="仿宋_GB2312"/>
          <w:sz w:val="32"/>
          <w:szCs w:val="32"/>
        </w:rPr>
        <w:t>3196.07</w:t>
      </w:r>
      <w:r>
        <w:rPr>
          <w:rFonts w:hint="eastAsia" w:ascii="仿宋_GB2312" w:hAnsi="仿宋_GB2312" w:eastAsia="仿宋_GB2312" w:cs="仿宋_GB2312"/>
          <w:sz w:val="32"/>
          <w:szCs w:val="32"/>
        </w:rPr>
        <w:t>万元，主要包括：办公费、印刷费、咨询费、水费、电费、邮电费、取暖费、物业管理费、差旅费、维修（护）费、租赁费、培训费、公务接待费、专用材料费、劳务费、委托业务费、工会经费、福利费、公务用车运行维护费、其他交通费用、办公设备购置、无形资产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eastAsia="仿宋_GB2312" w:cs="仿宋_GB2312"/>
          <w:sz w:val="32"/>
          <w:szCs w:val="32"/>
        </w:rPr>
        <w:t>255.52</w:t>
      </w:r>
      <w:r>
        <w:rPr>
          <w:rFonts w:hint="eastAsia" w:ascii="仿宋_GB2312" w:hAnsi="仿宋_GB2312" w:eastAsia="仿宋_GB2312" w:cs="仿宋_GB2312"/>
          <w:sz w:val="32"/>
          <w:szCs w:val="32"/>
        </w:rPr>
        <w:t>万元，支出决算为</w:t>
      </w:r>
      <w:r>
        <w:rPr>
          <w:rFonts w:ascii="仿宋_GB2312" w:eastAsia="仿宋_GB2312" w:cs="仿宋_GB2312"/>
          <w:sz w:val="32"/>
          <w:szCs w:val="32"/>
        </w:rPr>
        <w:t>248.18</w:t>
      </w:r>
      <w:r>
        <w:rPr>
          <w:rFonts w:hint="eastAsia" w:ascii="仿宋_GB2312" w:hAnsi="仿宋_GB2312" w:eastAsia="仿宋_GB2312" w:cs="仿宋_GB2312"/>
          <w:sz w:val="32"/>
          <w:szCs w:val="32"/>
        </w:rPr>
        <w:t>万元，完成预算的</w:t>
      </w:r>
      <w:r>
        <w:rPr>
          <w:rFonts w:ascii="仿宋_GB2312" w:eastAsia="仿宋_GB2312" w:cs="仿宋_GB2312"/>
          <w:sz w:val="32"/>
          <w:szCs w:val="32"/>
        </w:rPr>
        <w:t>97.13%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eastAsia="仿宋_GB2312"/>
          <w:sz w:val="32"/>
          <w:szCs w:val="32"/>
        </w:rPr>
        <w:t>厉行节约，压减支出。</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247.79万元，完成预算的98.22%，占99.84%；公务接待费支出决算0.40万元，完成预算的31.60%，占0.16%。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预算为2万元，支出决算为0万元。决算数与预算数存在差异的主要原因是我部门未发生因公出国（境）任务。全年因公出国（境）团组0个，累计0人次。</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预算为252.27万元，支出决算为247.79万元，完成预算的98.22%。决算数与预算数存在差异的主要原因是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247.79万元。主要用于车辆运行保障。</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年期末，部门开支财政拨款的公务用车保有量为67辆。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预算为1.25万元，支出决算为0.40万元，完成预算的31.60%。决算数与预算数存在差异的主要原因是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0.40万元。主要用于公务接待。</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年共接待国内来访团组6个、来宾64人次（不包括陪同人员）。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年度政府性基金预算财政拨款支出年初预算为0万元，支出决算为0万元。主要原因：</w:t>
      </w:r>
      <w:r>
        <w:rPr>
          <w:rFonts w:hint="eastAsia" w:ascii="仿宋_GB2312" w:eastAsia="仿宋_GB2312"/>
          <w:sz w:val="32"/>
          <w:szCs w:val="32"/>
        </w:rPr>
        <w:t>我部门2021年度没有政府性基金收入，也没用使用政府性基金安排的支出。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ind w:firstLine="640" w:firstLineChars="200"/>
        <w:rPr>
          <w:rFonts w:asci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年度机关运行经费年初预算为397.47万元，支出决算为397.47万元，完成年初预算的100%。决算数与年初预算数不存在差异。</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ascii="仿宋_GB2312" w:eastAsia="仿宋_GB2312" w:cs="仿宋_GB2312"/>
          <w:sz w:val="32"/>
          <w:szCs w:val="32"/>
        </w:rPr>
        <w:t>72.98</w:t>
      </w:r>
      <w:r>
        <w:rPr>
          <w:rFonts w:hint="eastAsia" w:ascii="仿宋_GB2312" w:hAnsi="仿宋_GB2312" w:eastAsia="仿宋_GB2312" w:cs="仿宋_GB2312"/>
          <w:sz w:val="32"/>
          <w:szCs w:val="32"/>
        </w:rPr>
        <w:t>万元，其中：政府采购货物支出</w:t>
      </w:r>
      <w:r>
        <w:rPr>
          <w:rFonts w:ascii="仿宋_GB2312" w:eastAsia="仿宋_GB2312" w:cs="仿宋_GB2312"/>
          <w:sz w:val="32"/>
          <w:szCs w:val="32"/>
        </w:rPr>
        <w:t>72.98</w:t>
      </w:r>
      <w:r>
        <w:rPr>
          <w:rFonts w:hint="eastAsia" w:ascii="仿宋_GB2312" w:hAnsi="仿宋_GB2312" w:eastAsia="仿宋_GB2312" w:cs="仿宋_GB2312"/>
          <w:sz w:val="32"/>
          <w:szCs w:val="32"/>
        </w:rPr>
        <w:t>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部门共有车辆67辆，其中：省级领导干部用车0辆、主要领导干部用车0辆、机要通信用车2辆、应急保障车0辆、执法执勤用车0辆、特种专业技术用车0辆、离退休干部用车0辆、其他用车65辆；单位价值50万元以上通用设备1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2021年度我部门纳入预算绩效管理的支出总额为7692.37万元，其中：基本支出4790.60万元；支出项目35个，支出金额2901.77万元。开展项目绩效自评项目35个，自评金额2901.77万元；纳入重点绩效评价0个，评价金额0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eastAsia="仿宋_GB2312"/>
          <w:sz w:val="32"/>
          <w:szCs w:val="32"/>
        </w:rPr>
        <w:t>较好，各项目标和指标完成工作都取得了较好成效</w:t>
      </w:r>
      <w:r>
        <w:rPr>
          <w:rFonts w:hint="eastAsia" w:ascii="仿宋_GB2312" w:hAnsi="仿宋_GB2312" w:eastAsia="仿宋_GB2312" w:cs="仿宋_GB2312"/>
          <w:sz w:val="32"/>
          <w:szCs w:val="32"/>
        </w:rPr>
        <w:t>。二是项目绩效自评情况。我部门共有35个项目批复了绩效目标。其中：</w:t>
      </w:r>
    </w:p>
    <w:p>
      <w:pPr>
        <w:widowControl/>
        <w:ind w:left="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许昌市机关事务中心后勤一处</w:t>
      </w:r>
      <w:r>
        <w:rPr>
          <w:rFonts w:hint="eastAsia" w:ascii="仿宋_GB2312" w:hAnsi="仿宋_GB2312" w:eastAsia="仿宋_GB2312" w:cs="仿宋_GB2312"/>
          <w:sz w:val="32"/>
          <w:szCs w:val="32"/>
        </w:rPr>
        <w:t>14个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许昌市机关事务中心后勤二处</w:t>
      </w:r>
      <w:r>
        <w:rPr>
          <w:rFonts w:hint="eastAsia" w:ascii="仿宋_GB2312" w:hAnsi="仿宋_GB2312" w:eastAsia="仿宋_GB2312" w:cs="仿宋_GB2312"/>
          <w:sz w:val="32"/>
          <w:szCs w:val="32"/>
        </w:rPr>
        <w:t>17个</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许昌市机关公务用车服务中心</w:t>
      </w:r>
      <w:r>
        <w:rPr>
          <w:rFonts w:hint="eastAsia" w:ascii="仿宋_GB2312" w:hAnsi="仿宋_GB2312" w:eastAsia="仿宋_GB2312" w:cs="仿宋_GB2312"/>
          <w:sz w:val="32"/>
          <w:szCs w:val="32"/>
        </w:rPr>
        <w:t>4个</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97.24分。其中：35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宋体"/>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EEjHAS4AQAAYAMAAA4AAAAAAAAAAQAgAAAANAEAAGRycy9l&#10;Mm9Eb2MueG1sUEsFBgAAAAAGAAYAWQEAAF4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dwD417oBAABjAwAADgAAAAAAAAABACAAAAA0AQAAZHJz&#10;L2Uyb0RvYy54bWxQSwUGAAAAAAYABgBZAQAAYA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mWWfCuQEAAGADAAAOAAAAAAAAAAEAIAAAADQBAABkcnMv&#10;ZTJvRG9jLnhtbFBLBQYAAAAABgAGAFkBAABf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zU1ODUwYWRjZjBlZDg4NDY0MjNlNTEwYTVmMGIxMTgifQ=="/>
  </w:docVars>
  <w:rsids>
    <w:rsidRoot w:val="000270E8"/>
    <w:rsid w:val="000245CB"/>
    <w:rsid w:val="000270E8"/>
    <w:rsid w:val="000335B5"/>
    <w:rsid w:val="0004108C"/>
    <w:rsid w:val="00052C29"/>
    <w:rsid w:val="00057AFD"/>
    <w:rsid w:val="00076410"/>
    <w:rsid w:val="00081835"/>
    <w:rsid w:val="000904B3"/>
    <w:rsid w:val="00094C2B"/>
    <w:rsid w:val="00094E5C"/>
    <w:rsid w:val="000C073B"/>
    <w:rsid w:val="000C1142"/>
    <w:rsid w:val="000D1D3D"/>
    <w:rsid w:val="001003F8"/>
    <w:rsid w:val="00132EC1"/>
    <w:rsid w:val="00133386"/>
    <w:rsid w:val="00144159"/>
    <w:rsid w:val="001718A8"/>
    <w:rsid w:val="00182842"/>
    <w:rsid w:val="001844F0"/>
    <w:rsid w:val="00184D53"/>
    <w:rsid w:val="001905F2"/>
    <w:rsid w:val="00196E2B"/>
    <w:rsid w:val="00197592"/>
    <w:rsid w:val="001C32F0"/>
    <w:rsid w:val="001D61B1"/>
    <w:rsid w:val="001F5040"/>
    <w:rsid w:val="001F5AD9"/>
    <w:rsid w:val="002006EB"/>
    <w:rsid w:val="0020478D"/>
    <w:rsid w:val="00214AE1"/>
    <w:rsid w:val="0026087B"/>
    <w:rsid w:val="00260D70"/>
    <w:rsid w:val="00261AE0"/>
    <w:rsid w:val="00281114"/>
    <w:rsid w:val="00282C7F"/>
    <w:rsid w:val="00287811"/>
    <w:rsid w:val="00292B4B"/>
    <w:rsid w:val="002A6352"/>
    <w:rsid w:val="002B2595"/>
    <w:rsid w:val="002B3F94"/>
    <w:rsid w:val="002C171D"/>
    <w:rsid w:val="002E5A6D"/>
    <w:rsid w:val="002E6A86"/>
    <w:rsid w:val="00304D04"/>
    <w:rsid w:val="00305B88"/>
    <w:rsid w:val="00315FEB"/>
    <w:rsid w:val="00375D54"/>
    <w:rsid w:val="00387977"/>
    <w:rsid w:val="0041489C"/>
    <w:rsid w:val="0042585F"/>
    <w:rsid w:val="00445CAC"/>
    <w:rsid w:val="00472E19"/>
    <w:rsid w:val="00472E32"/>
    <w:rsid w:val="00487869"/>
    <w:rsid w:val="004D5275"/>
    <w:rsid w:val="004D6B73"/>
    <w:rsid w:val="004E7A76"/>
    <w:rsid w:val="004F63DB"/>
    <w:rsid w:val="00505190"/>
    <w:rsid w:val="00507364"/>
    <w:rsid w:val="00546F7C"/>
    <w:rsid w:val="00547CE3"/>
    <w:rsid w:val="005A0C2F"/>
    <w:rsid w:val="005B1AE2"/>
    <w:rsid w:val="005B3E48"/>
    <w:rsid w:val="005C0051"/>
    <w:rsid w:val="005E3397"/>
    <w:rsid w:val="005E518E"/>
    <w:rsid w:val="00607D67"/>
    <w:rsid w:val="006228C4"/>
    <w:rsid w:val="00636C37"/>
    <w:rsid w:val="00642D89"/>
    <w:rsid w:val="006512DD"/>
    <w:rsid w:val="00656BEF"/>
    <w:rsid w:val="00656D75"/>
    <w:rsid w:val="00657E86"/>
    <w:rsid w:val="00673EF7"/>
    <w:rsid w:val="006841E9"/>
    <w:rsid w:val="0069063D"/>
    <w:rsid w:val="0069449E"/>
    <w:rsid w:val="006C07F0"/>
    <w:rsid w:val="006C644A"/>
    <w:rsid w:val="006C7D84"/>
    <w:rsid w:val="006F24DF"/>
    <w:rsid w:val="0071043C"/>
    <w:rsid w:val="007148E8"/>
    <w:rsid w:val="0072696F"/>
    <w:rsid w:val="00733DAA"/>
    <w:rsid w:val="00742BA0"/>
    <w:rsid w:val="00753545"/>
    <w:rsid w:val="00764156"/>
    <w:rsid w:val="007706D7"/>
    <w:rsid w:val="0077749E"/>
    <w:rsid w:val="007879ED"/>
    <w:rsid w:val="007A48A3"/>
    <w:rsid w:val="007C029F"/>
    <w:rsid w:val="007C7F49"/>
    <w:rsid w:val="007D2A21"/>
    <w:rsid w:val="007E795A"/>
    <w:rsid w:val="00813DB0"/>
    <w:rsid w:val="008276AB"/>
    <w:rsid w:val="00843461"/>
    <w:rsid w:val="008651E7"/>
    <w:rsid w:val="00872946"/>
    <w:rsid w:val="0088023A"/>
    <w:rsid w:val="008858FB"/>
    <w:rsid w:val="00892654"/>
    <w:rsid w:val="00894B41"/>
    <w:rsid w:val="008B5427"/>
    <w:rsid w:val="008C7CD0"/>
    <w:rsid w:val="00903F6B"/>
    <w:rsid w:val="009173F9"/>
    <w:rsid w:val="00923261"/>
    <w:rsid w:val="009248F6"/>
    <w:rsid w:val="009308CB"/>
    <w:rsid w:val="0094152B"/>
    <w:rsid w:val="00943E41"/>
    <w:rsid w:val="00943FE1"/>
    <w:rsid w:val="00950270"/>
    <w:rsid w:val="00962F58"/>
    <w:rsid w:val="00975A04"/>
    <w:rsid w:val="00987E71"/>
    <w:rsid w:val="009A6619"/>
    <w:rsid w:val="009E4097"/>
    <w:rsid w:val="009F0FBB"/>
    <w:rsid w:val="009F546E"/>
    <w:rsid w:val="009F5866"/>
    <w:rsid w:val="00A0429B"/>
    <w:rsid w:val="00A079F0"/>
    <w:rsid w:val="00A42F43"/>
    <w:rsid w:val="00A51982"/>
    <w:rsid w:val="00A57BF7"/>
    <w:rsid w:val="00A6245E"/>
    <w:rsid w:val="00A71DC1"/>
    <w:rsid w:val="00A83D8A"/>
    <w:rsid w:val="00A93E7D"/>
    <w:rsid w:val="00AA260E"/>
    <w:rsid w:val="00AA44CB"/>
    <w:rsid w:val="00AA67CD"/>
    <w:rsid w:val="00AD6761"/>
    <w:rsid w:val="00AE2FEA"/>
    <w:rsid w:val="00AE600E"/>
    <w:rsid w:val="00AE67B3"/>
    <w:rsid w:val="00AF06B7"/>
    <w:rsid w:val="00B0083B"/>
    <w:rsid w:val="00B040BC"/>
    <w:rsid w:val="00B13CFA"/>
    <w:rsid w:val="00B209B8"/>
    <w:rsid w:val="00B20BBC"/>
    <w:rsid w:val="00B249F3"/>
    <w:rsid w:val="00B649BE"/>
    <w:rsid w:val="00B653A5"/>
    <w:rsid w:val="00B710DD"/>
    <w:rsid w:val="00BE5A85"/>
    <w:rsid w:val="00BF4E6A"/>
    <w:rsid w:val="00BF5718"/>
    <w:rsid w:val="00C13474"/>
    <w:rsid w:val="00C17BB8"/>
    <w:rsid w:val="00C3106E"/>
    <w:rsid w:val="00C40024"/>
    <w:rsid w:val="00C5433F"/>
    <w:rsid w:val="00C60609"/>
    <w:rsid w:val="00C65F98"/>
    <w:rsid w:val="00C95CC1"/>
    <w:rsid w:val="00CA3F44"/>
    <w:rsid w:val="00CB03ED"/>
    <w:rsid w:val="00CB212F"/>
    <w:rsid w:val="00CD76BE"/>
    <w:rsid w:val="00CE212D"/>
    <w:rsid w:val="00CE3DE2"/>
    <w:rsid w:val="00CE4B38"/>
    <w:rsid w:val="00D034E0"/>
    <w:rsid w:val="00D1321A"/>
    <w:rsid w:val="00D30ADF"/>
    <w:rsid w:val="00D33CF8"/>
    <w:rsid w:val="00D41028"/>
    <w:rsid w:val="00D4631E"/>
    <w:rsid w:val="00D6315E"/>
    <w:rsid w:val="00D633EB"/>
    <w:rsid w:val="00D652C2"/>
    <w:rsid w:val="00D74EE2"/>
    <w:rsid w:val="00D83E19"/>
    <w:rsid w:val="00D86CAD"/>
    <w:rsid w:val="00DA00C9"/>
    <w:rsid w:val="00DB200E"/>
    <w:rsid w:val="00DB65F5"/>
    <w:rsid w:val="00E01C3E"/>
    <w:rsid w:val="00E13099"/>
    <w:rsid w:val="00E4339F"/>
    <w:rsid w:val="00E60B05"/>
    <w:rsid w:val="00E629EA"/>
    <w:rsid w:val="00E6777C"/>
    <w:rsid w:val="00EA510E"/>
    <w:rsid w:val="00EB05A3"/>
    <w:rsid w:val="00ED38B7"/>
    <w:rsid w:val="00EE051D"/>
    <w:rsid w:val="00F0131A"/>
    <w:rsid w:val="00F0726C"/>
    <w:rsid w:val="00F14C17"/>
    <w:rsid w:val="00F17041"/>
    <w:rsid w:val="00F218CF"/>
    <w:rsid w:val="00F44937"/>
    <w:rsid w:val="00F61A47"/>
    <w:rsid w:val="00F63DAC"/>
    <w:rsid w:val="00F84422"/>
    <w:rsid w:val="00F878F1"/>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DFB322E"/>
    <w:rsid w:val="2E4A2F05"/>
    <w:rsid w:val="2ECC1061"/>
    <w:rsid w:val="2FA476AD"/>
    <w:rsid w:val="2FFF1528"/>
    <w:rsid w:val="303F7540"/>
    <w:rsid w:val="31DD00BF"/>
    <w:rsid w:val="3293174C"/>
    <w:rsid w:val="32BB38D4"/>
    <w:rsid w:val="32C9376D"/>
    <w:rsid w:val="33780472"/>
    <w:rsid w:val="33AF0905"/>
    <w:rsid w:val="355932F4"/>
    <w:rsid w:val="35611882"/>
    <w:rsid w:val="36746FC3"/>
    <w:rsid w:val="368763AE"/>
    <w:rsid w:val="36B84FA3"/>
    <w:rsid w:val="395D59E7"/>
    <w:rsid w:val="39A93932"/>
    <w:rsid w:val="3A915562"/>
    <w:rsid w:val="3B8D4765"/>
    <w:rsid w:val="3C000DBA"/>
    <w:rsid w:val="3DC045D3"/>
    <w:rsid w:val="3E504FFB"/>
    <w:rsid w:val="3E615CD0"/>
    <w:rsid w:val="3E9C47F6"/>
    <w:rsid w:val="3F7FB47E"/>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4FFBDB04"/>
    <w:rsid w:val="51331326"/>
    <w:rsid w:val="51740A7F"/>
    <w:rsid w:val="51A5541E"/>
    <w:rsid w:val="51C96242"/>
    <w:rsid w:val="53906AE1"/>
    <w:rsid w:val="54F46F60"/>
    <w:rsid w:val="55A37BEA"/>
    <w:rsid w:val="56362CD2"/>
    <w:rsid w:val="5784687B"/>
    <w:rsid w:val="57846959"/>
    <w:rsid w:val="578E6A87"/>
    <w:rsid w:val="59FFE249"/>
    <w:rsid w:val="5AC2203A"/>
    <w:rsid w:val="5CBB3334"/>
    <w:rsid w:val="5D115FAF"/>
    <w:rsid w:val="5FB738DC"/>
    <w:rsid w:val="5FEF5138"/>
    <w:rsid w:val="62811722"/>
    <w:rsid w:val="62E75A72"/>
    <w:rsid w:val="64571880"/>
    <w:rsid w:val="649125B6"/>
    <w:rsid w:val="652F4C1A"/>
    <w:rsid w:val="666D37F1"/>
    <w:rsid w:val="67087D8F"/>
    <w:rsid w:val="671F687E"/>
    <w:rsid w:val="67F415F8"/>
    <w:rsid w:val="682640D1"/>
    <w:rsid w:val="684B73E5"/>
    <w:rsid w:val="6A047A2A"/>
    <w:rsid w:val="6D3B4A14"/>
    <w:rsid w:val="6DFF8AAB"/>
    <w:rsid w:val="6E7262B2"/>
    <w:rsid w:val="6EB7314A"/>
    <w:rsid w:val="6EFB7548"/>
    <w:rsid w:val="6F3831C3"/>
    <w:rsid w:val="6F7245B6"/>
    <w:rsid w:val="6F8B71C1"/>
    <w:rsid w:val="6FD6570F"/>
    <w:rsid w:val="6FEF040F"/>
    <w:rsid w:val="70753482"/>
    <w:rsid w:val="707B522A"/>
    <w:rsid w:val="71B5A9F7"/>
    <w:rsid w:val="71E5D94C"/>
    <w:rsid w:val="73194D05"/>
    <w:rsid w:val="73A83B0E"/>
    <w:rsid w:val="744D3EF9"/>
    <w:rsid w:val="74794411"/>
    <w:rsid w:val="74F9D7CF"/>
    <w:rsid w:val="75867C40"/>
    <w:rsid w:val="75B10B26"/>
    <w:rsid w:val="75CFF118"/>
    <w:rsid w:val="76432199"/>
    <w:rsid w:val="76F44829"/>
    <w:rsid w:val="77A267C0"/>
    <w:rsid w:val="77BD248E"/>
    <w:rsid w:val="78882278"/>
    <w:rsid w:val="78B118A6"/>
    <w:rsid w:val="79135044"/>
    <w:rsid w:val="7A7D0F99"/>
    <w:rsid w:val="7D3DBDD2"/>
    <w:rsid w:val="7E4A0E7C"/>
    <w:rsid w:val="7EFD449D"/>
    <w:rsid w:val="7F0BDF85"/>
    <w:rsid w:val="7FEEA777"/>
    <w:rsid w:val="7FF6E3A4"/>
    <w:rsid w:val="7FF8E2B9"/>
    <w:rsid w:val="9B7D4DA0"/>
    <w:rsid w:val="D6FF8660"/>
    <w:rsid w:val="ED5781FE"/>
    <w:rsid w:val="EDF6C427"/>
    <w:rsid w:val="EF7F7385"/>
    <w:rsid w:val="EFFF84F6"/>
    <w:rsid w:val="F7DC6F40"/>
    <w:rsid w:val="F9D75498"/>
    <w:rsid w:val="FF59D0A3"/>
    <w:rsid w:val="FF7A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2159</Words>
  <Characters>12311</Characters>
  <Lines>102</Lines>
  <Paragraphs>28</Paragraphs>
  <TotalTime>185</TotalTime>
  <ScaleCrop>false</ScaleCrop>
  <LinksUpToDate>false</LinksUpToDate>
  <CharactersWithSpaces>14442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huanghe</cp:lastModifiedBy>
  <cp:lastPrinted>2023-02-20T02:58:00Z</cp:lastPrinted>
  <dcterms:modified xsi:type="dcterms:W3CDTF">2023-05-19T15:59:16Z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7480F815DDF44B9DA5297C80E9130E7B</vt:lpwstr>
  </property>
</Properties>
</file>