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许昌市文学艺术界联合会</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许昌市文学艺术界联合会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rPr>
      </w:pPr>
    </w:p>
    <w:p>
      <w:pPr>
        <w:widowControl/>
        <w:numPr>
          <w:ilvl w:val="0"/>
          <w:numId w:val="0"/>
        </w:numPr>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lang w:eastAsia="zh-CN"/>
        </w:rPr>
        <w:t>许昌市文学艺术界联合会</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spacing w:line="579" w:lineRule="exact"/>
        <w:ind w:firstLine="640" w:firstLineChars="200"/>
        <w:outlineLvl w:val="1"/>
        <w:rPr>
          <w:rFonts w:hint="eastAsia" w:ascii="仿宋_GB2312" w:hAnsi="仿宋" w:eastAsia="仿宋_GB2312"/>
          <w:sz w:val="32"/>
        </w:rPr>
      </w:pPr>
      <w:r>
        <w:rPr>
          <w:rFonts w:hint="eastAsia" w:ascii="仿宋_GB2312" w:eastAsia="仿宋_GB2312"/>
          <w:sz w:val="32"/>
        </w:rPr>
        <w:t>许昌市文学艺术界联合会主要职责是：作为党和政府联系文艺界的桥梁和纽带，贯彻党的方针和政策，并向党和政府及时反映文艺界的情况；发挥文联的人才和专业优势，通过发展会员，组织文艺创作和评论、报刊出版、学术交流、理论研究、人才培养，开展国内外文化交流和各种文艺活动，繁荣、发展我市的社会主义文艺事业；协同有关部门搞好文学艺术重点项目的生产、实施；维护文艺家的正当权益；对许昌市作家协会、戏剧家协会、音乐舞蹈家协会、美术家协会、书法家协会、摄影家协会、曲艺家协会、民间文艺家协会及县（市）文联、企业（行业）文联等团体会员，履行联络、协调、服务和业务指导的职责；完成市委、市政府交办的其它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olor w:val="auto"/>
          <w:kern w:val="0"/>
          <w:sz w:val="32"/>
        </w:rPr>
      </w:pPr>
      <w:r>
        <w:rPr>
          <w:rFonts w:hint="eastAsia" w:ascii="仿宋_GB2312" w:eastAsia="仿宋_GB2312"/>
          <w:sz w:val="32"/>
        </w:rPr>
        <w:t>许昌市文学艺术界联合会</w:t>
      </w:r>
      <w:r>
        <w:rPr>
          <w:rFonts w:hint="eastAsia" w:ascii="仿宋_GB2312" w:hAnsi="仿宋_GB2312" w:eastAsia="仿宋_GB2312"/>
          <w:color w:val="auto"/>
          <w:kern w:val="0"/>
          <w:sz w:val="32"/>
        </w:rPr>
        <w:t>内设机构3个，包括：编辑部、协会部、办公室。</w:t>
      </w:r>
    </w:p>
    <w:p>
      <w:pPr>
        <w:widowControl/>
        <w:ind w:firstLine="640" w:firstLineChars="200"/>
        <w:jc w:val="left"/>
        <w:rPr>
          <w:rFonts w:hint="eastAsia" w:ascii="仿宋_GB2312" w:hAnsi="仿宋_GB2312" w:eastAsia="仿宋_GB2312"/>
          <w:color w:val="auto"/>
          <w:kern w:val="0"/>
          <w:sz w:val="32"/>
        </w:rPr>
      </w:pPr>
      <w:r>
        <w:rPr>
          <w:rFonts w:hint="eastAsia" w:ascii="仿宋_GB2312" w:hAnsi="仿宋_GB2312" w:eastAsia="仿宋_GB2312"/>
          <w:color w:val="auto"/>
          <w:kern w:val="0"/>
          <w:sz w:val="32"/>
        </w:rPr>
        <w:t>从决算单位构成看，</w:t>
      </w:r>
      <w:r>
        <w:rPr>
          <w:rFonts w:hint="eastAsia" w:ascii="仿宋_GB2312" w:eastAsia="仿宋_GB2312"/>
          <w:sz w:val="32"/>
        </w:rPr>
        <w:t>许昌市文学艺术界联合会</w:t>
      </w:r>
      <w:r>
        <w:rPr>
          <w:rFonts w:hint="eastAsia" w:ascii="仿宋_GB2312" w:hAnsi="仿宋_GB2312" w:eastAsia="仿宋_GB2312"/>
          <w:color w:val="auto"/>
          <w:kern w:val="0"/>
          <w:sz w:val="32"/>
        </w:rPr>
        <w:t>部门决算包括：本级决算</w:t>
      </w:r>
      <w:r>
        <w:rPr>
          <w:rFonts w:hint="eastAsia" w:ascii="仿宋_GB2312" w:hAnsi="仿宋_GB2312" w:eastAsia="仿宋_GB2312"/>
          <w:color w:val="auto"/>
          <w:kern w:val="0"/>
          <w:sz w:val="32"/>
          <w:lang w:eastAsia="zh-CN"/>
        </w:rPr>
        <w:t>（</w:t>
      </w:r>
      <w:r>
        <w:rPr>
          <w:rFonts w:hint="eastAsia" w:ascii="仿宋_GB2312" w:hAnsi="仿宋_GB2312" w:eastAsia="仿宋_GB2312"/>
          <w:color w:val="auto"/>
          <w:kern w:val="0"/>
          <w:sz w:val="32"/>
          <w:lang w:val="en-US" w:eastAsia="zh-CN"/>
        </w:rPr>
        <w:t>1个</w:t>
      </w:r>
      <w:r>
        <w:rPr>
          <w:rFonts w:hint="eastAsia" w:ascii="仿宋_GB2312" w:hAnsi="仿宋_GB2312" w:eastAsia="仿宋_GB2312"/>
          <w:color w:val="auto"/>
          <w:kern w:val="0"/>
          <w:sz w:val="32"/>
          <w:lang w:eastAsia="zh-CN"/>
        </w:rPr>
        <w:t>）</w:t>
      </w:r>
      <w:r>
        <w:rPr>
          <w:rFonts w:hint="eastAsia" w:ascii="仿宋_GB2312" w:hAnsi="仿宋_GB2312" w:eastAsia="仿宋_GB2312"/>
          <w:color w:val="auto"/>
          <w:kern w:val="0"/>
          <w:sz w:val="32"/>
        </w:rPr>
        <w:t>、所属单位决算</w:t>
      </w:r>
      <w:r>
        <w:rPr>
          <w:rFonts w:hint="eastAsia" w:ascii="仿宋_GB2312" w:hAnsi="仿宋_GB2312" w:eastAsia="仿宋_GB2312"/>
          <w:color w:val="auto"/>
          <w:kern w:val="0"/>
          <w:sz w:val="32"/>
          <w:lang w:eastAsia="zh-CN"/>
        </w:rPr>
        <w:t>（</w:t>
      </w:r>
      <w:r>
        <w:rPr>
          <w:rFonts w:hint="eastAsia" w:ascii="仿宋_GB2312" w:hAnsi="仿宋_GB2312" w:eastAsia="仿宋_GB2312"/>
          <w:color w:val="auto"/>
          <w:kern w:val="0"/>
          <w:sz w:val="32"/>
          <w:lang w:val="en-US" w:eastAsia="zh-CN"/>
        </w:rPr>
        <w:t>1个</w:t>
      </w:r>
      <w:r>
        <w:rPr>
          <w:rFonts w:hint="eastAsia" w:ascii="仿宋_GB2312" w:hAnsi="仿宋_GB2312" w:eastAsia="仿宋_GB2312"/>
          <w:color w:val="auto"/>
          <w:kern w:val="0"/>
          <w:sz w:val="32"/>
          <w:lang w:eastAsia="zh-CN"/>
        </w:rPr>
        <w:t>）</w:t>
      </w:r>
      <w:r>
        <w:rPr>
          <w:rFonts w:hint="eastAsia" w:ascii="仿宋_GB2312" w:hAnsi="仿宋_GB2312" w:eastAsia="仿宋_GB2312"/>
          <w:color w:val="auto"/>
          <w:kern w:val="0"/>
          <w:sz w:val="32"/>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本决算为汇总决算，纳入本部门2021年度部门决算编制范围的单位共2个，</w:t>
      </w:r>
      <w:r>
        <w:rPr>
          <w:rFonts w:hint="eastAsia" w:ascii="仿宋_GB2312" w:hAnsi="仿宋_GB2312" w:eastAsia="仿宋_GB2312" w:cs="仿宋_GB2312"/>
          <w:b w:val="0"/>
          <w:bCs w:val="0"/>
          <w:color w:val="auto"/>
          <w:kern w:val="0"/>
          <w:sz w:val="32"/>
          <w:szCs w:val="32"/>
          <w:highlight w:val="none"/>
          <w:lang w:val="en-US" w:eastAsia="zh-CN"/>
        </w:rPr>
        <w:t>其中二级预算单位1个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olor w:val="auto"/>
          <w:kern w:val="0"/>
          <w:sz w:val="32"/>
        </w:rPr>
        <w:t>许昌市文学艺术界联合会</w:t>
      </w:r>
      <w:r>
        <w:rPr>
          <w:rFonts w:hint="eastAsia" w:ascii="仿宋_GB2312" w:hAnsi="仿宋_GB2312" w:eastAsia="仿宋_GB2312" w:cs="仿宋_GB2312"/>
          <w:kern w:val="0"/>
          <w:sz w:val="32"/>
          <w:szCs w:val="32"/>
          <w:highlight w:val="none"/>
          <w:lang w:val="en-US" w:eastAsia="zh-CN"/>
        </w:rPr>
        <w:t>(本级)</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olor w:val="auto"/>
          <w:kern w:val="0"/>
          <w:sz w:val="32"/>
        </w:rPr>
        <w:t>许昌市文学和书画院</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8"/>
        <w:gridCol w:w="839"/>
        <w:gridCol w:w="1125"/>
        <w:gridCol w:w="4504"/>
        <w:gridCol w:w="839"/>
        <w:gridCol w:w="2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689"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689"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部门：许昌市文学艺术界联合会</w:t>
            </w:r>
          </w:p>
        </w:tc>
        <w:tc>
          <w:tcPr>
            <w:tcW w:w="296"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6"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89"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96"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3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38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617"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3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386.66</w:t>
            </w: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386.66</w:t>
            </w: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82.16</w:t>
            </w: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3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468.81</w:t>
            </w:r>
          </w:p>
        </w:tc>
        <w:tc>
          <w:tcPr>
            <w:tcW w:w="15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3"/>
        <w:gridCol w:w="222"/>
        <w:gridCol w:w="227"/>
        <w:gridCol w:w="3980"/>
        <w:gridCol w:w="1077"/>
        <w:gridCol w:w="1077"/>
        <w:gridCol w:w="760"/>
        <w:gridCol w:w="632"/>
        <w:gridCol w:w="632"/>
        <w:gridCol w:w="890"/>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070"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070"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部门：许昌市文学艺术界联合会</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63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8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38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6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2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2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1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7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0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6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7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6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386.66</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386.66</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271.89</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271.89</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271.89</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271.89</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227.00</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227.00</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105.68</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105.68</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105.68</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105.68</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95.90</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95.90</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40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3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2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6"/>
        <w:gridCol w:w="249"/>
        <w:gridCol w:w="252"/>
        <w:gridCol w:w="4456"/>
        <w:gridCol w:w="1026"/>
        <w:gridCol w:w="1026"/>
        <w:gridCol w:w="899"/>
        <w:gridCol w:w="516"/>
        <w:gridCol w:w="516"/>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98"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7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4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98"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部门：许昌市文学艺术界联合会</w:t>
            </w:r>
          </w:p>
        </w:tc>
        <w:tc>
          <w:tcPr>
            <w:tcW w:w="8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7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4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947"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6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6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64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572"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4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4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4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947"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947"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468.81</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410.36</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58.45</w:t>
            </w: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344.58</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286.13</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58.45</w:t>
            </w: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344.58</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286.13</w:t>
            </w: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58.45</w:t>
            </w: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258.23</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258.23</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58.45</w:t>
            </w:r>
          </w:p>
        </w:tc>
        <w:tc>
          <w:tcPr>
            <w:tcW w:w="3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58.45</w:t>
            </w: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102.58</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102.58</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5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3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6"/>
        <w:gridCol w:w="505"/>
        <w:gridCol w:w="993"/>
        <w:gridCol w:w="3550"/>
        <w:gridCol w:w="505"/>
        <w:gridCol w:w="993"/>
        <w:gridCol w:w="1347"/>
        <w:gridCol w:w="1129"/>
        <w:gridCol w:w="2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09"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8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2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09"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部门：许昌市文学艺术界联合会</w:t>
            </w:r>
          </w:p>
        </w:tc>
        <w:tc>
          <w:tcPr>
            <w:tcW w:w="18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2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07"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92"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109"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6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16"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9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0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72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109"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9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2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2"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2"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386.66</w:t>
            </w: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344.58</w:t>
            </w: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344.58</w:t>
            </w: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386.66</w:t>
            </w: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468.81</w:t>
            </w: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468.81</w:t>
            </w: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82.16</w:t>
            </w: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82.16</w:t>
            </w:r>
          </w:p>
        </w:tc>
        <w:tc>
          <w:tcPr>
            <w:tcW w:w="126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0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2"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468.81</w:t>
            </w:r>
          </w:p>
        </w:tc>
        <w:tc>
          <w:tcPr>
            <w:tcW w:w="12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468.81</w:t>
            </w: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468.81</w:t>
            </w:r>
          </w:p>
        </w:tc>
        <w:tc>
          <w:tcPr>
            <w:tcW w:w="4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1"/>
        <w:gridCol w:w="283"/>
        <w:gridCol w:w="286"/>
        <w:gridCol w:w="5091"/>
        <w:gridCol w:w="1134"/>
        <w:gridCol w:w="1409"/>
        <w:gridCol w:w="2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369"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369"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部门：许昌市文学艺术界联合会</w:t>
            </w:r>
          </w:p>
        </w:tc>
        <w:tc>
          <w:tcPr>
            <w:tcW w:w="1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66"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3"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796"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0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9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570"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0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66"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66"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468.81</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410.36</w:t>
            </w:r>
          </w:p>
        </w:tc>
        <w:tc>
          <w:tcPr>
            <w:tcW w:w="7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344.58</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286.13</w:t>
            </w:r>
          </w:p>
        </w:tc>
        <w:tc>
          <w:tcPr>
            <w:tcW w:w="7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344.58</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286.13</w:t>
            </w:r>
          </w:p>
        </w:tc>
        <w:tc>
          <w:tcPr>
            <w:tcW w:w="7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258.23</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258.23</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58.45</w:t>
            </w:r>
          </w:p>
        </w:tc>
        <w:tc>
          <w:tcPr>
            <w:tcW w:w="4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113.86</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102.58</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102.58</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7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7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7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9"/>
        <w:gridCol w:w="2591"/>
        <w:gridCol w:w="1134"/>
        <w:gridCol w:w="963"/>
        <w:gridCol w:w="1613"/>
        <w:gridCol w:w="926"/>
        <w:gridCol w:w="989"/>
        <w:gridCol w:w="2131"/>
        <w:gridCol w:w="1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88"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2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3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609"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部门：许昌市文学艺术界联合会</w:t>
            </w:r>
          </w:p>
        </w:tc>
        <w:tc>
          <w:tcPr>
            <w:tcW w:w="40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3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1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2987"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2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0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4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57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5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75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3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207.69</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99.97</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90.67</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73.47</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20" w:type="pct"/>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机关事业单位基本养老保险缴费</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20" w:type="pct"/>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职工基本医疗保险缴费</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757" w:type="pct"/>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信息网络及软件购置更新</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36.80</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757" w:type="pct"/>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地上附着物和青苗补偿</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39.63</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63.07</w:t>
            </w: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757" w:type="pct"/>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对民间非营利组织和群众性自治组织补贴</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573" w:type="pct"/>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公务用车运行维护费</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5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75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2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5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7"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20" w:type="pct"/>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其他对个人和家庭的补助</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573" w:type="pct"/>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税金及附加费用</w:t>
            </w:r>
          </w:p>
        </w:tc>
        <w:tc>
          <w:tcPr>
            <w:tcW w:w="3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7"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73" w:type="pct"/>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其他商品和服务支出</w:t>
            </w:r>
          </w:p>
        </w:tc>
        <w:tc>
          <w:tcPr>
            <w:tcW w:w="3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5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7"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09"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310.39</w:t>
            </w:r>
          </w:p>
        </w:tc>
        <w:tc>
          <w:tcPr>
            <w:tcW w:w="2352"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6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36"/>
        <w:gridCol w:w="1241"/>
        <w:gridCol w:w="756"/>
        <w:gridCol w:w="829"/>
        <w:gridCol w:w="1043"/>
        <w:gridCol w:w="923"/>
        <w:gridCol w:w="756"/>
        <w:gridCol w:w="1241"/>
        <w:gridCol w:w="756"/>
        <w:gridCol w:w="884"/>
        <w:gridCol w:w="1043"/>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部门：许昌市文学艺术界联合会</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0" w:type="auto"/>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0" w:type="auto"/>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72"/>
        <w:gridCol w:w="298"/>
        <w:gridCol w:w="298"/>
        <w:gridCol w:w="1471"/>
        <w:gridCol w:w="1756"/>
        <w:gridCol w:w="1096"/>
        <w:gridCol w:w="733"/>
        <w:gridCol w:w="1096"/>
        <w:gridCol w:w="1096"/>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部门：许昌市文学艺术界联合会</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jc w:val="center"/>
        <w:rPr>
          <w:rFonts w:hint="eastAsia" w:ascii="仿宋_GB2312" w:hAnsi="仿宋_GB2312" w:eastAsia="仿宋_GB2312" w:cs="仿宋_GB2312"/>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w:t>
      </w:r>
      <w:r>
        <w:rPr>
          <w:rFonts w:hint="eastAsia" w:ascii="仿宋_GB2312" w:hAnsi="仿宋_GB2312" w:eastAsia="仿宋_GB2312" w:cs="仿宋_GB2312"/>
          <w:sz w:val="32"/>
          <w:szCs w:val="32"/>
          <w:lang w:eastAsia="zh-CN"/>
        </w:rPr>
        <w:t>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kern w:val="2"/>
          <w:sz w:val="32"/>
        </w:rPr>
        <w:t>2021年度收、支总计均为468.81万元。与上年度相比，收、支总计各增加7.36万元，增长1.6</w:t>
      </w:r>
      <w:r>
        <w:rPr>
          <w:rFonts w:hint="eastAsia" w:ascii="仿宋_GB2312" w:hAnsi="仿宋_GB2312" w:eastAsia="仿宋_GB2312"/>
          <w:kern w:val="2"/>
          <w:sz w:val="32"/>
          <w:lang w:val="en-US" w:eastAsia="zh-CN"/>
        </w:rPr>
        <w:t>0</w:t>
      </w:r>
      <w:r>
        <w:rPr>
          <w:rFonts w:hint="eastAsia" w:ascii="仿宋_GB2312" w:hAnsi="仿宋_GB2312" w:eastAsia="仿宋_GB2312"/>
          <w:kern w:val="2"/>
          <w:sz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人员晋级晋档和新增考录人员</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kern w:val="2"/>
          <w:sz w:val="32"/>
          <w:lang w:val="en-US"/>
        </w:rPr>
        <w:t>2021年度收入合计386.66万元，其中：财政拨款收入386.66万元，占100%；上级补助收入0万元；事业收入0万元；经营收入0万元；附属单位上缴收入0万元；其他收入0万元。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val="0"/>
        <w:autoSpaceDE w:val="0"/>
        <w:autoSpaceDN w:val="0"/>
        <w:spacing w:line="590" w:lineRule="exact"/>
        <w:ind w:firstLine="640"/>
        <w:jc w:val="both"/>
        <w:rPr>
          <w:rFonts w:hint="default" w:ascii="Times New Roman" w:hAnsi="Times New Roman" w:eastAsia="Times New Roman"/>
          <w:sz w:val="18"/>
          <w:lang w:val="zh-CN"/>
        </w:rPr>
      </w:pPr>
      <w:r>
        <w:rPr>
          <w:rFonts w:hint="eastAsia" w:ascii="仿宋_GB2312" w:hAnsi="仿宋_GB2312" w:eastAsia="仿宋_GB2312"/>
          <w:kern w:val="2"/>
          <w:sz w:val="32"/>
          <w:lang w:val="en-US"/>
        </w:rPr>
        <w:t>2021年度支出合计468.81万元，其中：基本支出410.36万元，占87.53%；项目支出58.45万元，占12.47%；上缴上级支出0万元；经营支出0万元；对附属单位补助支出0万元。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kern w:val="2"/>
          <w:sz w:val="32"/>
          <w:lang w:val="en-US"/>
        </w:rPr>
        <w:t>2021年度财政拨款收、支总计均为468.81万元。与上年度相比，财政拨款收、支总计各增加13.22万元，增长2.9</w:t>
      </w:r>
      <w:r>
        <w:rPr>
          <w:rFonts w:hint="eastAsia" w:ascii="仿宋_GB2312" w:hAnsi="仿宋_GB2312" w:eastAsia="仿宋_GB2312"/>
          <w:kern w:val="2"/>
          <w:sz w:val="32"/>
          <w:lang w:val="en-US" w:eastAsia="zh-CN"/>
        </w:rPr>
        <w:t>0</w:t>
      </w:r>
      <w:r>
        <w:rPr>
          <w:rFonts w:hint="eastAsia" w:ascii="仿宋_GB2312" w:hAnsi="仿宋_GB2312" w:eastAsia="仿宋_GB2312"/>
          <w:kern w:val="2"/>
          <w:sz w:val="32"/>
          <w:lang w:val="en-US"/>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人员晋级晋档和新增考录人员</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val="0"/>
        <w:autoSpaceDE w:val="0"/>
        <w:autoSpaceDN w:val="0"/>
        <w:ind w:firstLine="640" w:firstLineChars="200"/>
        <w:rPr>
          <w:rFonts w:hint="eastAsia" w:ascii="宋体" w:hAnsi="宋体" w:eastAsia="宋体"/>
          <w:sz w:val="18"/>
          <w:lang w:val="zh-CN"/>
        </w:rPr>
      </w:pPr>
      <w:r>
        <w:rPr>
          <w:rFonts w:hint="eastAsia" w:ascii="仿宋_GB2312" w:hAnsi="仿宋_GB2312" w:eastAsia="仿宋_GB2312"/>
          <w:kern w:val="2"/>
          <w:sz w:val="32"/>
          <w:lang w:val="en-US"/>
        </w:rPr>
        <w:t>2021年度一般公共预算财政拨款支出468.81万元，占支出合计的100%。与上年度相比，一般公共预算财政拨款支出增加92.93万元，增长24.72%。主要原因是</w:t>
      </w:r>
      <w:r>
        <w:rPr>
          <w:rFonts w:hint="eastAsia" w:ascii="仿宋_GB2312" w:hAnsi="仿宋_GB2312" w:eastAsia="仿宋_GB2312" w:cs="仿宋_GB2312"/>
          <w:color w:val="auto"/>
          <w:sz w:val="32"/>
          <w:szCs w:val="32"/>
          <w:highlight w:val="none"/>
          <w:lang w:val="en-US" w:eastAsia="zh-CN" w:bidi="ar-SA"/>
        </w:rPr>
        <w:t>二级机构许昌市文学和书画院新增考录人员4人</w:t>
      </w:r>
      <w:r>
        <w:rPr>
          <w:rFonts w:hint="eastAsia" w:ascii="仿宋_GB2312" w:hAnsi="仿宋_GB2312" w:eastAsia="仿宋_GB2312"/>
          <w:kern w:val="2"/>
          <w:sz w:val="32"/>
          <w:lang w:val="en-US"/>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468.81</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zh-CN" w:eastAsia="zh-CN" w:bidi="ar-SA"/>
        </w:rPr>
        <w:t>一般公共服务（</w:t>
      </w:r>
      <w:r>
        <w:rPr>
          <w:rFonts w:hint="eastAsia" w:ascii="仿宋_GB2312" w:hAnsi="仿宋_GB2312" w:eastAsia="仿宋_GB2312" w:cs="仿宋_GB2312"/>
          <w:color w:val="auto"/>
          <w:sz w:val="32"/>
          <w:szCs w:val="32"/>
          <w:highlight w:val="none"/>
          <w:lang w:val="en-US" w:eastAsia="zh-CN" w:bidi="ar-SA"/>
        </w:rPr>
        <w:t>类</w:t>
      </w:r>
      <w:r>
        <w:rPr>
          <w:rFonts w:hint="eastAsia" w:ascii="仿宋_GB2312" w:hAnsi="仿宋_GB2312" w:eastAsia="仿宋_GB2312" w:cs="仿宋_GB2312"/>
          <w:color w:val="auto"/>
          <w:sz w:val="32"/>
          <w:szCs w:val="32"/>
          <w:highlight w:val="none"/>
          <w:lang w:val="zh-CN" w:eastAsia="zh-CN" w:bidi="ar-SA"/>
        </w:rPr>
        <w:t>）支出</w:t>
      </w:r>
      <w:r>
        <w:rPr>
          <w:rFonts w:hint="eastAsia" w:ascii="仿宋_GB2312" w:hAnsi="仿宋_GB2312" w:eastAsia="仿宋_GB2312" w:cs="仿宋_GB2312"/>
          <w:color w:val="auto"/>
          <w:sz w:val="32"/>
          <w:szCs w:val="32"/>
          <w:highlight w:val="none"/>
          <w:lang w:val="en-US" w:eastAsia="zh-CN" w:bidi="ar-SA"/>
        </w:rPr>
        <w:t>344.58</w:t>
      </w:r>
      <w:r>
        <w:rPr>
          <w:rFonts w:hint="eastAsia" w:ascii="仿宋_GB2312" w:hAnsi="仿宋_GB2312" w:eastAsia="仿宋_GB2312" w:cs="仿宋_GB2312"/>
          <w:color w:val="auto"/>
          <w:sz w:val="32"/>
          <w:szCs w:val="32"/>
          <w:highlight w:val="none"/>
          <w:lang w:val="zh-CN" w:eastAsia="zh-CN" w:bidi="ar-SA"/>
        </w:rPr>
        <w:t>万元，占</w:t>
      </w:r>
      <w:r>
        <w:rPr>
          <w:rFonts w:hint="eastAsia" w:ascii="仿宋_GB2312" w:hAnsi="仿宋_GB2312" w:eastAsia="仿宋_GB2312" w:cs="仿宋_GB2312"/>
          <w:color w:val="auto"/>
          <w:sz w:val="32"/>
          <w:szCs w:val="32"/>
          <w:highlight w:val="none"/>
          <w:lang w:val="en-US" w:eastAsia="zh-CN" w:bidi="ar-SA"/>
        </w:rPr>
        <w:t>73.50</w:t>
      </w:r>
      <w:r>
        <w:rPr>
          <w:rFonts w:hint="eastAsia" w:ascii="仿宋_GB2312" w:hAnsi="仿宋_GB2312" w:eastAsia="仿宋_GB2312" w:cs="仿宋_GB2312"/>
          <w:color w:val="auto"/>
          <w:sz w:val="32"/>
          <w:szCs w:val="32"/>
          <w:highlight w:val="none"/>
          <w:lang w:val="zh-CN" w:eastAsia="zh-CN" w:bidi="ar-SA"/>
        </w:rPr>
        <w:t>%；</w:t>
      </w:r>
      <w:r>
        <w:rPr>
          <w:rFonts w:hint="eastAsia" w:ascii="仿宋_GB2312" w:hAnsi="仿宋_GB2312" w:eastAsia="仿宋_GB2312" w:cs="仿宋_GB2312"/>
          <w:color w:val="auto"/>
          <w:sz w:val="32"/>
          <w:szCs w:val="32"/>
          <w:highlight w:val="none"/>
          <w:lang w:val="en-US" w:eastAsia="zh-CN" w:bidi="ar-SA"/>
        </w:rPr>
        <w:t>社会保障和就业（类）</w:t>
      </w:r>
      <w:r>
        <w:rPr>
          <w:rFonts w:hint="eastAsia" w:ascii="仿宋_GB2312" w:hAnsi="仿宋_GB2312" w:eastAsia="仿宋_GB2312" w:cs="仿宋_GB2312"/>
          <w:color w:val="auto"/>
          <w:sz w:val="32"/>
          <w:szCs w:val="32"/>
          <w:highlight w:val="none"/>
          <w:lang w:val="zh-CN" w:eastAsia="zh-CN" w:bidi="ar-SA"/>
        </w:rPr>
        <w:t>支出</w:t>
      </w:r>
      <w:r>
        <w:rPr>
          <w:rFonts w:hint="eastAsia" w:ascii="仿宋_GB2312" w:hAnsi="仿宋_GB2312" w:eastAsia="仿宋_GB2312" w:cs="仿宋_GB2312"/>
          <w:color w:val="auto"/>
          <w:sz w:val="32"/>
          <w:szCs w:val="32"/>
          <w:highlight w:val="none"/>
          <w:lang w:val="en-US" w:eastAsia="zh-CN" w:bidi="ar-SA"/>
        </w:rPr>
        <w:t>113.86</w:t>
      </w:r>
      <w:r>
        <w:rPr>
          <w:rFonts w:hint="eastAsia" w:ascii="仿宋_GB2312" w:hAnsi="仿宋_GB2312" w:eastAsia="仿宋_GB2312" w:cs="仿宋_GB2312"/>
          <w:color w:val="auto"/>
          <w:sz w:val="32"/>
          <w:szCs w:val="32"/>
          <w:highlight w:val="none"/>
          <w:lang w:val="zh-CN" w:eastAsia="zh-CN" w:bidi="ar-SA"/>
        </w:rPr>
        <w:t>万元，占</w:t>
      </w:r>
      <w:r>
        <w:rPr>
          <w:rFonts w:hint="eastAsia" w:ascii="仿宋_GB2312" w:hAnsi="仿宋_GB2312" w:eastAsia="仿宋_GB2312" w:cs="仿宋_GB2312"/>
          <w:color w:val="auto"/>
          <w:sz w:val="32"/>
          <w:szCs w:val="32"/>
          <w:highlight w:val="none"/>
          <w:lang w:val="en-US" w:eastAsia="zh-CN" w:bidi="ar-SA"/>
        </w:rPr>
        <w:t>24.29</w:t>
      </w:r>
      <w:r>
        <w:rPr>
          <w:rFonts w:hint="eastAsia" w:ascii="仿宋_GB2312" w:hAnsi="仿宋_GB2312" w:eastAsia="仿宋_GB2312" w:cs="仿宋_GB2312"/>
          <w:color w:val="auto"/>
          <w:sz w:val="32"/>
          <w:szCs w:val="32"/>
          <w:highlight w:val="none"/>
          <w:lang w:val="zh-CN" w:eastAsia="zh-CN" w:bidi="ar-SA"/>
        </w:rPr>
        <w:t>%；</w:t>
      </w:r>
      <w:r>
        <w:rPr>
          <w:rFonts w:hint="eastAsia" w:ascii="仿宋_GB2312" w:hAnsi="仿宋_GB2312" w:eastAsia="仿宋_GB2312" w:cs="仿宋_GB2312"/>
          <w:color w:val="auto"/>
          <w:sz w:val="32"/>
          <w:szCs w:val="32"/>
          <w:highlight w:val="none"/>
          <w:lang w:val="en-US" w:eastAsia="zh-CN" w:bidi="ar-SA"/>
        </w:rPr>
        <w:t>卫生健康（类）支出10.37万元，占2.21</w:t>
      </w:r>
      <w:r>
        <w:rPr>
          <w:rFonts w:hint="eastAsia" w:ascii="仿宋_GB2312" w:hAnsi="仿宋_GB2312" w:eastAsia="仿宋_GB2312" w:cs="仿宋_GB2312"/>
          <w:color w:val="auto"/>
          <w:sz w:val="32"/>
          <w:szCs w:val="32"/>
          <w:highlight w:val="none"/>
          <w:lang w:val="zh-CN" w:eastAsia="zh-CN" w:bidi="ar-SA"/>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339.38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468.81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138.14</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1．一般公共服务支出（类）群众团体事务（款）行政运行（项）。</w:t>
      </w:r>
      <w:r>
        <w:rPr>
          <w:rFonts w:hint="eastAsia" w:ascii="仿宋_GB2312" w:hAnsi="仿宋_GB2312" w:eastAsia="仿宋_GB2312" w:cs="仿宋_GB2312"/>
          <w:color w:val="auto"/>
          <w:sz w:val="32"/>
          <w:szCs w:val="32"/>
          <w:highlight w:val="none"/>
          <w:lang w:val="en-US" w:eastAsia="zh-CN"/>
        </w:rPr>
        <w:t>年初预算为224.78万元，支出决算为258.23万元，完成年初预算的114.88%。决算数与年初预算数存在差异的主要原因是根据实际情况支付相关经费，部分上年工作任务今年完成支付。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2．一般公共服务支出（类）群众团体事务（款）一般行政管理事务（项）。</w:t>
      </w:r>
      <w:r>
        <w:rPr>
          <w:rFonts w:hint="eastAsia" w:ascii="仿宋_GB2312" w:hAnsi="仿宋_GB2312" w:eastAsia="仿宋_GB2312" w:cs="仿宋_GB2312"/>
          <w:color w:val="auto"/>
          <w:sz w:val="32"/>
          <w:szCs w:val="32"/>
          <w:highlight w:val="none"/>
          <w:lang w:val="en-US" w:eastAsia="zh-CN"/>
        </w:rPr>
        <w:t>年初预算为0万元，支出决算为58.45万元。决算数与年初预算数存在差异的主要原因一是年中追加项目“三国文化研究基地经费”，二是拨付离休干部药费。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年初预算为0.89万元，支出决算为0.89万元，完成年初预算的100%。决算数与年初预算数不存在差异。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4．一般公共服务支出（类）群众团体事务（款）事业运行（项）。</w:t>
      </w:r>
      <w:r>
        <w:rPr>
          <w:rFonts w:hint="eastAsia" w:ascii="仿宋_GB2312" w:hAnsi="仿宋_GB2312" w:eastAsia="仿宋_GB2312" w:cs="仿宋_GB2312"/>
          <w:color w:val="auto"/>
          <w:sz w:val="32"/>
          <w:szCs w:val="32"/>
          <w:highlight w:val="none"/>
          <w:lang w:val="en-US" w:eastAsia="zh-CN"/>
        </w:rPr>
        <w:t>年初预算为13.33万元，支出决算为27.01万元，完成年初预算的202.63%。决算数与年初预算数存在差异的原因是二级机构新增考录人员4人，申请追加人员经费。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年初预算为78.91万元，支出决算为102.58万元，完成年初预算的130%。决算数与年初预算数存在差异的主要原因是离退休人员工资补贴调整。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年初预算为10.92万元，支出决算为11.28万元，完成年初预算的103.30%。决算数与年初预算数存在差异的主要原因是养老保险缴费基数调整。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年初预算为5.15万元，支出决算为5.11万元，完成年初预算的99.22%。决算数与年初预算数存在差异的主要原因是医疗保险缴费基数调整。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年初预算为0.50万元，支出决算为0.45万元，完成年初预算的90%。决算数与年初预算数存在差异的主要原因是医疗保险缴费基数调整。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lang w:val="en-US" w:eastAsia="zh-CN"/>
        </w:rPr>
      </w:pPr>
      <w:r>
        <w:rPr>
          <w:rFonts w:hint="eastAsia" w:ascii="仿宋_GB2312" w:hAnsi="仿宋_GB2312" w:eastAsia="仿宋_GB2312" w:cs="仿宋_GB2312"/>
          <w:b/>
          <w:bCs/>
          <w:color w:val="auto"/>
          <w:sz w:val="32"/>
          <w:szCs w:val="32"/>
          <w:highlight w:val="none"/>
          <w:lang w:val="en-US" w:eastAsia="zh-CN"/>
        </w:rPr>
        <w:t>9．卫生健康支出（类）行政事业单位医疗（款）公务员医疗补助（项）。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年初预算为4.90万元，支出决算为4.82万元，完成年初预算的98.37%。决算数与年初预算数存在差异的主要原因是缴费基数调整。</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410.36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310.39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其他工资福利支出、离休费、退休费；公用经费</w:t>
      </w:r>
      <w:r>
        <w:rPr>
          <w:rFonts w:hint="eastAsia" w:ascii="仿宋_GB2312" w:hAnsi="仿宋_GB2312" w:eastAsia="仿宋_GB2312" w:cs="仿宋_GB2312"/>
          <w:sz w:val="32"/>
          <w:szCs w:val="32"/>
          <w:highlight w:val="none"/>
          <w:lang w:val="en-US" w:eastAsia="zh-CN"/>
        </w:rPr>
        <w:t>99.97</w:t>
      </w:r>
      <w:r>
        <w:rPr>
          <w:rFonts w:hint="eastAsia" w:ascii="仿宋_GB2312" w:hAnsi="仿宋_GB2312" w:eastAsia="仿宋_GB2312" w:cs="仿宋_GB2312"/>
          <w:sz w:val="32"/>
          <w:szCs w:val="32"/>
          <w:highlight w:val="none"/>
        </w:rPr>
        <w:t>万元，主要包括：办公费、水费、电费、邮电费、差旅费、维修（护）费、租赁费、会议费、公务接待费、委托业务费、工会经费、福利费、公务用车运行维护费、其他交通费用、其他商品和服务支出。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6.30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61.30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bidi="ar-SA"/>
        </w:rPr>
        <w:t>公务活动用车减少，</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公务接待活动增加</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val="0"/>
        <w:autoSpaceDE w:val="0"/>
        <w:autoSpaceDN w:val="0"/>
        <w:spacing w:line="590" w:lineRule="exact"/>
        <w:ind w:firstLine="640"/>
        <w:jc w:val="both"/>
        <w:rPr>
          <w:rFonts w:hint="default" w:ascii="Times New Roman" w:hAnsi="Times New Roman" w:eastAsia="Times New Roman"/>
          <w:sz w:val="18"/>
          <w:lang w:val="en-US"/>
        </w:rPr>
      </w:pPr>
      <w:r>
        <w:rPr>
          <w:rFonts w:hint="eastAsia" w:ascii="仿宋_GB2312" w:hAnsi="仿宋_GB2312" w:eastAsia="仿宋_GB2312"/>
          <w:kern w:val="2"/>
          <w:sz w:val="32"/>
          <w:lang w:val="en-US"/>
        </w:rPr>
        <w:t>2021年度</w:t>
      </w:r>
      <w:r>
        <w:rPr>
          <w:rFonts w:hint="default" w:ascii="Times New Roman" w:hAnsi="Times New Roman" w:eastAsia="Times New Roman"/>
          <w:kern w:val="2"/>
          <w:sz w:val="32"/>
          <w:lang w:val="en-US"/>
        </w:rPr>
        <w:t>“</w:t>
      </w:r>
      <w:r>
        <w:rPr>
          <w:rFonts w:hint="eastAsia" w:ascii="仿宋_GB2312" w:hAnsi="仿宋_GB2312" w:eastAsia="仿宋_GB2312"/>
          <w:kern w:val="2"/>
          <w:sz w:val="32"/>
          <w:lang w:val="en-US"/>
        </w:rPr>
        <w:t>三公</w:t>
      </w:r>
      <w:r>
        <w:rPr>
          <w:rFonts w:hint="default" w:ascii="Times New Roman" w:hAnsi="Times New Roman" w:eastAsia="Times New Roman"/>
          <w:kern w:val="2"/>
          <w:sz w:val="32"/>
          <w:lang w:val="en-US"/>
        </w:rPr>
        <w:t>”</w:t>
      </w:r>
      <w:r>
        <w:rPr>
          <w:rFonts w:hint="eastAsia" w:ascii="仿宋_GB2312" w:hAnsi="仿宋_GB2312" w:eastAsia="仿宋_GB2312"/>
          <w:kern w:val="2"/>
          <w:sz w:val="32"/>
          <w:lang w:val="en-US"/>
        </w:rPr>
        <w:t>经费财政拨款支出决算中，因公出国（境）费支出决算0万元；公务用车购置及运行费支出决算1.56万元，完成预算的39.04%，占40.44%；公务接待费支出决算2.3</w:t>
      </w:r>
      <w:r>
        <w:rPr>
          <w:rFonts w:hint="eastAsia" w:ascii="仿宋_GB2312" w:hAnsi="仿宋_GB2312" w:eastAsia="仿宋_GB2312"/>
          <w:kern w:val="2"/>
          <w:sz w:val="32"/>
          <w:lang w:val="en-US" w:eastAsia="zh-CN"/>
        </w:rPr>
        <w:t>0</w:t>
      </w:r>
      <w:r>
        <w:rPr>
          <w:rFonts w:hint="eastAsia" w:ascii="仿宋_GB2312" w:hAnsi="仿宋_GB2312" w:eastAsia="仿宋_GB2312"/>
          <w:kern w:val="2"/>
          <w:sz w:val="32"/>
          <w:lang w:val="en-US"/>
        </w:rPr>
        <w:t>万元，完成预算的100%，占59.56%；具体情况如下：</w:t>
      </w:r>
    </w:p>
    <w:p>
      <w:pPr>
        <w:spacing w:beforeLines="0" w:afterLines="0"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39.04</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公务活动用车减少</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1.56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bidi="ar-SA"/>
        </w:rPr>
        <w:t>车辆保险、日常用油及维护保养</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公务接待活动相对增加</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接待外宾费用支出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2.30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接待上级考核、考察以及</w:t>
      </w:r>
      <w:r>
        <w:rPr>
          <w:rFonts w:hint="eastAsia" w:ascii="仿宋_GB2312" w:hAnsi="仿宋_GB2312" w:eastAsia="仿宋_GB2312" w:cs="仿宋_GB2312"/>
          <w:color w:val="auto"/>
          <w:sz w:val="32"/>
          <w:szCs w:val="32"/>
          <w:highlight w:val="none"/>
          <w:lang w:val="en-US" w:eastAsia="zh-CN" w:bidi="ar-SA"/>
        </w:rPr>
        <w:t>文艺志愿服务活动期间接待艺术家、志愿者支出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230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zh-CN" w:eastAsia="zh-CN" w:bidi="ar-SA"/>
        </w:rPr>
        <w:t>主要原因：</w:t>
      </w:r>
      <w:r>
        <w:rPr>
          <w:rFonts w:hint="eastAsia" w:ascii="仿宋_GB2312" w:hAnsi="仿宋_GB2312" w:eastAsia="仿宋_GB2312" w:cs="仿宋_GB2312"/>
          <w:color w:val="auto"/>
          <w:sz w:val="32"/>
          <w:szCs w:val="32"/>
          <w:highlight w:val="none"/>
          <w:lang w:val="en-US" w:eastAsia="zh-CN" w:bidi="ar-SA"/>
        </w:rPr>
        <w:t>我部门2021年度没有政府性基金收入，也没有使用政府性基金安排的支出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88.49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99.97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112.97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因为疫情因素，部分</w:t>
      </w:r>
      <w:r>
        <w:rPr>
          <w:rFonts w:hint="eastAsia" w:ascii="仿宋_GB2312" w:hAnsi="仿宋_GB2312" w:eastAsia="仿宋_GB2312" w:cs="仿宋_GB2312"/>
          <w:sz w:val="32"/>
          <w:szCs w:val="32"/>
          <w:highlight w:val="none"/>
          <w:lang w:val="en-US" w:eastAsia="zh-CN"/>
        </w:rPr>
        <w:t>2020年</w:t>
      </w:r>
      <w:r>
        <w:rPr>
          <w:rFonts w:hint="eastAsia" w:ascii="仿宋_GB2312" w:hAnsi="仿宋_GB2312" w:eastAsia="仿宋_GB2312" w:cs="仿宋_GB2312"/>
          <w:sz w:val="32"/>
          <w:szCs w:val="32"/>
          <w:highlight w:val="none"/>
          <w:lang w:eastAsia="zh-CN"/>
        </w:rPr>
        <w:t>业务活动放在</w:t>
      </w:r>
      <w:r>
        <w:rPr>
          <w:rFonts w:hint="eastAsia" w:ascii="仿宋_GB2312" w:hAnsi="仿宋_GB2312" w:eastAsia="仿宋_GB2312" w:cs="仿宋_GB2312"/>
          <w:sz w:val="32"/>
          <w:szCs w:val="32"/>
          <w:highlight w:val="none"/>
          <w:lang w:val="en-US" w:eastAsia="zh-CN"/>
        </w:rPr>
        <w:t>2021年进行</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我部门根据文件对相关人员进行培训和宣传，提高资金的使用效益，进一步健全和完善财务管理制度及内部控制制度，创新管理手段，用新思想、新方法，改进完善财务管理方法，用制度管项目，用制度管资金。2021年绩效目标申报及时，绩效监控持续有力，绩效自评指标清晰，通过绩效评价结果的应用，推动了我部门财务管理工作的专业化、标准化、规范化。</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val="0"/>
        <w:kinsoku/>
        <w:wordWrap/>
        <w:overflowPunct/>
        <w:topLinePunct w:val="0"/>
        <w:bidi w:val="0"/>
        <w:spacing w:line="579"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hAnsi="仿宋_GB2312" w:eastAsia="仿宋_GB2312" w:cs="仿宋_GB2312"/>
          <w:color w:val="000000"/>
          <w:kern w:val="0"/>
          <w:sz w:val="32"/>
          <w:szCs w:val="32"/>
          <w:highlight w:val="none"/>
          <w:shd w:val="clear" w:color="auto" w:fill="FFFFFF"/>
          <w:lang w:val="en-US" w:eastAsia="zh-CN" w:bidi="ar-SA"/>
        </w:rPr>
        <w:t>2021年我部门整体自评得分97分</w:t>
      </w:r>
      <w:r>
        <w:rPr>
          <w:rFonts w:hint="eastAsia" w:ascii="仿宋_GB2312" w:hAnsi="仿宋_GB2312" w:eastAsia="仿宋_GB2312" w:cs="仿宋_GB2312"/>
          <w:color w:val="000000"/>
          <w:kern w:val="0"/>
          <w:sz w:val="32"/>
          <w:szCs w:val="32"/>
          <w:shd w:val="clear" w:color="auto" w:fill="FFFFFF"/>
          <w:lang w:val="en-US" w:eastAsia="zh-CN" w:bidi="ar-SA"/>
        </w:rPr>
        <w:t>，主要有4项指标未达到年初所设目标，①预算调整率，主要原因是：新增招录人员4人，和增加“三国文化研究基地”项目；②在职人员经费变动率，主要原因是：新增招录人员4人，追加人员经费。③人均公用经费变动率，主要原因是2021年接待活动增加，公务接待次数增加。④“三公经费”变动率，主要原因是2021年接待活动增加，公务接待次数增加。</w:t>
      </w:r>
      <w:r>
        <w:rPr>
          <w:rFonts w:hint="eastAsia" w:ascii="仿宋_GB2312" w:hAnsi="仿宋_GB2312" w:eastAsia="仿宋_GB2312" w:cs="仿宋_GB2312"/>
          <w:color w:val="auto"/>
          <w:sz w:val="32"/>
          <w:szCs w:val="32"/>
          <w:highlight w:val="none"/>
          <w:lang w:val="en-US" w:eastAsia="zh-CN"/>
        </w:rPr>
        <w:t>二是项目绩效自评情况。我部门共有1个项目批复了绩效目标。其中：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许昌市文学和书画院1个</w:t>
      </w:r>
      <w:r>
        <w:rPr>
          <w:rFonts w:hint="eastAsia" w:ascii="仿宋_GB2312" w:hAnsi="Times New Roman" w:eastAsia="仿宋_GB2312" w:cs="Times New Roman"/>
          <w:color w:val="000000"/>
          <w:kern w:val="2"/>
          <w:sz w:val="32"/>
          <w:szCs w:val="32"/>
          <w:lang w:val="en-US" w:eastAsia="zh-CN" w:bidi="ar-SA"/>
        </w:rPr>
        <w:t>，项目名称：三国文化研究基地经费，批复总金额17万元，年度执行总金额17万元，执行率100%。2021年共举办1次高峰论坛，10多次研讨会，并收集整理最新三国文化学术研究成果，汇编成册。</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bookmarkStart w:id="0" w:name="_GoBack"/>
      <w:bookmarkEnd w:id="0"/>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ED217"/>
    <w:multiLevelType w:val="singleLevel"/>
    <w:tmpl w:val="EFEED217"/>
    <w:lvl w:ilvl="0" w:tentative="0">
      <w:start w:val="1"/>
      <w:numFmt w:val="chineseCounting"/>
      <w:suff w:val="space"/>
      <w:lvlText w:val="第%1部分"/>
      <w:lvlJc w:val="left"/>
      <w:rPr>
        <w:rFonts w:hint="eastAsia"/>
      </w:rPr>
    </w:lvl>
  </w:abstractNum>
  <w:abstractNum w:abstractNumId="1">
    <w:nsid w:val="00000008"/>
    <w:multiLevelType w:val="singleLevel"/>
    <w:tmpl w:val="00000008"/>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MWQ5NWQ0ZGI1OGZkMjEzNDE1NzZjZTZmNDIxMzUifQ=="/>
  </w:docVars>
  <w:rsids>
    <w:rsidRoot w:val="00172A27"/>
    <w:rsid w:val="05817425"/>
    <w:rsid w:val="063E785A"/>
    <w:rsid w:val="09E27D63"/>
    <w:rsid w:val="0BEE60DE"/>
    <w:rsid w:val="0E3A4EE9"/>
    <w:rsid w:val="1188784F"/>
    <w:rsid w:val="14D62675"/>
    <w:rsid w:val="17400B06"/>
    <w:rsid w:val="192F0DDA"/>
    <w:rsid w:val="1F757E14"/>
    <w:rsid w:val="20AC0BEB"/>
    <w:rsid w:val="22797875"/>
    <w:rsid w:val="26583D33"/>
    <w:rsid w:val="28917D81"/>
    <w:rsid w:val="2BF7A4D3"/>
    <w:rsid w:val="2D527BCC"/>
    <w:rsid w:val="2E220627"/>
    <w:rsid w:val="2E6933EC"/>
    <w:rsid w:val="37CE36A3"/>
    <w:rsid w:val="3A6BE750"/>
    <w:rsid w:val="3B0638AA"/>
    <w:rsid w:val="3B613FD1"/>
    <w:rsid w:val="3BF699A1"/>
    <w:rsid w:val="3DAA3515"/>
    <w:rsid w:val="3DF920C5"/>
    <w:rsid w:val="3F4A20A6"/>
    <w:rsid w:val="3F5EBAC6"/>
    <w:rsid w:val="3FDE8D4B"/>
    <w:rsid w:val="407B3DF4"/>
    <w:rsid w:val="419D4ED4"/>
    <w:rsid w:val="42FC3CF8"/>
    <w:rsid w:val="4327366D"/>
    <w:rsid w:val="43327118"/>
    <w:rsid w:val="44B501FF"/>
    <w:rsid w:val="45D36463"/>
    <w:rsid w:val="4A370F82"/>
    <w:rsid w:val="4BA0746B"/>
    <w:rsid w:val="4BC53CC4"/>
    <w:rsid w:val="4C701CBB"/>
    <w:rsid w:val="4F6BC856"/>
    <w:rsid w:val="50E00843"/>
    <w:rsid w:val="5384676C"/>
    <w:rsid w:val="53F33884"/>
    <w:rsid w:val="58B34749"/>
    <w:rsid w:val="5DFD5E0A"/>
    <w:rsid w:val="5FDF155B"/>
    <w:rsid w:val="63912567"/>
    <w:rsid w:val="65F32349"/>
    <w:rsid w:val="677F5BC0"/>
    <w:rsid w:val="685E3EBD"/>
    <w:rsid w:val="68781591"/>
    <w:rsid w:val="6AF603F1"/>
    <w:rsid w:val="6EDF101B"/>
    <w:rsid w:val="6EEE3DB4"/>
    <w:rsid w:val="77244626"/>
    <w:rsid w:val="77D6701F"/>
    <w:rsid w:val="7C1DC8D0"/>
    <w:rsid w:val="7CEAFFB5"/>
    <w:rsid w:val="7E3DD734"/>
    <w:rsid w:val="7F37C29F"/>
    <w:rsid w:val="7FB95EE0"/>
    <w:rsid w:val="7FF701BD"/>
    <w:rsid w:val="8FDFA7AF"/>
    <w:rsid w:val="A7FF558B"/>
    <w:rsid w:val="B75D53E7"/>
    <w:rsid w:val="BBBFECBA"/>
    <w:rsid w:val="BBFF1E27"/>
    <w:rsid w:val="BDFF42D4"/>
    <w:rsid w:val="C77F4C05"/>
    <w:rsid w:val="CF64DEA2"/>
    <w:rsid w:val="DCFFCFAD"/>
    <w:rsid w:val="DD915DF0"/>
    <w:rsid w:val="DECF9680"/>
    <w:rsid w:val="E43FFDB8"/>
    <w:rsid w:val="EADFEC91"/>
    <w:rsid w:val="EBD1B98A"/>
    <w:rsid w:val="EBEF7AED"/>
    <w:rsid w:val="ED779162"/>
    <w:rsid w:val="EDFF95BC"/>
    <w:rsid w:val="EEFA8E81"/>
    <w:rsid w:val="EFF8E53B"/>
    <w:rsid w:val="EFFB56D6"/>
    <w:rsid w:val="F3F51409"/>
    <w:rsid w:val="F6FF4C08"/>
    <w:rsid w:val="F96FA750"/>
    <w:rsid w:val="FB991A97"/>
    <w:rsid w:val="FC5E860E"/>
    <w:rsid w:val="FDFFA49D"/>
    <w:rsid w:val="FF6FD33F"/>
    <w:rsid w:val="FF779CBE"/>
    <w:rsid w:val="FFDD589E"/>
    <w:rsid w:val="FFFD89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hint="eastAsia" w:ascii="黑体" w:hAnsi="黑体" w:eastAsia="黑体" w:cs="Times New Roman"/>
      <w:color w:val="000000"/>
      <w:sz w:val="24"/>
      <w:lang w:val="en-US" w:eastAsia="zh-CN"/>
    </w:rPr>
  </w:style>
  <w:style w:type="paragraph" w:styleId="3">
    <w:name w:val="Balloon Text"/>
    <w:basedOn w:val="1"/>
    <w:link w:val="10"/>
    <w:qFormat/>
    <w:uiPriority w:val="0"/>
    <w:rPr>
      <w:kern w:val="2"/>
      <w:sz w:val="18"/>
      <w:szCs w:val="18"/>
    </w:rPr>
  </w:style>
  <w:style w:type="paragraph" w:styleId="4">
    <w:name w:val="footer"/>
    <w:basedOn w:val="1"/>
    <w:link w:val="11"/>
    <w:qFormat/>
    <w:uiPriority w:val="0"/>
    <w:pPr>
      <w:tabs>
        <w:tab w:val="center" w:pos="4153"/>
        <w:tab w:val="right" w:pos="8306"/>
      </w:tabs>
      <w:snapToGrid w:val="0"/>
      <w:jc w:val="left"/>
    </w:pPr>
    <w:rPr>
      <w:kern w:val="2"/>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kern w:val="2"/>
      <w:sz w:val="18"/>
      <w:szCs w:val="18"/>
    </w:rPr>
  </w:style>
  <w:style w:type="character" w:styleId="8">
    <w:name w:val="FollowedHyperlink"/>
    <w:qFormat/>
    <w:uiPriority w:val="0"/>
    <w:rPr>
      <w:color w:val="800080"/>
      <w:u w:val="single"/>
    </w:rPr>
  </w:style>
  <w:style w:type="character" w:styleId="9">
    <w:name w:val="Hyperlink"/>
    <w:qFormat/>
    <w:uiPriority w:val="0"/>
    <w:rPr>
      <w:color w:val="0000FF"/>
      <w:u w:val="single"/>
    </w:rPr>
  </w:style>
  <w:style w:type="character" w:customStyle="1" w:styleId="10">
    <w:name w:val="批注框文本 Char Char"/>
    <w:link w:val="3"/>
    <w:qFormat/>
    <w:uiPriority w:val="0"/>
    <w:rPr>
      <w:kern w:val="2"/>
      <w:sz w:val="18"/>
      <w:szCs w:val="18"/>
    </w:rPr>
  </w:style>
  <w:style w:type="character" w:customStyle="1" w:styleId="11">
    <w:name w:val="页脚 Char Char"/>
    <w:link w:val="4"/>
    <w:qFormat/>
    <w:uiPriority w:val="0"/>
    <w:rPr>
      <w:kern w:val="2"/>
      <w:sz w:val="18"/>
      <w:szCs w:val="18"/>
    </w:rPr>
  </w:style>
  <w:style w:type="character" w:customStyle="1" w:styleId="12">
    <w:name w:val="页眉 Char Char"/>
    <w:link w:val="5"/>
    <w:qFormat/>
    <w:uiPriority w:val="0"/>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8595</Words>
  <Characters>10349</Characters>
  <Lines>60</Lines>
  <Paragraphs>16</Paragraphs>
  <TotalTime>16</TotalTime>
  <ScaleCrop>false</ScaleCrop>
  <LinksUpToDate>false</LinksUpToDate>
  <CharactersWithSpaces>10581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2007-12-02T03:41:00Z</dcterms:created>
  <dc:creator>管理者</dc:creator>
  <cp:lastModifiedBy>huanghe</cp:lastModifiedBy>
  <cp:lastPrinted>2023-02-17T02:13:00Z</cp:lastPrinted>
  <dcterms:modified xsi:type="dcterms:W3CDTF">2023-05-19T16:09:20Z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ADE1C595D93642789BB1C61D3B0DAB31</vt:lpwstr>
  </property>
</Properties>
</file>