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bookmarkStart w:id="0" w:name="_GoBack"/>
      <w:bookmarkEnd w:id="0"/>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color w:val="auto"/>
          <w:sz w:val="52"/>
          <w:szCs w:val="52"/>
          <w:highlight w:val="none"/>
          <w:lang w:eastAsia="zh-CN"/>
        </w:rPr>
        <w:t>许昌市归国华侨联合会</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color w:val="auto"/>
          <w:sz w:val="32"/>
          <w:szCs w:val="32"/>
          <w:highlight w:val="none"/>
          <w:lang w:eastAsia="zh-CN"/>
        </w:rPr>
        <w:t>许昌市归国华侨联合会</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color w:val="auto"/>
          <w:sz w:val="48"/>
          <w:szCs w:val="48"/>
          <w:highlight w:val="none"/>
          <w:lang w:val="en-US" w:eastAsia="zh-CN"/>
        </w:rPr>
        <w:t>许昌市归国华侨联合会</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许昌市归国华侨联合会是中共许昌市委领导由全市归侨、侨眷组成的地方性团体，是党和政府联系广大归侨、侨眷和海外侨胞的桥梁和纽带。根据中共许昌市委、许昌市人民政府（关于市直机关改革的实施意见（许发文〔2001〕20号）构和人员编制方案》（许办文〔2001〕71号），市侨联主要职责是：</w:t>
      </w:r>
    </w:p>
    <w:p>
      <w:pPr>
        <w:spacing w:line="60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（1）密切联系广大归侨、侨眷和海外侨胞，了解侨情民意，沟通渠道，化解矛盾；加强归侨、侨眷的法制教育和思想道德教育，为许昌的改革发展稳定服务。</w:t>
      </w:r>
    </w:p>
    <w:p>
      <w:pPr>
        <w:spacing w:line="60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（2）依法维护归侨、侨眷的合法权益和海外侨胞在国内的正当权益；反映归侨、侨眷和海外侨胞意见和要求，为归侨、侨眷和海外侨胞提供法律咨询和服务。</w:t>
      </w:r>
    </w:p>
    <w:p>
      <w:pPr>
        <w:spacing w:line="60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（3）配合有关部门做好推荐市人大和市政协中的归侨、侨眷代表、委员的人事安排工作，为他们履行参政议政和民主监督职能提供服务。</w:t>
      </w:r>
    </w:p>
    <w:p>
      <w:pPr>
        <w:spacing w:line="60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（4）协助有关部门受理和监督华侨、华人、港澳同胞的捐赠事宜，为发展我市公益事业服务。</w:t>
      </w:r>
    </w:p>
    <w:p>
      <w:pPr>
        <w:spacing w:line="60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（5）促进海外侨胞与许昌进行经济合作和科技交流，为归侨、侨眷兴办企事业和海外侨胞来许投资服务。</w:t>
      </w:r>
    </w:p>
    <w:p>
      <w:pPr>
        <w:spacing w:line="60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（6）配合有关部门，进一步拓展同台湾同胞的联系渠道，加强同港澳侨团联系，密切与海外侨胞及其社团联系，参与以地缘、血缘、业缘为纽带组成的侨社团联谊活动。</w:t>
      </w:r>
    </w:p>
    <w:p>
      <w:pPr>
        <w:spacing w:line="60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（7）宣传党和政府侨务工作的方针、政策及归侨、侨眷的先进事迹和海外侨胞回国服务的爱国爱乡行动；开展海内外文化、学术交流；为归侨、侨眷和海外侨胞在家乡兴办文教卫生和其他社会公益事业服务。</w:t>
      </w:r>
    </w:p>
    <w:p>
      <w:pPr>
        <w:spacing w:line="60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（8）制订许昌市侨联的工作计划和发展规划，组织实施许昌市归侨、侨眷代表大会、委员会、常委会的决议、决定，指导各县（市、区）侨联工作。</w:t>
      </w:r>
    </w:p>
    <w:p>
      <w:pPr>
        <w:spacing w:line="60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（9）承办中共许昌市委、市政府、省侨联交办的有关事项。</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许昌市归国华侨联合会</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s="仿宋_GB2312"/>
          <w:kern w:val="0"/>
          <w:sz w:val="32"/>
          <w:szCs w:val="32"/>
          <w:highlight w:val="none"/>
          <w:lang w:eastAsia="zh-CN"/>
        </w:rPr>
        <w:t>办公室</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经济联络和权益保障部</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许昌市归国华侨联合会</w:t>
      </w:r>
      <w:r>
        <w:rPr>
          <w:rFonts w:hint="eastAsia" w:ascii="仿宋_GB2312" w:hAnsi="仿宋_GB2312" w:eastAsia="仿宋_GB2312" w:cs="仿宋_GB2312"/>
          <w:kern w:val="0"/>
          <w:sz w:val="32"/>
          <w:szCs w:val="32"/>
          <w:highlight w:val="none"/>
        </w:rPr>
        <w:t>部门决算包括：本级决算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纳入本部门2021年度部门决算编制范围的单位共1个，具体是：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1.许昌市归国华侨联合会</w:t>
      </w: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45"/>
        <w:gridCol w:w="487"/>
        <w:gridCol w:w="3302"/>
        <w:gridCol w:w="3245"/>
        <w:gridCol w:w="487"/>
        <w:gridCol w:w="3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4068" w:type="dxa"/>
            <w:gridSpan w:val="6"/>
            <w:noWrap w:val="0"/>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45" w:type="dxa"/>
            <w:noWrap w:val="0"/>
            <w:vAlign w:val="bottom"/>
          </w:tcPr>
          <w:p>
            <w:pPr>
              <w:rPr>
                <w:rFonts w:hint="eastAsia" w:ascii="Arial" w:hAnsi="Arial" w:cs="Arial"/>
                <w:i w:val="0"/>
                <w:color w:val="000000"/>
                <w:sz w:val="20"/>
                <w:szCs w:val="20"/>
                <w:u w:val="none"/>
              </w:rPr>
            </w:pPr>
          </w:p>
        </w:tc>
        <w:tc>
          <w:tcPr>
            <w:tcW w:w="487" w:type="dxa"/>
            <w:noWrap w:val="0"/>
            <w:vAlign w:val="bottom"/>
          </w:tcPr>
          <w:p>
            <w:pPr>
              <w:rPr>
                <w:rFonts w:hint="default" w:ascii="Arial" w:hAnsi="Arial" w:cs="Arial"/>
                <w:i w:val="0"/>
                <w:color w:val="000000"/>
                <w:sz w:val="20"/>
                <w:szCs w:val="20"/>
                <w:u w:val="none"/>
              </w:rPr>
            </w:pPr>
          </w:p>
        </w:tc>
        <w:tc>
          <w:tcPr>
            <w:tcW w:w="3302" w:type="dxa"/>
            <w:noWrap w:val="0"/>
            <w:vAlign w:val="bottom"/>
          </w:tcPr>
          <w:p>
            <w:pPr>
              <w:rPr>
                <w:rFonts w:hint="default" w:ascii="Arial" w:hAnsi="Arial" w:cs="Arial"/>
                <w:i w:val="0"/>
                <w:color w:val="000000"/>
                <w:sz w:val="20"/>
                <w:szCs w:val="20"/>
                <w:u w:val="none"/>
              </w:rPr>
            </w:pPr>
          </w:p>
        </w:tc>
        <w:tc>
          <w:tcPr>
            <w:tcW w:w="3245" w:type="dxa"/>
            <w:noWrap w:val="0"/>
            <w:vAlign w:val="bottom"/>
          </w:tcPr>
          <w:p>
            <w:pPr>
              <w:rPr>
                <w:rFonts w:hint="default" w:ascii="Arial" w:hAnsi="Arial" w:cs="Arial"/>
                <w:i w:val="0"/>
                <w:color w:val="000000"/>
                <w:sz w:val="20"/>
                <w:szCs w:val="20"/>
                <w:u w:val="none"/>
              </w:rPr>
            </w:pPr>
          </w:p>
        </w:tc>
        <w:tc>
          <w:tcPr>
            <w:tcW w:w="3789" w:type="dxa"/>
            <w:gridSpan w:val="2"/>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279" w:type="dxa"/>
            <w:gridSpan w:val="4"/>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部门：许昌市归国华侨联合会</w:t>
            </w:r>
          </w:p>
        </w:tc>
        <w:tc>
          <w:tcPr>
            <w:tcW w:w="3789" w:type="dxa"/>
            <w:gridSpan w:val="2"/>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7034" w:type="dxa"/>
            <w:gridSpan w:val="3"/>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3302"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3302"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87" w:type="dxa"/>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302"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87" w:type="dxa"/>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302"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30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180.77</w:t>
            </w: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330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330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330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0"/>
                <w:szCs w:val="20"/>
                <w:u w:val="none"/>
              </w:rPr>
            </w:pP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330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180.77</w:t>
            </w: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330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330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w:t>
            </w: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330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3302"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87" w:type="dxa"/>
            <w:tcBorders>
              <w:bottom w:val="single" w:color="000000" w:sz="12"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330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192.67</w:t>
            </w:r>
          </w:p>
        </w:tc>
        <w:tc>
          <w:tcPr>
            <w:tcW w:w="324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330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068" w:type="dxa"/>
            <w:gridSpan w:val="6"/>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30"/>
        <w:gridCol w:w="960"/>
        <w:gridCol w:w="960"/>
        <w:gridCol w:w="3930"/>
        <w:gridCol w:w="1800"/>
        <w:gridCol w:w="960"/>
        <w:gridCol w:w="960"/>
        <w:gridCol w:w="960"/>
        <w:gridCol w:w="960"/>
        <w:gridCol w:w="96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3740" w:type="dxa"/>
            <w:gridSpan w:val="11"/>
            <w:noWrap w:val="0"/>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30" w:type="dxa"/>
            <w:noWrap w:val="0"/>
            <w:vAlign w:val="bottom"/>
          </w:tcPr>
          <w:p>
            <w:pPr>
              <w:rPr>
                <w:rFonts w:hint="eastAsia" w:ascii="Arial" w:hAnsi="Arial" w:cs="Arial"/>
                <w:i w:val="0"/>
                <w:color w:val="000000"/>
                <w:sz w:val="20"/>
                <w:szCs w:val="20"/>
                <w:u w:val="none"/>
              </w:rPr>
            </w:pPr>
          </w:p>
        </w:tc>
        <w:tc>
          <w:tcPr>
            <w:tcW w:w="960" w:type="dxa"/>
            <w:noWrap w:val="0"/>
            <w:vAlign w:val="bottom"/>
          </w:tcPr>
          <w:p>
            <w:pPr>
              <w:rPr>
                <w:rFonts w:hint="default" w:ascii="Arial" w:hAnsi="Arial" w:cs="Arial"/>
                <w:i w:val="0"/>
                <w:color w:val="000000"/>
                <w:sz w:val="20"/>
                <w:szCs w:val="20"/>
                <w:u w:val="none"/>
              </w:rPr>
            </w:pPr>
          </w:p>
        </w:tc>
        <w:tc>
          <w:tcPr>
            <w:tcW w:w="960" w:type="dxa"/>
            <w:noWrap w:val="0"/>
            <w:vAlign w:val="bottom"/>
          </w:tcPr>
          <w:p>
            <w:pPr>
              <w:rPr>
                <w:rFonts w:hint="default" w:ascii="Arial" w:hAnsi="Arial" w:cs="Arial"/>
                <w:i w:val="0"/>
                <w:color w:val="000000"/>
                <w:sz w:val="20"/>
                <w:szCs w:val="20"/>
                <w:u w:val="none"/>
              </w:rPr>
            </w:pPr>
          </w:p>
        </w:tc>
        <w:tc>
          <w:tcPr>
            <w:tcW w:w="3930" w:type="dxa"/>
            <w:noWrap w:val="0"/>
            <w:vAlign w:val="bottom"/>
          </w:tcPr>
          <w:p>
            <w:pPr>
              <w:rPr>
                <w:rFonts w:hint="default" w:ascii="Arial" w:hAnsi="Arial" w:cs="Arial"/>
                <w:i w:val="0"/>
                <w:color w:val="000000"/>
                <w:sz w:val="20"/>
                <w:szCs w:val="20"/>
                <w:u w:val="none"/>
              </w:rPr>
            </w:pPr>
          </w:p>
        </w:tc>
        <w:tc>
          <w:tcPr>
            <w:tcW w:w="1800" w:type="dxa"/>
            <w:noWrap w:val="0"/>
            <w:vAlign w:val="bottom"/>
          </w:tcPr>
          <w:p>
            <w:pPr>
              <w:rPr>
                <w:rFonts w:hint="default" w:ascii="Arial" w:hAnsi="Arial" w:cs="Arial"/>
                <w:i w:val="0"/>
                <w:color w:val="000000"/>
                <w:sz w:val="20"/>
                <w:szCs w:val="20"/>
                <w:u w:val="none"/>
              </w:rPr>
            </w:pPr>
          </w:p>
        </w:tc>
        <w:tc>
          <w:tcPr>
            <w:tcW w:w="960" w:type="dxa"/>
            <w:noWrap w:val="0"/>
            <w:vAlign w:val="bottom"/>
          </w:tcPr>
          <w:p>
            <w:pPr>
              <w:rPr>
                <w:rFonts w:hint="default" w:ascii="Arial" w:hAnsi="Arial" w:cs="Arial"/>
                <w:i w:val="0"/>
                <w:color w:val="000000"/>
                <w:sz w:val="20"/>
                <w:szCs w:val="20"/>
                <w:u w:val="none"/>
              </w:rPr>
            </w:pPr>
          </w:p>
        </w:tc>
        <w:tc>
          <w:tcPr>
            <w:tcW w:w="960" w:type="dxa"/>
            <w:noWrap w:val="0"/>
            <w:vAlign w:val="bottom"/>
          </w:tcPr>
          <w:p>
            <w:pPr>
              <w:rPr>
                <w:rFonts w:hint="default" w:ascii="Arial" w:hAnsi="Arial" w:cs="Arial"/>
                <w:i w:val="0"/>
                <w:color w:val="000000"/>
                <w:sz w:val="20"/>
                <w:szCs w:val="20"/>
                <w:u w:val="none"/>
              </w:rPr>
            </w:pPr>
          </w:p>
        </w:tc>
        <w:tc>
          <w:tcPr>
            <w:tcW w:w="960" w:type="dxa"/>
            <w:noWrap w:val="0"/>
            <w:vAlign w:val="bottom"/>
          </w:tcPr>
          <w:p>
            <w:pPr>
              <w:rPr>
                <w:rFonts w:hint="default" w:ascii="Arial" w:hAnsi="Arial" w:cs="Arial"/>
                <w:i w:val="0"/>
                <w:color w:val="000000"/>
                <w:sz w:val="20"/>
                <w:szCs w:val="20"/>
                <w:u w:val="none"/>
              </w:rPr>
            </w:pPr>
          </w:p>
        </w:tc>
        <w:tc>
          <w:tcPr>
            <w:tcW w:w="960" w:type="dxa"/>
            <w:noWrap w:val="0"/>
            <w:vAlign w:val="bottom"/>
          </w:tcPr>
          <w:p>
            <w:pPr>
              <w:rPr>
                <w:rFonts w:hint="default" w:ascii="Arial" w:hAnsi="Arial" w:cs="Arial"/>
                <w:i w:val="0"/>
                <w:color w:val="000000"/>
                <w:sz w:val="20"/>
                <w:szCs w:val="20"/>
                <w:u w:val="none"/>
              </w:rPr>
            </w:pPr>
          </w:p>
        </w:tc>
        <w:tc>
          <w:tcPr>
            <w:tcW w:w="1920" w:type="dxa"/>
            <w:gridSpan w:val="2"/>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820" w:type="dxa"/>
            <w:gridSpan w:val="9"/>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部门：许昌市归国华侨联合会</w:t>
            </w:r>
          </w:p>
        </w:tc>
        <w:tc>
          <w:tcPr>
            <w:tcW w:w="1920" w:type="dxa"/>
            <w:gridSpan w:val="2"/>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800"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960"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960"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960"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960"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960"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960"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930"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0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93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93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80" w:type="dxa"/>
            <w:gridSpan w:val="4"/>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80" w:type="dxa"/>
            <w:gridSpan w:val="4"/>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180.77</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180.77</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93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133.45</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133.45</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20125</w:t>
            </w:r>
          </w:p>
        </w:tc>
        <w:tc>
          <w:tcPr>
            <w:tcW w:w="393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港澳台事务</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128.50</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128.50</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2012501</w:t>
            </w:r>
          </w:p>
        </w:tc>
        <w:tc>
          <w:tcPr>
            <w:tcW w:w="393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122.70</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122.70</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2012502</w:t>
            </w:r>
          </w:p>
        </w:tc>
        <w:tc>
          <w:tcPr>
            <w:tcW w:w="393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5.80</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5.80</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393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4.95</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4.95</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393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0.55</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0.55</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2012999</w:t>
            </w:r>
          </w:p>
        </w:tc>
        <w:tc>
          <w:tcPr>
            <w:tcW w:w="393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其他群众团体事务支出</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93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42.01</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42.01</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93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21.90</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21.90</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393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16.83</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16.83</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93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5.07</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5.07</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393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393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死亡抚恤</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93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5.31</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5.31</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93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5.31</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5.31</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393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393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740" w:type="dxa"/>
            <w:gridSpan w:val="11"/>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04"/>
        <w:gridCol w:w="4133"/>
        <w:gridCol w:w="1893"/>
        <w:gridCol w:w="1009"/>
        <w:gridCol w:w="1009"/>
        <w:gridCol w:w="1009"/>
        <w:gridCol w:w="1009"/>
        <w:gridCol w:w="1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2775" w:type="dxa"/>
            <w:gridSpan w:val="8"/>
            <w:noWrap w:val="0"/>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2775" w:type="dxa"/>
            <w:gridSpan w:val="8"/>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57" w:type="dxa"/>
            <w:gridSpan w:val="6"/>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部门：许昌市归国华侨联合会</w:t>
            </w:r>
          </w:p>
        </w:tc>
        <w:tc>
          <w:tcPr>
            <w:tcW w:w="2018" w:type="dxa"/>
            <w:gridSpan w:val="2"/>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8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893"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009"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009"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009"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009"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009"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04"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133"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93"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04"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133"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893"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04"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133"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893"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837" w:type="dxa"/>
            <w:gridSpan w:val="2"/>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89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0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0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0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0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0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837" w:type="dxa"/>
            <w:gridSpan w:val="2"/>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9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192.67</w:t>
            </w:r>
          </w:p>
        </w:tc>
        <w:tc>
          <w:tcPr>
            <w:tcW w:w="100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187.04</w:t>
            </w:r>
          </w:p>
        </w:tc>
        <w:tc>
          <w:tcPr>
            <w:tcW w:w="100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5.63</w:t>
            </w: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0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13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89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142.10</w:t>
            </w:r>
          </w:p>
        </w:tc>
        <w:tc>
          <w:tcPr>
            <w:tcW w:w="100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136.47</w:t>
            </w:r>
          </w:p>
        </w:tc>
        <w:tc>
          <w:tcPr>
            <w:tcW w:w="100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5.63</w:t>
            </w: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0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20125</w:t>
            </w:r>
          </w:p>
        </w:tc>
        <w:tc>
          <w:tcPr>
            <w:tcW w:w="413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港澳台事务</w:t>
            </w:r>
          </w:p>
        </w:tc>
        <w:tc>
          <w:tcPr>
            <w:tcW w:w="189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135.92</w:t>
            </w:r>
          </w:p>
        </w:tc>
        <w:tc>
          <w:tcPr>
            <w:tcW w:w="100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135.92</w:t>
            </w: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0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2012501</w:t>
            </w:r>
          </w:p>
        </w:tc>
        <w:tc>
          <w:tcPr>
            <w:tcW w:w="413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89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127.07</w:t>
            </w:r>
          </w:p>
        </w:tc>
        <w:tc>
          <w:tcPr>
            <w:tcW w:w="100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127.07</w:t>
            </w: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0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2012502</w:t>
            </w:r>
          </w:p>
        </w:tc>
        <w:tc>
          <w:tcPr>
            <w:tcW w:w="413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89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8.85</w:t>
            </w:r>
          </w:p>
        </w:tc>
        <w:tc>
          <w:tcPr>
            <w:tcW w:w="100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8.85</w:t>
            </w: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0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413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89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w:t>
            </w:r>
          </w:p>
        </w:tc>
        <w:tc>
          <w:tcPr>
            <w:tcW w:w="100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0.55</w:t>
            </w:r>
          </w:p>
        </w:tc>
        <w:tc>
          <w:tcPr>
            <w:tcW w:w="100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5.60</w:t>
            </w: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0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413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189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0.55</w:t>
            </w:r>
          </w:p>
        </w:tc>
        <w:tc>
          <w:tcPr>
            <w:tcW w:w="100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0.55</w:t>
            </w: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0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2012999</w:t>
            </w:r>
          </w:p>
        </w:tc>
        <w:tc>
          <w:tcPr>
            <w:tcW w:w="413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其他群众团体事务支出</w:t>
            </w:r>
          </w:p>
        </w:tc>
        <w:tc>
          <w:tcPr>
            <w:tcW w:w="189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5.60</w:t>
            </w: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5.60</w:t>
            </w: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0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20134</w:t>
            </w:r>
          </w:p>
        </w:tc>
        <w:tc>
          <w:tcPr>
            <w:tcW w:w="413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统战事务</w:t>
            </w:r>
          </w:p>
        </w:tc>
        <w:tc>
          <w:tcPr>
            <w:tcW w:w="189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0.03</w:t>
            </w: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0.03</w:t>
            </w: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0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2013405</w:t>
            </w:r>
          </w:p>
        </w:tc>
        <w:tc>
          <w:tcPr>
            <w:tcW w:w="413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华侨事务</w:t>
            </w:r>
          </w:p>
        </w:tc>
        <w:tc>
          <w:tcPr>
            <w:tcW w:w="189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0.03</w:t>
            </w: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0.03</w:t>
            </w: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0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13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89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44.12</w:t>
            </w:r>
          </w:p>
        </w:tc>
        <w:tc>
          <w:tcPr>
            <w:tcW w:w="100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44.12</w:t>
            </w: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0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13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89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24.01</w:t>
            </w:r>
          </w:p>
        </w:tc>
        <w:tc>
          <w:tcPr>
            <w:tcW w:w="100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24.01</w:t>
            </w: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0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413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89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17.86</w:t>
            </w:r>
          </w:p>
        </w:tc>
        <w:tc>
          <w:tcPr>
            <w:tcW w:w="100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17.86</w:t>
            </w: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0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13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89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w:t>
            </w:r>
          </w:p>
        </w:tc>
        <w:tc>
          <w:tcPr>
            <w:tcW w:w="100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w:t>
            </w: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0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413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189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w:t>
            </w:r>
          </w:p>
        </w:tc>
        <w:tc>
          <w:tcPr>
            <w:tcW w:w="100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w:t>
            </w: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0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413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死亡抚恤</w:t>
            </w:r>
          </w:p>
        </w:tc>
        <w:tc>
          <w:tcPr>
            <w:tcW w:w="189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w:t>
            </w:r>
          </w:p>
        </w:tc>
        <w:tc>
          <w:tcPr>
            <w:tcW w:w="100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w:t>
            </w: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0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13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89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6.44</w:t>
            </w:r>
          </w:p>
        </w:tc>
        <w:tc>
          <w:tcPr>
            <w:tcW w:w="100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6.44</w:t>
            </w: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0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13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89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6.44</w:t>
            </w:r>
          </w:p>
        </w:tc>
        <w:tc>
          <w:tcPr>
            <w:tcW w:w="100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6.44</w:t>
            </w: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0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413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89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3.59</w:t>
            </w:r>
          </w:p>
        </w:tc>
        <w:tc>
          <w:tcPr>
            <w:tcW w:w="100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3.59</w:t>
            </w: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0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413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89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w:t>
            </w:r>
          </w:p>
        </w:tc>
        <w:tc>
          <w:tcPr>
            <w:tcW w:w="100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w:t>
            </w: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2775" w:type="dxa"/>
            <w:gridSpan w:val="8"/>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700"/>
        <w:gridCol w:w="600"/>
        <w:gridCol w:w="1594"/>
        <w:gridCol w:w="3453"/>
        <w:gridCol w:w="483"/>
        <w:gridCol w:w="1410"/>
        <w:gridCol w:w="1410"/>
        <w:gridCol w:w="766"/>
        <w:gridCol w:w="1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3980" w:type="dxa"/>
            <w:gridSpan w:val="9"/>
            <w:noWrap w:val="0"/>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3980" w:type="dxa"/>
            <w:gridSpan w:val="9"/>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50" w:type="dxa"/>
            <w:gridSpan w:val="7"/>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部门：许昌市归国华侨联合会</w:t>
            </w:r>
          </w:p>
        </w:tc>
        <w:tc>
          <w:tcPr>
            <w:tcW w:w="2330" w:type="dxa"/>
            <w:gridSpan w:val="2"/>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89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9086" w:type="dxa"/>
            <w:gridSpan w:val="6"/>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700"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00"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594"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453"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83"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410"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10"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766"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1564"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270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60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4"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453"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83"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41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41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766"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64"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00" w:type="dxa"/>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4"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83" w:type="dxa"/>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41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1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66"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64"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9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180.77</w:t>
            </w: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41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142.10</w:t>
            </w:r>
          </w:p>
        </w:tc>
        <w:tc>
          <w:tcPr>
            <w:tcW w:w="141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142.10</w:t>
            </w: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9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三、国有资本经营财政拨款</w:t>
            </w: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9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9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9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9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9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9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41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44.12</w:t>
            </w:r>
          </w:p>
        </w:tc>
        <w:tc>
          <w:tcPr>
            <w:tcW w:w="141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44.12</w:t>
            </w: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59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41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6.44</w:t>
            </w:r>
          </w:p>
        </w:tc>
        <w:tc>
          <w:tcPr>
            <w:tcW w:w="141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6.44</w:t>
            </w: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9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59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59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59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59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9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59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59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59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59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59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59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59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59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0"/>
                <w:szCs w:val="20"/>
                <w:u w:val="none"/>
              </w:rPr>
            </w:pP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59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59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59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59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180.77</w:t>
            </w: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41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192.67</w:t>
            </w:r>
          </w:p>
        </w:tc>
        <w:tc>
          <w:tcPr>
            <w:tcW w:w="141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192.67</w:t>
            </w: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59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w:t>
            </w: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59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w:t>
            </w:r>
          </w:p>
        </w:tc>
        <w:tc>
          <w:tcPr>
            <w:tcW w:w="3453"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59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453"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59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453"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0" w:type="dxa"/>
            <w:tcBorders>
              <w:bottom w:val="single" w:color="000000" w:sz="12"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59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192.67</w:t>
            </w:r>
          </w:p>
        </w:tc>
        <w:tc>
          <w:tcPr>
            <w:tcW w:w="345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8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41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192.67</w:t>
            </w:r>
          </w:p>
        </w:tc>
        <w:tc>
          <w:tcPr>
            <w:tcW w:w="141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192.67</w:t>
            </w:r>
          </w:p>
        </w:tc>
        <w:tc>
          <w:tcPr>
            <w:tcW w:w="76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6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13980" w:type="dxa"/>
            <w:gridSpan w:val="9"/>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31"/>
        <w:gridCol w:w="3956"/>
        <w:gridCol w:w="2582"/>
        <w:gridCol w:w="2567"/>
        <w:gridCol w:w="2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3318" w:type="dxa"/>
            <w:gridSpan w:val="5"/>
            <w:noWrap w:val="0"/>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3318" w:type="dxa"/>
            <w:gridSpan w:val="5"/>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69" w:type="dxa"/>
            <w:gridSpan w:val="3"/>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部门：许昌市归国华侨联合会</w:t>
            </w:r>
          </w:p>
        </w:tc>
        <w:tc>
          <w:tcPr>
            <w:tcW w:w="5149" w:type="dxa"/>
            <w:gridSpan w:val="2"/>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5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7731" w:type="dxa"/>
            <w:gridSpan w:val="3"/>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31"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956"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582"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2567"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582"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163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956"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582"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567"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582"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3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956"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582"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567"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582"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587" w:type="dxa"/>
            <w:gridSpan w:val="2"/>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582"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56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582"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587" w:type="dxa"/>
            <w:gridSpan w:val="2"/>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58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192.67</w:t>
            </w:r>
          </w:p>
        </w:tc>
        <w:tc>
          <w:tcPr>
            <w:tcW w:w="256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187.04</w:t>
            </w:r>
          </w:p>
        </w:tc>
        <w:tc>
          <w:tcPr>
            <w:tcW w:w="258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95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258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142.10</w:t>
            </w:r>
          </w:p>
        </w:tc>
        <w:tc>
          <w:tcPr>
            <w:tcW w:w="256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136.47</w:t>
            </w:r>
          </w:p>
        </w:tc>
        <w:tc>
          <w:tcPr>
            <w:tcW w:w="258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20125</w:t>
            </w:r>
          </w:p>
        </w:tc>
        <w:tc>
          <w:tcPr>
            <w:tcW w:w="395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港澳台事务</w:t>
            </w:r>
          </w:p>
        </w:tc>
        <w:tc>
          <w:tcPr>
            <w:tcW w:w="258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135.92</w:t>
            </w:r>
          </w:p>
        </w:tc>
        <w:tc>
          <w:tcPr>
            <w:tcW w:w="256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135.92</w:t>
            </w:r>
          </w:p>
        </w:tc>
        <w:tc>
          <w:tcPr>
            <w:tcW w:w="258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2012501</w:t>
            </w:r>
          </w:p>
        </w:tc>
        <w:tc>
          <w:tcPr>
            <w:tcW w:w="395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58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127.07</w:t>
            </w:r>
          </w:p>
        </w:tc>
        <w:tc>
          <w:tcPr>
            <w:tcW w:w="256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127.07</w:t>
            </w:r>
          </w:p>
        </w:tc>
        <w:tc>
          <w:tcPr>
            <w:tcW w:w="258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2012502</w:t>
            </w:r>
          </w:p>
        </w:tc>
        <w:tc>
          <w:tcPr>
            <w:tcW w:w="395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58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8.85</w:t>
            </w:r>
          </w:p>
        </w:tc>
        <w:tc>
          <w:tcPr>
            <w:tcW w:w="256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8.85</w:t>
            </w:r>
          </w:p>
        </w:tc>
        <w:tc>
          <w:tcPr>
            <w:tcW w:w="258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395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258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w:t>
            </w:r>
          </w:p>
        </w:tc>
        <w:tc>
          <w:tcPr>
            <w:tcW w:w="256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0.55</w:t>
            </w:r>
          </w:p>
        </w:tc>
        <w:tc>
          <w:tcPr>
            <w:tcW w:w="258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395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258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0.55</w:t>
            </w:r>
          </w:p>
        </w:tc>
        <w:tc>
          <w:tcPr>
            <w:tcW w:w="256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0.55</w:t>
            </w:r>
          </w:p>
        </w:tc>
        <w:tc>
          <w:tcPr>
            <w:tcW w:w="258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2012999</w:t>
            </w:r>
          </w:p>
        </w:tc>
        <w:tc>
          <w:tcPr>
            <w:tcW w:w="395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其他群众团体事务支出</w:t>
            </w:r>
          </w:p>
        </w:tc>
        <w:tc>
          <w:tcPr>
            <w:tcW w:w="258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5.60</w:t>
            </w:r>
          </w:p>
        </w:tc>
        <w:tc>
          <w:tcPr>
            <w:tcW w:w="2567"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258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20134</w:t>
            </w:r>
          </w:p>
        </w:tc>
        <w:tc>
          <w:tcPr>
            <w:tcW w:w="395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统战事务</w:t>
            </w:r>
          </w:p>
        </w:tc>
        <w:tc>
          <w:tcPr>
            <w:tcW w:w="258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0.03</w:t>
            </w:r>
          </w:p>
        </w:tc>
        <w:tc>
          <w:tcPr>
            <w:tcW w:w="2567"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258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2013405</w:t>
            </w:r>
          </w:p>
        </w:tc>
        <w:tc>
          <w:tcPr>
            <w:tcW w:w="395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华侨事务</w:t>
            </w:r>
          </w:p>
        </w:tc>
        <w:tc>
          <w:tcPr>
            <w:tcW w:w="258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0.03</w:t>
            </w:r>
          </w:p>
        </w:tc>
        <w:tc>
          <w:tcPr>
            <w:tcW w:w="2567"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258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95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258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44.12</w:t>
            </w:r>
          </w:p>
        </w:tc>
        <w:tc>
          <w:tcPr>
            <w:tcW w:w="256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44.12</w:t>
            </w:r>
          </w:p>
        </w:tc>
        <w:tc>
          <w:tcPr>
            <w:tcW w:w="258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95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258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24.01</w:t>
            </w:r>
          </w:p>
        </w:tc>
        <w:tc>
          <w:tcPr>
            <w:tcW w:w="256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24.01</w:t>
            </w:r>
          </w:p>
        </w:tc>
        <w:tc>
          <w:tcPr>
            <w:tcW w:w="258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395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258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17.86</w:t>
            </w:r>
          </w:p>
        </w:tc>
        <w:tc>
          <w:tcPr>
            <w:tcW w:w="256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17.86</w:t>
            </w:r>
          </w:p>
        </w:tc>
        <w:tc>
          <w:tcPr>
            <w:tcW w:w="258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95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58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w:t>
            </w:r>
          </w:p>
        </w:tc>
        <w:tc>
          <w:tcPr>
            <w:tcW w:w="256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w:t>
            </w:r>
          </w:p>
        </w:tc>
        <w:tc>
          <w:tcPr>
            <w:tcW w:w="258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395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258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w:t>
            </w:r>
          </w:p>
        </w:tc>
        <w:tc>
          <w:tcPr>
            <w:tcW w:w="256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w:t>
            </w:r>
          </w:p>
        </w:tc>
        <w:tc>
          <w:tcPr>
            <w:tcW w:w="258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395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死亡抚恤</w:t>
            </w:r>
          </w:p>
        </w:tc>
        <w:tc>
          <w:tcPr>
            <w:tcW w:w="258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w:t>
            </w:r>
          </w:p>
        </w:tc>
        <w:tc>
          <w:tcPr>
            <w:tcW w:w="256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w:t>
            </w:r>
          </w:p>
        </w:tc>
        <w:tc>
          <w:tcPr>
            <w:tcW w:w="258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95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258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6.44</w:t>
            </w:r>
          </w:p>
        </w:tc>
        <w:tc>
          <w:tcPr>
            <w:tcW w:w="256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6.44</w:t>
            </w:r>
          </w:p>
        </w:tc>
        <w:tc>
          <w:tcPr>
            <w:tcW w:w="258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95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258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6.44</w:t>
            </w:r>
          </w:p>
        </w:tc>
        <w:tc>
          <w:tcPr>
            <w:tcW w:w="256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6.44</w:t>
            </w:r>
          </w:p>
        </w:tc>
        <w:tc>
          <w:tcPr>
            <w:tcW w:w="258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395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258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3.59</w:t>
            </w:r>
          </w:p>
        </w:tc>
        <w:tc>
          <w:tcPr>
            <w:tcW w:w="256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3.59</w:t>
            </w:r>
          </w:p>
        </w:tc>
        <w:tc>
          <w:tcPr>
            <w:tcW w:w="258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395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258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w:t>
            </w:r>
          </w:p>
        </w:tc>
        <w:tc>
          <w:tcPr>
            <w:tcW w:w="256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w:t>
            </w:r>
          </w:p>
        </w:tc>
        <w:tc>
          <w:tcPr>
            <w:tcW w:w="258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318" w:type="dxa"/>
            <w:gridSpan w:val="5"/>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93"/>
        <w:gridCol w:w="2732"/>
        <w:gridCol w:w="888"/>
        <w:gridCol w:w="693"/>
        <w:gridCol w:w="2029"/>
        <w:gridCol w:w="770"/>
        <w:gridCol w:w="704"/>
        <w:gridCol w:w="3273"/>
        <w:gridCol w:w="2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3997" w:type="dxa"/>
            <w:gridSpan w:val="9"/>
            <w:noWrap w:val="0"/>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3997" w:type="dxa"/>
            <w:gridSpan w:val="9"/>
            <w:noWrap w:val="0"/>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09" w:type="dxa"/>
            <w:gridSpan w:val="7"/>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部门：许昌市归国华侨联合会</w:t>
            </w:r>
          </w:p>
        </w:tc>
        <w:tc>
          <w:tcPr>
            <w:tcW w:w="5488" w:type="dxa"/>
            <w:gridSpan w:val="2"/>
            <w:noWrap w:val="0"/>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3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9684" w:type="dxa"/>
            <w:gridSpan w:val="6"/>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732"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888"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693"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029"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770"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704"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273"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215"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732"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888"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693"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029"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77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704"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273"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21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2732"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888"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128.40</w:t>
            </w:r>
          </w:p>
        </w:tc>
        <w:tc>
          <w:tcPr>
            <w:tcW w:w="69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0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77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19.58</w:t>
            </w:r>
          </w:p>
        </w:tc>
        <w:tc>
          <w:tcPr>
            <w:tcW w:w="70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327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2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2732"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888"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35.54</w:t>
            </w:r>
          </w:p>
        </w:tc>
        <w:tc>
          <w:tcPr>
            <w:tcW w:w="69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0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77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3.39</w:t>
            </w:r>
          </w:p>
        </w:tc>
        <w:tc>
          <w:tcPr>
            <w:tcW w:w="70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327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2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2732"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888"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53.17</w:t>
            </w:r>
          </w:p>
        </w:tc>
        <w:tc>
          <w:tcPr>
            <w:tcW w:w="69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0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7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0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327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2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2732"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888"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14.99</w:t>
            </w:r>
          </w:p>
        </w:tc>
        <w:tc>
          <w:tcPr>
            <w:tcW w:w="69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0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7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0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327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2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2732"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888"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69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0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7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0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327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2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2732"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888"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69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0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7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0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327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2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2732"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888"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8.33</w:t>
            </w:r>
          </w:p>
        </w:tc>
        <w:tc>
          <w:tcPr>
            <w:tcW w:w="69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0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7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0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327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2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2732"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888"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69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0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77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0.36</w:t>
            </w:r>
          </w:p>
        </w:tc>
        <w:tc>
          <w:tcPr>
            <w:tcW w:w="70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327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2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2732"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888"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w:t>
            </w:r>
          </w:p>
        </w:tc>
        <w:tc>
          <w:tcPr>
            <w:tcW w:w="69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0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7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0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327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2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2732"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888"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3.59</w:t>
            </w:r>
          </w:p>
        </w:tc>
        <w:tc>
          <w:tcPr>
            <w:tcW w:w="69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0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7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0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327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2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2732"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888"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w:t>
            </w:r>
          </w:p>
        </w:tc>
        <w:tc>
          <w:tcPr>
            <w:tcW w:w="69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0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77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0.77</w:t>
            </w:r>
          </w:p>
        </w:tc>
        <w:tc>
          <w:tcPr>
            <w:tcW w:w="70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327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2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2732"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888"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7.80</w:t>
            </w:r>
          </w:p>
        </w:tc>
        <w:tc>
          <w:tcPr>
            <w:tcW w:w="69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0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7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0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327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2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2732"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888"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69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0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77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0.49</w:t>
            </w:r>
          </w:p>
        </w:tc>
        <w:tc>
          <w:tcPr>
            <w:tcW w:w="70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327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2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2732"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888"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w:t>
            </w:r>
          </w:p>
        </w:tc>
        <w:tc>
          <w:tcPr>
            <w:tcW w:w="69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0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7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0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327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2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2732"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888"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37.97</w:t>
            </w:r>
          </w:p>
        </w:tc>
        <w:tc>
          <w:tcPr>
            <w:tcW w:w="69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0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7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0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327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2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2732"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888"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69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0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7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0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327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2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2732"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888"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17.68</w:t>
            </w:r>
          </w:p>
        </w:tc>
        <w:tc>
          <w:tcPr>
            <w:tcW w:w="69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0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7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0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327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2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2732"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888"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69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0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7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0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327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2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2732"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888"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w:t>
            </w:r>
          </w:p>
        </w:tc>
        <w:tc>
          <w:tcPr>
            <w:tcW w:w="69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0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7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0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327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2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2732"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888"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0.18</w:t>
            </w:r>
          </w:p>
        </w:tc>
        <w:tc>
          <w:tcPr>
            <w:tcW w:w="69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0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7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0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327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2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2732"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888"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69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0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77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70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327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2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2732"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888"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69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0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77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0.75</w:t>
            </w:r>
          </w:p>
        </w:tc>
        <w:tc>
          <w:tcPr>
            <w:tcW w:w="70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39906</w:t>
            </w:r>
          </w:p>
        </w:tc>
        <w:tc>
          <w:tcPr>
            <w:tcW w:w="327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赠与</w:t>
            </w:r>
          </w:p>
        </w:tc>
        <w:tc>
          <w:tcPr>
            <w:tcW w:w="2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2732"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888"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69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0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77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0.55</w:t>
            </w:r>
          </w:p>
        </w:tc>
        <w:tc>
          <w:tcPr>
            <w:tcW w:w="70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327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2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2732"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888"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69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0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77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0.68</w:t>
            </w:r>
          </w:p>
        </w:tc>
        <w:tc>
          <w:tcPr>
            <w:tcW w:w="70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327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2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2732"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888"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69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0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77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70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327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2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2732"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888"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69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0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77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7.94</w:t>
            </w:r>
          </w:p>
        </w:tc>
        <w:tc>
          <w:tcPr>
            <w:tcW w:w="704"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3273"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2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2732"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888"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69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0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7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04"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3273"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2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3"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2732"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88"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693"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0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77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704"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3273"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2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425" w:type="dxa"/>
            <w:gridSpan w:val="2"/>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888"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166.37</w:t>
            </w:r>
          </w:p>
        </w:tc>
        <w:tc>
          <w:tcPr>
            <w:tcW w:w="7469" w:type="dxa"/>
            <w:gridSpan w:val="5"/>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2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997" w:type="dxa"/>
            <w:gridSpan w:val="9"/>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44"/>
        <w:gridCol w:w="1280"/>
        <w:gridCol w:w="1311"/>
        <w:gridCol w:w="885"/>
        <w:gridCol w:w="1311"/>
        <w:gridCol w:w="831"/>
        <w:gridCol w:w="1096"/>
        <w:gridCol w:w="1334"/>
        <w:gridCol w:w="1177"/>
        <w:gridCol w:w="1288"/>
        <w:gridCol w:w="1177"/>
        <w:gridCol w:w="1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4155" w:type="dxa"/>
            <w:gridSpan w:val="12"/>
            <w:noWrap w:val="0"/>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4155" w:type="dxa"/>
            <w:gridSpan w:val="12"/>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757" w:type="dxa"/>
            <w:gridSpan w:val="10"/>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部门：许昌市归国华侨联合会</w:t>
            </w:r>
          </w:p>
        </w:tc>
        <w:tc>
          <w:tcPr>
            <w:tcW w:w="2398" w:type="dxa"/>
            <w:gridSpan w:val="2"/>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86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293" w:type="dxa"/>
            <w:gridSpan w:val="6"/>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244"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80"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507" w:type="dxa"/>
            <w:gridSpan w:val="3"/>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831"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096"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34"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642" w:type="dxa"/>
            <w:gridSpan w:val="3"/>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221"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244"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8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11"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88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311"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831"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96"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34"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7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17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221"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24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8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11"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8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11"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1"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96"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34"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7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7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21"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24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28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1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88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1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831"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33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7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288"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7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221"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4155" w:type="dxa"/>
            <w:gridSpan w:val="12"/>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6"/>
        <w:gridCol w:w="4319"/>
        <w:gridCol w:w="1759"/>
        <w:gridCol w:w="1005"/>
        <w:gridCol w:w="1005"/>
        <w:gridCol w:w="1005"/>
        <w:gridCol w:w="1005"/>
        <w:gridCol w:w="21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3992" w:type="dxa"/>
            <w:gridSpan w:val="8"/>
            <w:noWrap w:val="0"/>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89" w:type="dxa"/>
            <w:gridSpan w:val="6"/>
            <w:vMerge w:val="restart"/>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部门：许昌市归国华侨联合会</w:t>
            </w:r>
          </w:p>
        </w:tc>
        <w:tc>
          <w:tcPr>
            <w:tcW w:w="3203" w:type="dxa"/>
            <w:gridSpan w:val="2"/>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89" w:type="dxa"/>
            <w:gridSpan w:val="6"/>
            <w:vMerge w:val="continue"/>
            <w:noWrap w:val="0"/>
            <w:vAlign w:val="bottom"/>
          </w:tcPr>
          <w:p>
            <w:pPr>
              <w:jc w:val="left"/>
              <w:rPr>
                <w:rFonts w:hint="eastAsia" w:ascii="宋体" w:hAnsi="宋体" w:eastAsia="宋体" w:cs="宋体"/>
                <w:i w:val="0"/>
                <w:color w:val="000000"/>
                <w:sz w:val="20"/>
                <w:szCs w:val="20"/>
                <w:u w:val="none"/>
              </w:rPr>
            </w:pPr>
          </w:p>
        </w:tc>
        <w:tc>
          <w:tcPr>
            <w:tcW w:w="3203" w:type="dxa"/>
            <w:gridSpan w:val="2"/>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0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759"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005"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015" w:type="dxa"/>
            <w:gridSpan w:val="3"/>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2198"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96"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319"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759"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5"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5"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05"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005"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2198"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9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319"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759"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5"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198"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9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319"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759"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5"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198"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015" w:type="dxa"/>
            <w:gridSpan w:val="2"/>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75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0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0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0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0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19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015" w:type="dxa"/>
            <w:gridSpan w:val="2"/>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759" w:type="dxa"/>
            <w:tcBorders>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1005" w:type="dxa"/>
            <w:tcBorders>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1005" w:type="dxa"/>
            <w:tcBorders>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1005" w:type="dxa"/>
            <w:tcBorders>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1005" w:type="dxa"/>
            <w:tcBorders>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2198" w:type="dxa"/>
            <w:tcBorders>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96"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4319"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75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2198"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96"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4319"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75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2198"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96"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4319"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75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2198"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96"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4319"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75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2198"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96"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4319"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75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2198"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96"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4319"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75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2198"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992" w:type="dxa"/>
            <w:gridSpan w:val="8"/>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说明：我部门没有政府性基金收入，也没有使用政府性基金安排的支出，故本表无数据。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192.67</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37.62</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24.26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新增调入一人，退休人员去世一人，人员经费增加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180.77</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180.77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192.67</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187.04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97.08</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5.63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2.92</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192.67</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37.62</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24.26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新增调入一人，退休人员去世一人，人员经费增加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192.67</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37.62</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24.26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新增调入一人，退休人员去世一人，人员经费增加</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192.67</w:t>
      </w:r>
      <w:r>
        <w:rPr>
          <w:rFonts w:hint="eastAsia" w:ascii="仿宋_GB2312" w:hAnsi="仿宋_GB2312" w:eastAsia="仿宋_GB2312" w:cs="仿宋_GB2312"/>
          <w:sz w:val="32"/>
          <w:szCs w:val="32"/>
          <w:highlight w:val="none"/>
        </w:rPr>
        <w:t>万元，主要用于以下方面：一般公共服务（类）支出142.1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73.75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社会保障和就业（类）支出44.12万元，占22.90%；卫生健康（类）支出6.44万元，占3.35%。</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b w:val="0"/>
          <w:bCs w:val="0"/>
          <w:color w:val="000000"/>
          <w:sz w:val="32"/>
          <w:szCs w:val="32"/>
          <w:lang w:val="en-US" w:eastAsia="zh-CN"/>
        </w:rPr>
        <w:t>142.01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192.67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135.67</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一般公共服务（类）港澳台事务（款）行政运行（项）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107.81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127.07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117.86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2020年末部分人员经费在2021年初发放</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auto"/>
          <w:sz w:val="32"/>
          <w:szCs w:val="32"/>
          <w:highlight w:val="none"/>
          <w:lang w:val="en-US" w:eastAsia="zh-CN"/>
        </w:rPr>
        <w:t>一般公共服务（类）港澳台事务（款）一般行政管理事务（项）。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8.85</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新调入人员一名，追加预算</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3.一般公共服务（类）群众团体事务（款）工会事务（项）。</w:t>
      </w:r>
    </w:p>
    <w:p>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年初预算为0.55万元，支出决算为0.55万元，完成年初预算的100%。决算数与年初预算数不存在差异。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4.一般公共服务（类）群众团体事务（款）其他群众团体事务支出（项）。</w:t>
      </w:r>
      <w:r>
        <w:rPr>
          <w:rFonts w:hint="eastAsia" w:ascii="仿宋_GB2312" w:hAnsi="仿宋_GB2312" w:eastAsia="仿宋_GB2312" w:cs="仿宋_GB2312"/>
          <w:color w:val="auto"/>
          <w:sz w:val="32"/>
          <w:szCs w:val="32"/>
          <w:highlight w:val="none"/>
          <w:lang w:val="en-US" w:eastAsia="zh-CN"/>
        </w:rPr>
        <w:t>年初预算为0万元，支出决算为5.60万元。决算数与年初预算数存在差异的主要原因是省侨联拨款专项经费。</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5.一般公共服务（类）统战事务（款）华侨事务（项）。</w:t>
      </w:r>
    </w:p>
    <w:p>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年初预算为0万元，支出决算为0.03万元。决算数与年初预算数存在差异的主要原因是项目支出用2020年结转金额支付，故年初无预算。</w:t>
      </w:r>
    </w:p>
    <w:p>
      <w:pPr>
        <w:widowControl/>
        <w:numPr>
          <w:ilvl w:val="0"/>
          <w:numId w:val="0"/>
        </w:numPr>
        <w:spacing w:line="590"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年初预算为16.95万元，支出决算为17.86万元，完成年初预算的105.37%。决算数与年初预算数存在差异的主要原因是2020年退休人员部分人员经费在2021年初发放。</w:t>
      </w:r>
    </w:p>
    <w:p>
      <w:pPr>
        <w:widowControl/>
        <w:numPr>
          <w:ilvl w:val="0"/>
          <w:numId w:val="0"/>
        </w:numPr>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7.社会保障和就业支出（类）行政事业单位养老支出（款） 机关事业单位基本养老保险缴费支出（项）。</w:t>
      </w:r>
      <w:r>
        <w:rPr>
          <w:rFonts w:hint="eastAsia" w:ascii="仿宋_GB2312" w:hAnsi="仿宋_GB2312" w:eastAsia="仿宋_GB2312" w:cs="仿宋_GB2312"/>
          <w:color w:val="auto"/>
          <w:sz w:val="32"/>
          <w:szCs w:val="32"/>
          <w:highlight w:val="none"/>
          <w:lang w:val="en-US" w:eastAsia="zh-CN"/>
        </w:rPr>
        <w:t>年初预算为8.16万元，支出决算为6.15万元，完成年初预算的75.37%。决算数与年初预算数存在差异的主要原因是2020年社保未在当年缴纳完，于下年初缴纳。</w:t>
      </w:r>
    </w:p>
    <w:p>
      <w:pPr>
        <w:widowControl/>
        <w:numPr>
          <w:ilvl w:val="0"/>
          <w:numId w:val="0"/>
        </w:numPr>
        <w:spacing w:line="590" w:lineRule="exact"/>
        <w:ind w:firstLine="642"/>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8.社会保障和就业支出（类）抚恤（款）死亡抚恤（项）。</w:t>
      </w:r>
    </w:p>
    <w:p>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年初预算为0万元，支出决算为20.11万元。决算数与年初预算数存在差异的主要原因是追加退休人员抚恤金，年初无预算。</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年初预算为4.76万元，支出决算为3.59万元，完成年初预算的75.42%。决算数与年初预算数存在差异的主要原因是2020年医疗保险未在当年缴纳完毕，于下年初缴纳。</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10．卫生健康支出（类）行政事业单位医疗（款）公务员医疗补助（项）。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年初预算为3.78万元，支出决算为2.85万元，完成年初预算的75.40%。决算数与年初预算数存在差异的主要原因是2020年医疗补助未在当年缴纳完毕，于下年初缴纳。</w:t>
      </w:r>
    </w:p>
    <w:p>
      <w:pPr>
        <w:widowControl/>
        <w:spacing w:line="590" w:lineRule="exact"/>
        <w:ind w:firstLine="640" w:firstLineChars="200"/>
        <w:outlineLvl w:val="1"/>
        <w:rPr>
          <w:rFonts w:hint="default" w:ascii="黑体" w:hAnsi="黑体" w:eastAsia="黑体" w:cs="黑体"/>
          <w:sz w:val="32"/>
          <w:szCs w:val="32"/>
          <w:highlight w:val="yellow"/>
          <w:lang w:val="en-US" w:eastAsia="zh-CN"/>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基本支出187.04万元。其中：人员经费166.37万元，主要包括：基本工资、津贴补贴、奖金、机关事业单位基本养老保险缴费、其他社会保障缴费、职工基本医疗保险缴费、公务员医疗补助缴费、其他工资福利支出、退休费、抚恤金、生活补助、住房公积金；公用经费20.67万元，主要包括：办公费、邮电费、差旅费、维修（护）费、劳务费、委托业务费、工会经费、福利费、公务用车运行维护费、其他交通费用、其他商品和服务支出、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1.50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37.50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公务用车运行维护费减少</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1.50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37.50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1.50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37.50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公务用车运行维护费减少</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1.50</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公务用车运行维护</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年度政府性基金预算财政拨款支出年初预算为0万元，</w:t>
      </w:r>
      <w:r>
        <w:rPr>
          <w:rFonts w:hint="eastAsia" w:ascii="仿宋_GB2312" w:hAnsi="仿宋_GB2312" w:eastAsia="仿宋_GB2312" w:cs="仿宋_GB2312"/>
          <w:sz w:val="32"/>
          <w:szCs w:val="32"/>
          <w:highlight w:val="none"/>
        </w:rPr>
        <w:t>支出决算为0万元。</w:t>
      </w:r>
      <w:r>
        <w:rPr>
          <w:rFonts w:hint="eastAsia" w:ascii="仿宋_GB2312" w:hAnsi="仿宋_GB2312" w:eastAsia="仿宋_GB2312" w:cs="仿宋_GB2312"/>
          <w:sz w:val="32"/>
          <w:szCs w:val="32"/>
          <w:lang w:eastAsia="zh-CN"/>
        </w:rPr>
        <w:t>不存在项目年末结转和结余资金数额较大。</w:t>
      </w:r>
    </w:p>
    <w:p>
      <w:pPr>
        <w:widowControl/>
        <w:spacing w:line="59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情况说明：我部门</w:t>
      </w:r>
      <w:r>
        <w:rPr>
          <w:rFonts w:hint="eastAsia" w:ascii="仿宋_GB2312" w:hAnsi="仿宋_GB2312" w:eastAsia="仿宋_GB2312" w:cs="仿宋_GB2312"/>
          <w:sz w:val="32"/>
          <w:szCs w:val="32"/>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12.68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5.95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46.92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节约办公</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2021年我部门纳入预算绩效管理的支出总额为192.67万万元，其中：基本支出187.04万元；支出项目1个，支出金额</w:t>
      </w:r>
      <w:r>
        <w:rPr>
          <w:rFonts w:hint="eastAsia" w:ascii="仿宋" w:hAnsi="仿宋" w:eastAsia="仿宋" w:cs="仿宋"/>
          <w:sz w:val="32"/>
          <w:szCs w:val="32"/>
          <w:lang w:val="en-US" w:eastAsia="zh-CN"/>
        </w:rPr>
        <w:t>5.63</w:t>
      </w:r>
      <w:r>
        <w:rPr>
          <w:rFonts w:hint="eastAsia" w:ascii="仿宋_GB2312" w:hAnsi="仿宋_GB2312" w:eastAsia="仿宋_GB2312" w:cs="仿宋_GB2312"/>
          <w:color w:val="auto"/>
          <w:sz w:val="32"/>
          <w:szCs w:val="32"/>
          <w:highlight w:val="none"/>
          <w:lang w:val="en-US" w:eastAsia="zh-CN"/>
        </w:rPr>
        <w:t>万元。开展项目绩效自评项目1个，自评金额4.4万元；纳入重点绩效评价0个，评价金额0万元。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按照《许昌市财政局关于开展2021年度市级预算绩效自评工作的通知》（许财效）〔2022〕1号）等文件精神，我部门对本部门整体绩效目标和项目支出绩效目标进行了自评。一是部门整体绩效自评情况。</w:t>
      </w:r>
      <w:r>
        <w:rPr>
          <w:rFonts w:hint="eastAsia" w:ascii="仿宋_GB2312" w:hAnsi="仿宋_GB2312" w:cs="仿宋_GB2312"/>
          <w:bCs/>
          <w:sz w:val="32"/>
          <w:szCs w:val="32"/>
          <w:lang w:eastAsia="zh-CN"/>
        </w:rPr>
        <w:t>经</w:t>
      </w:r>
      <w:r>
        <w:rPr>
          <w:rFonts w:hint="eastAsia" w:ascii="仿宋_GB2312" w:hAnsi="仿宋_GB2312" w:eastAsia="仿宋_GB2312" w:cs="仿宋_GB2312"/>
          <w:color w:val="auto"/>
          <w:sz w:val="32"/>
          <w:szCs w:val="32"/>
          <w:highlight w:val="none"/>
          <w:lang w:val="en-US" w:eastAsia="zh-CN"/>
        </w:rPr>
        <w:t>过单位自评，本单位在工作目标管理、整体工作、重点工作、目标实现方面完成了年初绩效设定目标；在预算管理、财务管理、资产管理、运行成本控制方面真实完整反映年初绩效目标。二是项目绩效自评情况。我部门共有1个项目批复了绩效目标,项目金额4.4万元。其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许昌市归国华侨联合会1个，项目金额4.4万元。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93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黑体" w:hAnsi="宋体" w:eastAsia="黑体" w:cs="宋体"/>
          <w:kern w:val="0"/>
          <w:sz w:val="28"/>
          <w:szCs w:val="28"/>
          <w:highlight w:val="none"/>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default" w:ascii="黑体" w:hAnsi="黑体" w:eastAsia="黑体" w:cs="黑体"/>
          <w:sz w:val="48"/>
          <w:szCs w:val="48"/>
          <w:highlight w:val="none"/>
          <w:lang w:val="en-US" w:eastAsia="zh-CN"/>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48"/>
          <w:szCs w:val="48"/>
          <w:highlight w:val="none"/>
        </w:rPr>
        <w:t>第</w:t>
      </w:r>
      <w:r>
        <w:rPr>
          <w:rFonts w:hint="eastAsia" w:ascii="黑体" w:hAnsi="黑体" w:eastAsia="黑体" w:cs="黑体"/>
          <w:sz w:val="48"/>
          <w:szCs w:val="48"/>
          <w:highlight w:val="none"/>
          <w:lang w:val="en-US" w:eastAsia="zh-CN"/>
        </w:rPr>
        <w:t>四</w:t>
      </w:r>
      <w:r>
        <w:rPr>
          <w:rFonts w:hint="eastAsia" w:ascii="黑体" w:hAnsi="黑体" w:eastAsia="黑体" w:cs="黑体"/>
          <w:sz w:val="48"/>
          <w:szCs w:val="48"/>
          <w:highlight w:val="none"/>
        </w:rPr>
        <w:t>部</w:t>
      </w:r>
      <w:r>
        <w:rPr>
          <w:rFonts w:hint="eastAsia" w:ascii="黑体" w:hAnsi="黑体" w:eastAsia="黑体" w:cs="黑体"/>
          <w:sz w:val="48"/>
          <w:szCs w:val="48"/>
          <w:highlight w:val="none"/>
          <w:lang w:val="en-US" w:eastAsia="zh-CN"/>
        </w:rPr>
        <w:t>分 名词解释</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2ZmI1MzRkMTBkY2NjZDRlYmFkOWQ1NDM2M2QyNTgifQ=="/>
    <w:docVar w:name="KSO_WPS_MARK_KEY" w:val="34041a8d-2659-40ff-97cd-187db1987455"/>
  </w:docVars>
  <w:rsids>
    <w:rsidRoot w:val="000270E8"/>
    <w:rsid w:val="000270E8"/>
    <w:rsid w:val="000335B5"/>
    <w:rsid w:val="00051017"/>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1FC4974"/>
    <w:rsid w:val="02A3489A"/>
    <w:rsid w:val="02CA138D"/>
    <w:rsid w:val="033646FC"/>
    <w:rsid w:val="03C75F80"/>
    <w:rsid w:val="0478364D"/>
    <w:rsid w:val="053D4C0D"/>
    <w:rsid w:val="0557532E"/>
    <w:rsid w:val="06BC079B"/>
    <w:rsid w:val="0799329C"/>
    <w:rsid w:val="08397436"/>
    <w:rsid w:val="086F16A7"/>
    <w:rsid w:val="089F41B4"/>
    <w:rsid w:val="0A0F7225"/>
    <w:rsid w:val="0A2B7D82"/>
    <w:rsid w:val="0A65471B"/>
    <w:rsid w:val="0ADC40E9"/>
    <w:rsid w:val="0AE607F4"/>
    <w:rsid w:val="0B386127"/>
    <w:rsid w:val="0B451598"/>
    <w:rsid w:val="0BEC73F4"/>
    <w:rsid w:val="0C392698"/>
    <w:rsid w:val="0E6A4C34"/>
    <w:rsid w:val="10BD36F6"/>
    <w:rsid w:val="11BF0649"/>
    <w:rsid w:val="123E3E08"/>
    <w:rsid w:val="133212F4"/>
    <w:rsid w:val="13D22E22"/>
    <w:rsid w:val="15DE30C4"/>
    <w:rsid w:val="161C2DFF"/>
    <w:rsid w:val="16373578"/>
    <w:rsid w:val="16D3336B"/>
    <w:rsid w:val="16DE6045"/>
    <w:rsid w:val="17200028"/>
    <w:rsid w:val="17806C36"/>
    <w:rsid w:val="17A74F62"/>
    <w:rsid w:val="1841108A"/>
    <w:rsid w:val="189A116C"/>
    <w:rsid w:val="18A47774"/>
    <w:rsid w:val="1A8D28EB"/>
    <w:rsid w:val="1A9F2D78"/>
    <w:rsid w:val="1B2E6FD8"/>
    <w:rsid w:val="1B877D21"/>
    <w:rsid w:val="1C4319A9"/>
    <w:rsid w:val="1E443B4B"/>
    <w:rsid w:val="1E994F4A"/>
    <w:rsid w:val="1EAF0224"/>
    <w:rsid w:val="1F2230A4"/>
    <w:rsid w:val="1F7A57F8"/>
    <w:rsid w:val="20210932"/>
    <w:rsid w:val="202448E0"/>
    <w:rsid w:val="20F614FE"/>
    <w:rsid w:val="21302EEA"/>
    <w:rsid w:val="22376FB5"/>
    <w:rsid w:val="223F27E9"/>
    <w:rsid w:val="23E152D7"/>
    <w:rsid w:val="23EE2489"/>
    <w:rsid w:val="245D2237"/>
    <w:rsid w:val="255D43C8"/>
    <w:rsid w:val="26714EF8"/>
    <w:rsid w:val="26876BDD"/>
    <w:rsid w:val="2714632A"/>
    <w:rsid w:val="27541E73"/>
    <w:rsid w:val="27B0539E"/>
    <w:rsid w:val="29365CF8"/>
    <w:rsid w:val="299469B3"/>
    <w:rsid w:val="2A805789"/>
    <w:rsid w:val="2ADC0D75"/>
    <w:rsid w:val="2B4A0E52"/>
    <w:rsid w:val="2B5833A9"/>
    <w:rsid w:val="2BF92F32"/>
    <w:rsid w:val="2C975890"/>
    <w:rsid w:val="2CFC1F3B"/>
    <w:rsid w:val="2DEF21BB"/>
    <w:rsid w:val="2E4A2F05"/>
    <w:rsid w:val="2ECC1061"/>
    <w:rsid w:val="2FA476AD"/>
    <w:rsid w:val="303F7540"/>
    <w:rsid w:val="304E094E"/>
    <w:rsid w:val="31DD00BF"/>
    <w:rsid w:val="3293174C"/>
    <w:rsid w:val="32BB38D4"/>
    <w:rsid w:val="32C9376D"/>
    <w:rsid w:val="33780472"/>
    <w:rsid w:val="33AF0905"/>
    <w:rsid w:val="355932F4"/>
    <w:rsid w:val="35611882"/>
    <w:rsid w:val="366B5664"/>
    <w:rsid w:val="36746FC3"/>
    <w:rsid w:val="368763AE"/>
    <w:rsid w:val="395D59E7"/>
    <w:rsid w:val="39A93932"/>
    <w:rsid w:val="3A705B70"/>
    <w:rsid w:val="3A915562"/>
    <w:rsid w:val="3AE55B2F"/>
    <w:rsid w:val="3B8D4765"/>
    <w:rsid w:val="3BB5977D"/>
    <w:rsid w:val="3C000DBA"/>
    <w:rsid w:val="3D1C31D0"/>
    <w:rsid w:val="3DC045D3"/>
    <w:rsid w:val="3DFBEABC"/>
    <w:rsid w:val="3E504FFB"/>
    <w:rsid w:val="3E615CD0"/>
    <w:rsid w:val="3E9C47F6"/>
    <w:rsid w:val="3F8B0112"/>
    <w:rsid w:val="3FAB3095"/>
    <w:rsid w:val="3FBD3747"/>
    <w:rsid w:val="3FE45947"/>
    <w:rsid w:val="40951E24"/>
    <w:rsid w:val="41242965"/>
    <w:rsid w:val="41C61A12"/>
    <w:rsid w:val="42DBA969"/>
    <w:rsid w:val="435671EA"/>
    <w:rsid w:val="440809E9"/>
    <w:rsid w:val="442407A6"/>
    <w:rsid w:val="44805EA1"/>
    <w:rsid w:val="45710696"/>
    <w:rsid w:val="46142B1B"/>
    <w:rsid w:val="46B5206F"/>
    <w:rsid w:val="47E02CE4"/>
    <w:rsid w:val="47E60DD0"/>
    <w:rsid w:val="48735039"/>
    <w:rsid w:val="48981928"/>
    <w:rsid w:val="492C684B"/>
    <w:rsid w:val="49500594"/>
    <w:rsid w:val="49E7604E"/>
    <w:rsid w:val="4BE933EC"/>
    <w:rsid w:val="4BF67CDD"/>
    <w:rsid w:val="4C3A401D"/>
    <w:rsid w:val="4D173441"/>
    <w:rsid w:val="4D603DD6"/>
    <w:rsid w:val="4EBF010F"/>
    <w:rsid w:val="4F471EB0"/>
    <w:rsid w:val="51331326"/>
    <w:rsid w:val="51740A7F"/>
    <w:rsid w:val="51A5541E"/>
    <w:rsid w:val="51C96242"/>
    <w:rsid w:val="53906AE1"/>
    <w:rsid w:val="53FF2B7C"/>
    <w:rsid w:val="547E77FC"/>
    <w:rsid w:val="54F46F60"/>
    <w:rsid w:val="55A37BEA"/>
    <w:rsid w:val="56362CD2"/>
    <w:rsid w:val="5784687B"/>
    <w:rsid w:val="57846959"/>
    <w:rsid w:val="578E6A87"/>
    <w:rsid w:val="58E10BDE"/>
    <w:rsid w:val="5ABF39F2"/>
    <w:rsid w:val="5AC2203A"/>
    <w:rsid w:val="5AFA8C10"/>
    <w:rsid w:val="5CBB3334"/>
    <w:rsid w:val="5D115FAF"/>
    <w:rsid w:val="5D8F5D8E"/>
    <w:rsid w:val="5FA17408"/>
    <w:rsid w:val="5FFEE984"/>
    <w:rsid w:val="61E879DC"/>
    <w:rsid w:val="62811722"/>
    <w:rsid w:val="62E75A72"/>
    <w:rsid w:val="64571880"/>
    <w:rsid w:val="649125B6"/>
    <w:rsid w:val="64BF1959"/>
    <w:rsid w:val="652F4C1A"/>
    <w:rsid w:val="666D37F1"/>
    <w:rsid w:val="66F70597"/>
    <w:rsid w:val="67087D8F"/>
    <w:rsid w:val="671F687E"/>
    <w:rsid w:val="67F415F8"/>
    <w:rsid w:val="682640D1"/>
    <w:rsid w:val="684B73E5"/>
    <w:rsid w:val="68B44C89"/>
    <w:rsid w:val="69215D66"/>
    <w:rsid w:val="696007FA"/>
    <w:rsid w:val="6A047A2A"/>
    <w:rsid w:val="6B57AB0D"/>
    <w:rsid w:val="6C657C8A"/>
    <w:rsid w:val="6C912529"/>
    <w:rsid w:val="6EB45DE2"/>
    <w:rsid w:val="6EFB7548"/>
    <w:rsid w:val="6F2463D6"/>
    <w:rsid w:val="6F3831C3"/>
    <w:rsid w:val="6F8B71C1"/>
    <w:rsid w:val="70753482"/>
    <w:rsid w:val="707B522A"/>
    <w:rsid w:val="73194D05"/>
    <w:rsid w:val="73A83B0E"/>
    <w:rsid w:val="744D3EF9"/>
    <w:rsid w:val="74794411"/>
    <w:rsid w:val="75867C40"/>
    <w:rsid w:val="75B10B26"/>
    <w:rsid w:val="76432199"/>
    <w:rsid w:val="76F44829"/>
    <w:rsid w:val="77A267C0"/>
    <w:rsid w:val="77BBA541"/>
    <w:rsid w:val="78882278"/>
    <w:rsid w:val="78B118A6"/>
    <w:rsid w:val="79135044"/>
    <w:rsid w:val="7A3453E7"/>
    <w:rsid w:val="7A7D0F99"/>
    <w:rsid w:val="7BF74160"/>
    <w:rsid w:val="7CBF93E7"/>
    <w:rsid w:val="7E3E37B3"/>
    <w:rsid w:val="7E4A0E7C"/>
    <w:rsid w:val="7EBB5D93"/>
    <w:rsid w:val="7EDC282E"/>
    <w:rsid w:val="7EFD449D"/>
    <w:rsid w:val="7FFF9E79"/>
    <w:rsid w:val="8FFFD0C8"/>
    <w:rsid w:val="9FBFC275"/>
    <w:rsid w:val="9FF5B2D2"/>
    <w:rsid w:val="C7AF3B80"/>
    <w:rsid w:val="C7B79A0B"/>
    <w:rsid w:val="CFDF8B06"/>
    <w:rsid w:val="DFFB332D"/>
    <w:rsid w:val="DFFF7AED"/>
    <w:rsid w:val="DFFF8720"/>
    <w:rsid w:val="EBBE5874"/>
    <w:rsid w:val="ED691015"/>
    <w:rsid w:val="EFFF5E13"/>
    <w:rsid w:val="FDFF5B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uiPriority w:val="99"/>
    <w:rPr>
      <w:color w:val="800080"/>
      <w:u w:val="single"/>
    </w:rPr>
  </w:style>
  <w:style w:type="character" w:styleId="9">
    <w:name w:val="Hyperlink"/>
    <w:unhideWhenUsed/>
    <w:uiPriority w:val="99"/>
    <w:rPr>
      <w:color w:val="0000FF"/>
      <w:u w:val="single"/>
    </w:rPr>
  </w:style>
  <w:style w:type="character" w:customStyle="1" w:styleId="10">
    <w:name w:val="批注框文本 Char"/>
    <w:link w:val="2"/>
    <w:semiHidden/>
    <w:uiPriority w:val="99"/>
    <w:rPr>
      <w:kern w:val="2"/>
      <w:sz w:val="18"/>
      <w:szCs w:val="18"/>
    </w:rPr>
  </w:style>
  <w:style w:type="character" w:customStyle="1" w:styleId="11">
    <w:name w:val="页脚 Char"/>
    <w:link w:val="3"/>
    <w:uiPriority w:val="99"/>
    <w:rPr>
      <w:kern w:val="2"/>
      <w:sz w:val="18"/>
      <w:szCs w:val="18"/>
    </w:rPr>
  </w:style>
  <w:style w:type="character" w:customStyle="1" w:styleId="12">
    <w:name w:val="页眉 Char"/>
    <w:link w:val="4"/>
    <w:uiPriority w:val="99"/>
    <w:rPr>
      <w:kern w:val="2"/>
      <w:sz w:val="18"/>
      <w:szCs w:val="18"/>
    </w:rPr>
  </w:style>
  <w:style w:type="character" w:customStyle="1" w:styleId="13">
    <w:name w:val="font21"/>
    <w:uiPriority w:val="0"/>
    <w:rPr>
      <w:rFonts w:hint="eastAsia" w:ascii="宋体" w:hAnsi="宋体" w:eastAsia="宋体" w:cs="宋体"/>
      <w:color w:val="000000"/>
      <w:sz w:val="22"/>
      <w:szCs w:val="22"/>
      <w:u w:val="none"/>
    </w:rPr>
  </w:style>
  <w:style w:type="character" w:customStyle="1" w:styleId="14">
    <w:name w:val="font51"/>
    <w:uiPriority w:val="0"/>
    <w:rPr>
      <w:rFonts w:hint="eastAsia" w:ascii="宋体" w:hAnsi="宋体" w:eastAsia="宋体" w:cs="宋体"/>
      <w:color w:val="000000"/>
      <w:sz w:val="24"/>
      <w:szCs w:val="24"/>
      <w:u w:val="none"/>
    </w:rPr>
  </w:style>
  <w:style w:type="character" w:customStyle="1" w:styleId="15">
    <w:name w:val="font41"/>
    <w:uiPriority w:val="0"/>
    <w:rPr>
      <w:rFonts w:hint="eastAsia" w:ascii="宋体" w:hAnsi="宋体" w:eastAsia="宋体" w:cs="宋体"/>
      <w:color w:val="000000"/>
      <w:sz w:val="24"/>
      <w:szCs w:val="24"/>
      <w:u w:val="none"/>
    </w:rPr>
  </w:style>
  <w:style w:type="character" w:customStyle="1" w:styleId="16">
    <w:name w:val="font01"/>
    <w:uiPriority w:val="0"/>
    <w:rPr>
      <w:rFonts w:hint="eastAsia" w:ascii="宋体" w:hAnsi="宋体" w:eastAsia="宋体" w:cs="宋体"/>
      <w:color w:val="000000"/>
      <w:sz w:val="22"/>
      <w:szCs w:val="22"/>
      <w:u w:val="none"/>
    </w:rPr>
  </w:style>
  <w:style w:type="character" w:customStyle="1" w:styleId="17">
    <w:name w:val="font11"/>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8763</Words>
  <Characters>10562</Characters>
  <Lines>60</Lines>
  <Paragraphs>16</Paragraphs>
  <TotalTime>42</TotalTime>
  <ScaleCrop>false</ScaleCrop>
  <LinksUpToDate>false</LinksUpToDate>
  <CharactersWithSpaces>10800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2007-11-30T11:41:00Z</dcterms:created>
  <dc:creator>管理者</dc:creator>
  <cp:lastModifiedBy>悟の</cp:lastModifiedBy>
  <cp:lastPrinted>2018-07-25T18:50:00Z</cp:lastPrinted>
  <dcterms:modified xsi:type="dcterms:W3CDTF">2023-05-29T02:59:42Z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2048844C962A4721AE8916E01E25349C_13</vt:lpwstr>
  </property>
</Properties>
</file>