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许昌市工业和信息化局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w:t>
      </w: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二</w:t>
      </w:r>
      <w:r>
        <w:rPr>
          <w:rFonts w:hint="eastAsia" w:ascii="黑体" w:hAnsi="黑体" w:eastAsia="黑体" w:cs="黑体"/>
          <w:sz w:val="32"/>
          <w:szCs w:val="32"/>
          <w:highlight w:val="none"/>
          <w:lang w:eastAsia="zh-CN"/>
        </w:rPr>
        <w:t>年九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许昌市工业和信息化局</w:t>
      </w:r>
      <w:r>
        <w:rPr>
          <w:rFonts w:hint="eastAsia" w:ascii="黑体" w:hAnsi="黑体" w:eastAsia="黑体" w:cs="黑体"/>
          <w:sz w:val="32"/>
          <w:szCs w:val="32"/>
          <w:highlight w:val="none"/>
        </w:rPr>
        <w:t>概况</w:t>
      </w:r>
    </w:p>
    <w:p>
      <w:pPr>
        <w:numPr>
          <w:ilvl w:val="0"/>
          <w:numId w:val="2"/>
        </w:numPr>
        <w:ind w:left="-10" w:leftChars="0" w:firstLine="640" w:firstLineChars="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2"/>
        </w:numPr>
        <w:ind w:left="-10" w:leftChars="0" w:firstLine="640" w:firstLineChars="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3"/>
        </w:numPr>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lang w:val="en-US" w:eastAsia="zh-CN"/>
        </w:rPr>
        <w:t>许昌市工业和信息化局</w:t>
      </w:r>
      <w:r>
        <w:rPr>
          <w:rFonts w:hint="eastAsia" w:ascii="黑体" w:hAnsi="黑体" w:eastAsia="黑体" w:cs="黑体"/>
          <w:sz w:val="48"/>
          <w:szCs w:val="48"/>
          <w:highlight w:val="none"/>
        </w:rPr>
        <w:t>概况</w:t>
      </w:r>
    </w:p>
    <w:p>
      <w:pPr>
        <w:widowControl/>
        <w:ind w:firstLine="640" w:firstLineChars="200"/>
        <w:jc w:val="center"/>
        <w:outlineLvl w:val="1"/>
        <w:rPr>
          <w:rFonts w:ascii="黑体" w:hAnsi="黑体" w:eastAsia="黑体" w:cs="黑体"/>
          <w:kern w:val="0"/>
          <w:sz w:val="32"/>
          <w:szCs w:val="32"/>
          <w:highlight w:val="none"/>
        </w:rPr>
      </w:pPr>
    </w:p>
    <w:p>
      <w:pPr>
        <w:widowControl/>
        <w:ind w:firstLine="640" w:firstLineChars="200"/>
        <w:jc w:val="center"/>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960" w:firstLineChars="3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一）贯彻执行上级有关工业和信息化的法律、法规和方针政策和有关规范性文件，协调解决新型工业化进程中的重大问题，拟订并组织实施全市工业和信息化的发展规划以及推动传统产业技术改造相关办法，推进产业结构战略性调整和优化升级，推进信息化和工业化融合。</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二）拟订并组织实施全市工业行业规划、计划和产业政策，提出优化产业布局和结构政策建议；引导和扶持工业和信息产业发展，起草相关规范性文件，拟订并组织实施行业技术规范和标准，指导行业质量管理工作。</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三）监测分析全市工业运行态势，统计并发布相关信息，进行预测预警和信息引导，协调解决行业运行发展中的有关问题并提出意见建议；指导相关行业加强安全生产管理，负责工业行业领城安全生产应急管理、产业安全等相关工作。</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四）拟订并组织实施全市制造业服务化、平台化发展中长期规划和年度计划，促进制造业和生产性服务业融合发展，推进产业融合、生产性服务业功能区和公共服务平台建设；促进供应链管理技术推广应用，协同推进现代物流业发展。</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五）负责提出全市工业和信息化固定资产投资规模和方向（含利用外资和境外投资），国家、省对口部门和本市用于工业和产业信息化财政性建设资金安排的意见，按照市政府规定权限审批、核准省市规划内以及年度计划规模内固定资产投资项目。</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六）组织实施国家高技术产业中涉及生物医药、新材料、航空航天、信息产业等的规划、政策和标准，指导行业技木创新和技术进步，以先进适用技术改造提升传统产业，组织实施国家、省、市有关科技重大专项，推进相关科研成果产业化，推动全市软件业、信息服务业和新兴产业发展。</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七）拟订并组织实施全市工业和信息化的能源节约和资源综合利用、循环经济、绿色化制造，促进政策，参与拟订能源节约和资源综合利用、循环经济、绿色化改造促进规划、政策，组织协调相关重大示范工程建设和新产品、新技术、新设各、新材料推广应用。</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八）负责全市振兴装备制造业的组织协调工作，组织拟订重大技术装备发展和自主创新的规划、政策，依托重点工程建设协调有关重大专项的实施，推进重大技术装备国产化，指导引进重大技术装备的消化创新。</w:t>
      </w:r>
    </w:p>
    <w:p>
      <w:pPr>
        <w:widowControl/>
        <w:spacing w:line="360" w:lineRule="auto"/>
        <w:ind w:firstLine="640" w:firstLineChars="200"/>
        <w:jc w:val="left"/>
        <w:rPr>
          <w:rFonts w:hint="eastAsia" w:ascii="仿宋" w:hAnsi="仿宋" w:eastAsia="仿宋" w:cs="Calibri"/>
          <w:kern w:val="0"/>
          <w:sz w:val="32"/>
          <w:szCs w:val="32"/>
          <w:lang w:val="en-US" w:eastAsia="zh-CN"/>
        </w:rPr>
      </w:pPr>
      <w:r>
        <w:rPr>
          <w:rFonts w:hint="eastAsia" w:ascii="仿宋" w:hAnsi="仿宋" w:eastAsia="仿宋" w:cs="Calibri"/>
          <w:kern w:val="0"/>
          <w:sz w:val="32"/>
          <w:szCs w:val="32"/>
        </w:rPr>
        <w:t>（九）负责全市中小企业、民营经济发展的宏观指导，拟订并组织实施中小企业发展中长期规划；负责推动建立完善中小企业服务体系</w:t>
      </w:r>
      <w:r>
        <w:rPr>
          <w:rFonts w:hint="eastAsia" w:ascii="仿宋" w:hAnsi="仿宋" w:eastAsia="仿宋" w:cs="MS Mincho"/>
          <w:kern w:val="0"/>
          <w:sz w:val="32"/>
          <w:szCs w:val="32"/>
        </w:rPr>
        <w:t>，</w:t>
      </w:r>
      <w:r>
        <w:rPr>
          <w:rFonts w:hint="eastAsia" w:ascii="仿宋" w:hAnsi="仿宋" w:eastAsia="仿宋" w:cs="Calibri"/>
          <w:kern w:val="0"/>
          <w:sz w:val="32"/>
          <w:szCs w:val="32"/>
        </w:rPr>
        <w:t>协调解决重大问题；会同有关部门拟订促进中小企业发展和非公有经济发展的相关政策、措施并监督检查执行情况。</w:t>
      </w:r>
      <w:r>
        <w:rPr>
          <w:rFonts w:hint="eastAsia" w:ascii="仿宋" w:hAnsi="仿宋" w:eastAsia="仿宋" w:cs="Calibri"/>
          <w:kern w:val="0"/>
          <w:sz w:val="32"/>
          <w:szCs w:val="32"/>
          <w:lang w:val="en-US" w:eastAsia="zh-CN"/>
        </w:rPr>
        <w:t xml:space="preserve">                                                                 </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lang w:val="en-US" w:eastAsia="zh-CN"/>
        </w:rPr>
        <w:t>（十）</w:t>
      </w:r>
      <w:r>
        <w:rPr>
          <w:rFonts w:hint="eastAsia" w:ascii="仿宋" w:hAnsi="仿宋" w:eastAsia="仿宋" w:cs="Calibri"/>
          <w:kern w:val="0"/>
          <w:sz w:val="32"/>
          <w:szCs w:val="32"/>
        </w:rPr>
        <w:t>统筹推进全市信息化工作，组织拟订相关规范性文件并协调信息化建设中的重大问题；促进电信、广播电视和计算机网络融合，指导协调工业电子商务平台建设，推动跨行业等互联互通和重要信息资源的开发利用共享；推进物联网、云计算、大数据等基于信息技术的新兴业态发展。</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十一）承担相关信息安全管理责任；负责协调维护全市网络安全和网络安全保障体系建设，指导监督重点行业的关键信息基础设施和基础网络的相关安全保障工作；承担信息安全应急协调工作，协调处理重大事件。</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十二）负责全市工业和信息化领域对外交流合作事务，研究拟订支持意见措施；指导各地开展相关产业交流合作工作，督促交流合作签约项目落实情况；拟订并组织实施全市制造业对外合作年度行动计划，编制发布我市工业和信息化领域产业合作指南；研究协调产业转移示范区发展中的重大问题，提出意见建议。</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（十三）承担企业改革和信访稳定工作。</w:t>
      </w:r>
    </w:p>
    <w:p>
      <w:pPr>
        <w:widowControl/>
        <w:spacing w:line="360" w:lineRule="auto"/>
        <w:ind w:firstLine="640" w:firstLineChars="200"/>
        <w:jc w:val="left"/>
        <w:rPr>
          <w:rFonts w:hint="eastAsia" w:ascii="仿宋" w:hAnsi="仿宋" w:eastAsia="仿宋" w:cs="Calibri"/>
          <w:kern w:val="0"/>
          <w:sz w:val="32"/>
          <w:szCs w:val="32"/>
          <w:lang w:val="en-US" w:eastAsia="zh-CN"/>
        </w:rPr>
      </w:pPr>
      <w:r>
        <w:rPr>
          <w:rFonts w:hint="eastAsia" w:ascii="仿宋" w:hAnsi="仿宋" w:eastAsia="仿宋" w:cs="Calibri"/>
          <w:kern w:val="0"/>
          <w:sz w:val="32"/>
          <w:szCs w:val="32"/>
          <w:lang w:val="en-US" w:eastAsia="zh-CN"/>
        </w:rPr>
        <w:t xml:space="preserve"> (十四）对全市民营经济、中小企业发展有关问题进行研究，提出政策建议和咨询意见，协助机关做好促进我市民营经济及中小企业发展工作；对中德（许昌）中小企业合作区建设涉及中德（许昌）合作的有关重大政策性、战略性问题进行深层次研究，提升合作层次、拓宽合作领域，促进合作关系健康发展。</w:t>
      </w:r>
    </w:p>
    <w:p>
      <w:pPr>
        <w:widowControl/>
        <w:spacing w:line="360" w:lineRule="auto"/>
        <w:ind w:firstLine="640" w:firstLineChars="200"/>
        <w:jc w:val="left"/>
        <w:rPr>
          <w:rFonts w:hint="eastAsia" w:ascii="仿宋" w:hAnsi="仿宋" w:eastAsia="仿宋" w:cs="Calibri"/>
          <w:kern w:val="0"/>
          <w:sz w:val="32"/>
          <w:szCs w:val="32"/>
        </w:rPr>
      </w:pPr>
      <w:r>
        <w:rPr>
          <w:rFonts w:hint="eastAsia" w:ascii="仿宋" w:hAnsi="仿宋" w:eastAsia="仿宋" w:cs="Calibri"/>
          <w:kern w:val="0"/>
          <w:sz w:val="32"/>
          <w:szCs w:val="32"/>
        </w:rPr>
        <w:t>（十</w:t>
      </w:r>
      <w:r>
        <w:rPr>
          <w:rFonts w:hint="eastAsia" w:ascii="仿宋" w:hAnsi="仿宋" w:eastAsia="仿宋" w:cs="Calibri"/>
          <w:kern w:val="0"/>
          <w:sz w:val="32"/>
          <w:szCs w:val="32"/>
          <w:lang w:eastAsia="zh-CN"/>
        </w:rPr>
        <w:t>五</w:t>
      </w:r>
      <w:r>
        <w:rPr>
          <w:rFonts w:hint="eastAsia" w:ascii="仿宋" w:hAnsi="仿宋" w:eastAsia="仿宋" w:cs="Calibri"/>
          <w:kern w:val="0"/>
          <w:sz w:val="32"/>
          <w:szCs w:val="32"/>
        </w:rPr>
        <w:t>）完成市委、市政府交办的其他任务。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 w:hAnsi="仿宋" w:eastAsia="仿宋" w:cs="Calibri"/>
          <w:kern w:val="0"/>
          <w:sz w:val="32"/>
          <w:szCs w:val="32"/>
          <w:lang w:eastAsia="zh-CN"/>
        </w:rPr>
        <w:t>许昌市工业和信息化局</w:t>
      </w:r>
      <w:r>
        <w:rPr>
          <w:rFonts w:hint="eastAsia" w:ascii="仿宋" w:hAnsi="仿宋" w:eastAsia="仿宋" w:cs="Calibri"/>
          <w:kern w:val="0"/>
          <w:sz w:val="32"/>
          <w:szCs w:val="32"/>
          <w:lang w:val="en-US" w:eastAsia="zh-CN"/>
        </w:rPr>
        <w:t>内设机构18个</w:t>
      </w:r>
      <w:r>
        <w:rPr>
          <w:rFonts w:hint="eastAsia" w:ascii="仿宋" w:hAnsi="仿宋" w:eastAsia="仿宋" w:cs="Calibri"/>
          <w:kern w:val="0"/>
          <w:sz w:val="32"/>
          <w:szCs w:val="32"/>
          <w:lang w:eastAsia="zh-CN"/>
        </w:rPr>
        <w:t>，</w:t>
      </w:r>
      <w:r>
        <w:rPr>
          <w:rFonts w:hint="eastAsia" w:ascii="仿宋" w:hAnsi="仿宋" w:eastAsia="仿宋" w:cs="Calibri"/>
          <w:kern w:val="0"/>
          <w:sz w:val="32"/>
          <w:szCs w:val="32"/>
          <w:lang w:val="en-US" w:eastAsia="zh-CN"/>
        </w:rPr>
        <w:t>包括：</w:t>
      </w:r>
      <w:r>
        <w:rPr>
          <w:rFonts w:hint="eastAsia" w:ascii="仿宋" w:hAnsi="仿宋" w:eastAsia="仿宋" w:cs="Calibri"/>
          <w:kern w:val="0"/>
          <w:sz w:val="32"/>
          <w:szCs w:val="32"/>
          <w:lang w:eastAsia="zh-CN"/>
        </w:rPr>
        <w:t>办公室、市委军民融合发展委员会办公室秘书科、政策研究和法规科、规划和产业政策科、产业融合办公室、科技和电子信息科、运行监测协调办公室、中小企业服务办公室、安全生产科、材料工业与节能利用科、装备工业科、消费品工业科、工业信息化工作办公室、对外交流合作科、企业改革和信访科、人事教育科、机关党委、离退休干部工作科。</w:t>
      </w:r>
    </w:p>
    <w:p>
      <w:pPr>
        <w:widowControl/>
        <w:ind w:firstLine="640" w:firstLineChars="200"/>
        <w:jc w:val="left"/>
        <w:rPr>
          <w:rFonts w:hint="eastAsia" w:ascii="仿宋" w:hAnsi="仿宋" w:eastAsia="仿宋" w:cs="Calibri"/>
          <w:kern w:val="0"/>
          <w:sz w:val="32"/>
          <w:szCs w:val="32"/>
          <w:lang w:eastAsia="zh-CN"/>
        </w:rPr>
      </w:pPr>
      <w:r>
        <w:rPr>
          <w:rFonts w:hint="eastAsia" w:ascii="仿宋" w:hAnsi="仿宋" w:eastAsia="仿宋" w:cs="Calibri"/>
          <w:kern w:val="0"/>
          <w:sz w:val="32"/>
          <w:szCs w:val="32"/>
          <w:lang w:eastAsia="zh-CN"/>
        </w:rPr>
        <w:t>从决算单位构成看，许昌市工业和信息化局部门决算包括：本级决算</w:t>
      </w:r>
      <w:r>
        <w:rPr>
          <w:rFonts w:hint="eastAsia" w:ascii="仿宋" w:hAnsi="仿宋" w:eastAsia="仿宋" w:cs="Calibri"/>
          <w:kern w:val="0"/>
          <w:sz w:val="32"/>
          <w:szCs w:val="32"/>
          <w:lang w:val="en-US" w:eastAsia="zh-CN"/>
        </w:rPr>
        <w:t>(1个)</w:t>
      </w:r>
      <w:r>
        <w:rPr>
          <w:rFonts w:hint="eastAsia" w:ascii="仿宋" w:hAnsi="仿宋" w:eastAsia="仿宋" w:cs="Calibri"/>
          <w:kern w:val="0"/>
          <w:sz w:val="32"/>
          <w:szCs w:val="32"/>
          <w:lang w:eastAsia="zh-CN"/>
        </w:rPr>
        <w:t>、所属单位决算</w:t>
      </w:r>
      <w:r>
        <w:rPr>
          <w:rFonts w:hint="eastAsia" w:ascii="仿宋" w:hAnsi="仿宋" w:eastAsia="仿宋" w:cs="Calibri"/>
          <w:kern w:val="0"/>
          <w:sz w:val="32"/>
          <w:szCs w:val="32"/>
          <w:lang w:val="en-US" w:eastAsia="zh-CN"/>
        </w:rPr>
        <w:t>(1个)</w:t>
      </w:r>
      <w:r>
        <w:rPr>
          <w:rFonts w:hint="eastAsia" w:ascii="仿宋" w:hAnsi="仿宋" w:eastAsia="仿宋" w:cs="Calibri"/>
          <w:kern w:val="0"/>
          <w:sz w:val="32"/>
          <w:szCs w:val="32"/>
          <w:lang w:eastAsia="zh-CN"/>
        </w:rPr>
        <w:t>。</w:t>
      </w:r>
    </w:p>
    <w:p>
      <w:pPr>
        <w:widowControl/>
        <w:ind w:firstLine="640" w:firstLineChars="200"/>
        <w:jc w:val="left"/>
        <w:rPr>
          <w:rFonts w:hint="eastAsia" w:ascii="仿宋" w:hAnsi="仿宋" w:eastAsia="仿宋" w:cs="Calibri"/>
          <w:kern w:val="0"/>
          <w:sz w:val="32"/>
          <w:szCs w:val="32"/>
          <w:lang w:val="en-US" w:eastAsia="zh-CN"/>
        </w:rPr>
      </w:pPr>
      <w:r>
        <w:rPr>
          <w:rFonts w:hint="eastAsia" w:ascii="仿宋" w:hAnsi="仿宋" w:eastAsia="仿宋" w:cs="Calibri"/>
          <w:kern w:val="0"/>
          <w:sz w:val="32"/>
          <w:szCs w:val="32"/>
          <w:lang w:val="en-US" w:eastAsia="zh-CN"/>
        </w:rPr>
        <w:t>本决算为汇总决算，纳入本部门2021年度部门决算编制范围的单位共3个，</w:t>
      </w:r>
      <w:r>
        <w:rPr>
          <w:rFonts w:hint="eastAsia" w:ascii="仿宋" w:hAnsi="仿宋" w:eastAsia="仿宋" w:cs="Calibri"/>
          <w:kern w:val="0"/>
          <w:sz w:val="32"/>
          <w:szCs w:val="32"/>
          <w:lang w:eastAsia="zh-CN"/>
        </w:rPr>
        <w:t>其中二级预算单位</w:t>
      </w:r>
      <w:r>
        <w:rPr>
          <w:rFonts w:hint="eastAsia" w:ascii="仿宋" w:hAnsi="仿宋" w:eastAsia="仿宋" w:cs="Calibri"/>
          <w:kern w:val="0"/>
          <w:sz w:val="32"/>
          <w:szCs w:val="32"/>
          <w:lang w:val="en-US" w:eastAsia="zh-CN"/>
        </w:rPr>
        <w:t>2</w:t>
      </w:r>
      <w:r>
        <w:rPr>
          <w:rFonts w:hint="eastAsia" w:ascii="仿宋" w:hAnsi="仿宋" w:eastAsia="仿宋" w:cs="Calibri"/>
          <w:kern w:val="0"/>
          <w:sz w:val="32"/>
          <w:szCs w:val="32"/>
          <w:lang w:eastAsia="zh-CN"/>
        </w:rPr>
        <w:t>个，</w:t>
      </w:r>
      <w:r>
        <w:rPr>
          <w:rFonts w:hint="eastAsia" w:ascii="仿宋" w:hAnsi="仿宋" w:eastAsia="仿宋" w:cs="Calibri"/>
          <w:kern w:val="0"/>
          <w:sz w:val="32"/>
          <w:szCs w:val="32"/>
          <w:lang w:val="en-US" w:eastAsia="zh-CN"/>
        </w:rPr>
        <w:t>具体是：</w:t>
      </w:r>
    </w:p>
    <w:p>
      <w:pPr>
        <w:widowControl/>
        <w:ind w:firstLine="640" w:firstLineChars="200"/>
        <w:jc w:val="left"/>
        <w:rPr>
          <w:rFonts w:hint="eastAsia" w:ascii="仿宋" w:hAnsi="仿宋" w:eastAsia="仿宋" w:cs="Calibri"/>
          <w:kern w:val="0"/>
          <w:sz w:val="32"/>
          <w:szCs w:val="32"/>
          <w:lang w:val="en-US" w:eastAsia="zh-CN"/>
        </w:rPr>
      </w:pPr>
      <w:r>
        <w:rPr>
          <w:rFonts w:hint="eastAsia" w:ascii="仿宋" w:hAnsi="仿宋" w:eastAsia="仿宋" w:cs="Calibri"/>
          <w:kern w:val="0"/>
          <w:sz w:val="32"/>
          <w:szCs w:val="32"/>
          <w:lang w:eastAsia="zh-CN"/>
        </w:rPr>
        <w:t>1.许昌市工业和信息化局</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eastAsia="zh-CN"/>
        </w:rPr>
        <w:t>本级</w:t>
      </w:r>
      <w:r>
        <w:rPr>
          <w:rFonts w:hint="eastAsia" w:ascii="仿宋" w:hAnsi="仿宋" w:eastAsia="仿宋" w:cs="Calibri"/>
          <w:kern w:val="0"/>
          <w:sz w:val="32"/>
          <w:szCs w:val="32"/>
          <w:lang w:val="en-US" w:eastAsia="zh-CN"/>
        </w:rPr>
        <w:t>)</w:t>
      </w:r>
    </w:p>
    <w:p>
      <w:pPr>
        <w:widowControl/>
        <w:ind w:firstLine="640" w:firstLineChars="200"/>
        <w:jc w:val="left"/>
        <w:rPr>
          <w:rFonts w:hint="eastAsia" w:ascii="仿宋" w:hAnsi="仿宋" w:eastAsia="仿宋" w:cs="Calibri"/>
          <w:kern w:val="0"/>
          <w:sz w:val="32"/>
          <w:szCs w:val="32"/>
          <w:lang w:eastAsia="zh-CN"/>
        </w:rPr>
      </w:pPr>
      <w:r>
        <w:rPr>
          <w:rFonts w:hint="eastAsia" w:ascii="仿宋" w:hAnsi="仿宋" w:eastAsia="仿宋" w:cs="Calibri"/>
          <w:kern w:val="0"/>
          <w:sz w:val="32"/>
          <w:szCs w:val="32"/>
          <w:lang w:eastAsia="zh-CN"/>
        </w:rPr>
        <w:t>2.许昌市民营经济发展研究中心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52"/>
          <w:szCs w:val="52"/>
          <w:highlight w:val="none"/>
        </w:rPr>
      </w:pPr>
    </w:p>
    <w:p>
      <w:pPr>
        <w:widowControl/>
        <w:jc w:val="left"/>
        <w:rPr>
          <w:rFonts w:hint="eastAsia" w:ascii="黑体" w:hAnsi="宋体" w:eastAsia="黑体" w:cs="宋体"/>
          <w:kern w:val="0"/>
          <w:sz w:val="52"/>
          <w:szCs w:val="52"/>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629"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single" w:color="000000" w:sz="8" w:space="0"/>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部门：许昌市工业和信息化局</w:t>
            </w:r>
          </w:p>
        </w:tc>
        <w:tc>
          <w:tcPr>
            <w:tcW w:w="825" w:type="dxa"/>
            <w:tcBorders>
              <w:top w:val="nil"/>
              <w:left w:val="nil"/>
              <w:bottom w:val="single" w:color="000000" w:sz="8" w:space="0"/>
              <w:right w:val="nil"/>
            </w:tcBorders>
            <w:shd w:val="clear" w:color="auto" w:fill="FFFFFF"/>
            <w:noWrap/>
            <w:tcMar>
              <w:top w:w="15" w:type="dxa"/>
              <w:left w:w="15" w:type="dxa"/>
              <w:right w:w="15" w:type="dxa"/>
            </w:tcMar>
            <w:vAlign w:val="bottom"/>
          </w:tcPr>
          <w:p>
            <w:pPr>
              <w:rPr>
                <w:rFonts w:hint="eastAsia" w:ascii="宋体" w:hAnsi="宋体" w:cs="宋体"/>
                <w:color w:val="000000"/>
                <w:sz w:val="20"/>
                <w:szCs w:val="20"/>
                <w:highlight w:val="none"/>
              </w:rPr>
            </w:pPr>
          </w:p>
        </w:tc>
        <w:tc>
          <w:tcPr>
            <w:tcW w:w="1764" w:type="dxa"/>
            <w:tcBorders>
              <w:top w:val="nil"/>
              <w:left w:val="nil"/>
              <w:bottom w:val="single" w:color="000000" w:sz="8" w:space="0"/>
              <w:right w:val="nil"/>
            </w:tcBorders>
            <w:shd w:val="clear" w:color="auto" w:fill="FFFFFF"/>
            <w:noWrap/>
            <w:tcMar>
              <w:top w:w="15" w:type="dxa"/>
              <w:left w:w="15" w:type="dxa"/>
              <w:right w:w="15" w:type="dxa"/>
            </w:tcMar>
            <w:vAlign w:val="bottom"/>
          </w:tcPr>
          <w:p>
            <w:pPr>
              <w:rPr>
                <w:rFonts w:hint="eastAsia" w:ascii="宋体" w:hAnsi="宋体" w:cs="宋体"/>
                <w:color w:val="000000"/>
                <w:sz w:val="20"/>
                <w:szCs w:val="20"/>
                <w:highlight w:val="none"/>
              </w:rPr>
            </w:pPr>
          </w:p>
        </w:tc>
        <w:tc>
          <w:tcPr>
            <w:tcW w:w="4671" w:type="dxa"/>
            <w:tcBorders>
              <w:top w:val="nil"/>
              <w:left w:val="nil"/>
              <w:bottom w:val="single" w:color="000000" w:sz="8" w:space="0"/>
              <w:right w:val="nil"/>
            </w:tcBorders>
            <w:shd w:val="clear" w:color="auto" w:fill="FFFFFF"/>
            <w:noWrap/>
            <w:tcMar>
              <w:top w:w="15" w:type="dxa"/>
              <w:left w:w="15" w:type="dxa"/>
              <w:right w:w="15" w:type="dxa"/>
            </w:tcMar>
            <w:vAlign w:val="bottom"/>
          </w:tcPr>
          <w:p>
            <w:pPr>
              <w:rPr>
                <w:rFonts w:hint="eastAsia" w:ascii="宋体" w:hAnsi="宋体" w:cs="宋体"/>
                <w:color w:val="000000"/>
                <w:sz w:val="20"/>
                <w:szCs w:val="20"/>
                <w:highlight w:val="none"/>
              </w:rPr>
            </w:pPr>
          </w:p>
        </w:tc>
        <w:tc>
          <w:tcPr>
            <w:tcW w:w="750" w:type="dxa"/>
            <w:tcBorders>
              <w:top w:val="nil"/>
              <w:left w:val="nil"/>
              <w:bottom w:val="single" w:color="000000" w:sz="8" w:space="0"/>
              <w:right w:val="nil"/>
            </w:tcBorders>
            <w:shd w:val="clear" w:color="auto" w:fill="FFFFFF"/>
            <w:noWrap/>
            <w:tcMar>
              <w:top w:w="15" w:type="dxa"/>
              <w:left w:w="15" w:type="dxa"/>
              <w:right w:w="15" w:type="dxa"/>
            </w:tcMar>
            <w:vAlign w:val="bottom"/>
          </w:tcPr>
          <w:p>
            <w:pPr>
              <w:rPr>
                <w:rFonts w:hint="eastAsia" w:ascii="宋体" w:hAnsi="宋体" w:cs="宋体"/>
                <w:color w:val="000000"/>
                <w:sz w:val="20"/>
                <w:szCs w:val="20"/>
                <w:highlight w:val="none"/>
              </w:rPr>
            </w:pPr>
          </w:p>
        </w:tc>
        <w:tc>
          <w:tcPr>
            <w:tcW w:w="1699" w:type="dxa"/>
            <w:tcBorders>
              <w:top w:val="nil"/>
              <w:left w:val="nil"/>
              <w:bottom w:val="single" w:color="000000" w:sz="8" w:space="0"/>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554"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54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项目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金额</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项目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497"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栏次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栏次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1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8,160.60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7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9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1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r>
      <w:tr>
        <w:tblPrEx>
          <w:tblCellMar>
            <w:top w:w="0" w:type="dxa"/>
            <w:left w:w="0" w:type="dxa"/>
            <w:bottom w:w="0" w:type="dxa"/>
            <w:right w:w="0" w:type="dxa"/>
          </w:tblCellMar>
        </w:tblPrEx>
        <w:trPr>
          <w:trHeight w:val="287"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3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699.84</w:t>
            </w: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62.83</w:t>
            </w: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41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1.41</w:t>
            </w: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9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1,452.55</w:t>
            </w: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8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7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2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5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0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8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4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3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4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4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rPr>
              <w:t>8</w:t>
            </w:r>
            <w:r>
              <w:rPr>
                <w:rFonts w:hint="eastAsia" w:ascii="宋体" w:hAnsi="宋体" w:cs="宋体"/>
                <w:color w:val="000000"/>
                <w:sz w:val="22"/>
                <w:szCs w:val="22"/>
                <w:highlight w:val="none"/>
                <w:lang w:val="en-US" w:eastAsia="zh-CN"/>
              </w:rPr>
              <w:t>,</w:t>
            </w:r>
            <w:r>
              <w:rPr>
                <w:rFonts w:hint="eastAsia" w:ascii="宋体" w:hAnsi="宋体" w:cs="宋体"/>
                <w:color w:val="000000"/>
                <w:sz w:val="22"/>
                <w:szCs w:val="22"/>
                <w:highlight w:val="none"/>
              </w:rPr>
              <w:t>160.6</w:t>
            </w:r>
            <w:r>
              <w:rPr>
                <w:rFonts w:hint="eastAsia" w:ascii="宋体" w:hAnsi="宋体" w:cs="宋体"/>
                <w:color w:val="000000"/>
                <w:sz w:val="22"/>
                <w:szCs w:val="22"/>
                <w:highlight w:val="none"/>
                <w:lang w:val="en-US" w:eastAsia="zh-CN"/>
              </w:rPr>
              <w:t>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rPr>
              <w:t>382.34</w:t>
            </w: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9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221.74</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84"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30</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74"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8</w:t>
            </w:r>
            <w:r>
              <w:rPr>
                <w:rFonts w:hint="eastAsia" w:ascii="宋体" w:hAnsi="宋体" w:cs="宋体"/>
                <w:color w:val="000000"/>
                <w:sz w:val="22"/>
                <w:szCs w:val="22"/>
                <w:highlight w:val="none"/>
                <w:lang w:val="en-US" w:eastAsia="zh-CN"/>
              </w:rPr>
              <w:t>,</w:t>
            </w:r>
            <w:r>
              <w:rPr>
                <w:rFonts w:hint="eastAsia" w:ascii="宋体" w:hAnsi="宋体" w:cs="宋体"/>
                <w:color w:val="000000"/>
                <w:sz w:val="22"/>
                <w:szCs w:val="22"/>
                <w:highlight w:val="none"/>
              </w:rPr>
              <w:t>382.34</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b/>
                <w:color w:val="000000"/>
                <w:sz w:val="22"/>
                <w:szCs w:val="22"/>
                <w:highlight w:val="none"/>
              </w:rPr>
            </w:pPr>
            <w:r>
              <w:rPr>
                <w:rFonts w:hint="eastAsia" w:ascii="宋体" w:hAnsi="宋体" w:eastAsia="宋体" w:cs="宋体"/>
                <w:b w:val="0"/>
                <w:bCs w:val="0"/>
                <w:color w:val="000000"/>
                <w:sz w:val="22"/>
                <w:szCs w:val="22"/>
                <w:highlight w:val="none"/>
              </w:rPr>
              <w:t>8</w:t>
            </w:r>
            <w:r>
              <w:rPr>
                <w:rFonts w:hint="eastAsia" w:ascii="宋体" w:hAnsi="宋体" w:eastAsia="宋体" w:cs="宋体"/>
                <w:b w:val="0"/>
                <w:bCs w:val="0"/>
                <w:color w:val="000000"/>
                <w:sz w:val="22"/>
                <w:szCs w:val="22"/>
                <w:highlight w:val="none"/>
                <w:lang w:val="en-US" w:eastAsia="zh-CN"/>
              </w:rPr>
              <w:t>,</w:t>
            </w:r>
            <w:r>
              <w:rPr>
                <w:rFonts w:hint="eastAsia" w:ascii="宋体" w:hAnsi="宋体" w:eastAsia="宋体" w:cs="宋体"/>
                <w:b w:val="0"/>
                <w:bCs w:val="0"/>
                <w:color w:val="000000"/>
                <w:sz w:val="22"/>
                <w:szCs w:val="22"/>
                <w:highlight w:val="none"/>
              </w:rPr>
              <w:t>382.3</w:t>
            </w:r>
            <w:r>
              <w:rPr>
                <w:rFonts w:hint="eastAsia" w:ascii="宋体" w:hAnsi="宋体" w:cs="宋体"/>
                <w:b w:val="0"/>
                <w:bCs w:val="0"/>
                <w:color w:val="000000"/>
                <w:sz w:val="22"/>
                <w:szCs w:val="22"/>
                <w:highlight w:val="none"/>
              </w:rPr>
              <w:t>4</w:t>
            </w:r>
          </w:p>
        </w:tc>
      </w:tr>
      <w:tr>
        <w:tblPrEx>
          <w:tblCellMar>
            <w:top w:w="0" w:type="dxa"/>
            <w:left w:w="0" w:type="dxa"/>
            <w:bottom w:w="0" w:type="dxa"/>
            <w:right w:w="0" w:type="dxa"/>
          </w:tblCellMar>
        </w:tblPrEx>
        <w:trPr>
          <w:trHeight w:val="570"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1027"/>
        <w:gridCol w:w="59"/>
        <w:gridCol w:w="2229"/>
        <w:gridCol w:w="595"/>
        <w:gridCol w:w="1185"/>
        <w:gridCol w:w="368"/>
        <w:gridCol w:w="1192"/>
        <w:gridCol w:w="361"/>
        <w:gridCol w:w="1039"/>
        <w:gridCol w:w="514"/>
        <w:gridCol w:w="966"/>
        <w:gridCol w:w="587"/>
        <w:gridCol w:w="713"/>
        <w:gridCol w:w="840"/>
        <w:gridCol w:w="920"/>
        <w:gridCol w:w="1250"/>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2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331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许昌市工业和信息化局</w:t>
            </w:r>
          </w:p>
        </w:tc>
        <w:tc>
          <w:tcPr>
            <w:tcW w:w="5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3315"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78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56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财政拨款收入</w:t>
            </w:r>
          </w:p>
        </w:tc>
        <w:tc>
          <w:tcPr>
            <w:tcW w:w="14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上级补助收入</w:t>
            </w:r>
          </w:p>
        </w:tc>
        <w:tc>
          <w:tcPr>
            <w:tcW w:w="148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事业收入</w:t>
            </w:r>
          </w:p>
        </w:tc>
        <w:tc>
          <w:tcPr>
            <w:tcW w:w="13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经营收入</w:t>
            </w:r>
          </w:p>
        </w:tc>
        <w:tc>
          <w:tcPr>
            <w:tcW w:w="176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附属单位上缴收入</w:t>
            </w:r>
          </w:p>
        </w:tc>
        <w:tc>
          <w:tcPr>
            <w:tcW w:w="1250"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22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7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331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25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3315"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8,160.60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8,160.60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20129</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20609</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2060999</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其他科技重大项目</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629.29</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629.29</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505.90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505.90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2080501</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448.11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448.11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57.79</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57.79</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20808</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抚恤</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2080801</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57.81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57.81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57.81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57.81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29.41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29.41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28.40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28.40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21301</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农业农村</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2130102</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1,306.38</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1,306.38</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工业和信息产业监管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1,306.38</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1,306.38</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2150501</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1,022.10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1,022.10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2150502</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248.51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248.51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2150550</w:t>
            </w:r>
          </w:p>
        </w:tc>
        <w:tc>
          <w:tcPr>
            <w:tcW w:w="22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35.77</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35.77</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14000" w:type="dxa"/>
        <w:tblInd w:w="0" w:type="dxa"/>
        <w:tblLayout w:type="fixed"/>
        <w:tblCellMar>
          <w:top w:w="0" w:type="dxa"/>
          <w:left w:w="0" w:type="dxa"/>
          <w:bottom w:w="0" w:type="dxa"/>
          <w:right w:w="0" w:type="dxa"/>
        </w:tblCellMar>
      </w:tblPr>
      <w:tblGrid>
        <w:gridCol w:w="1027"/>
        <w:gridCol w:w="240"/>
        <w:gridCol w:w="1668"/>
        <w:gridCol w:w="610"/>
        <w:gridCol w:w="570"/>
        <w:gridCol w:w="90"/>
        <w:gridCol w:w="710"/>
        <w:gridCol w:w="576"/>
        <w:gridCol w:w="419"/>
        <w:gridCol w:w="1630"/>
        <w:gridCol w:w="825"/>
        <w:gridCol w:w="499"/>
        <w:gridCol w:w="111"/>
        <w:gridCol w:w="290"/>
        <w:gridCol w:w="825"/>
        <w:gridCol w:w="25"/>
        <w:gridCol w:w="725"/>
        <w:gridCol w:w="515"/>
        <w:gridCol w:w="617"/>
        <w:gridCol w:w="428"/>
        <w:gridCol w:w="255"/>
        <w:gridCol w:w="1318"/>
        <w:gridCol w:w="27"/>
      </w:tblGrid>
      <w:tr>
        <w:tblPrEx>
          <w:tblCellMar>
            <w:top w:w="0" w:type="dxa"/>
            <w:left w:w="0" w:type="dxa"/>
            <w:bottom w:w="0" w:type="dxa"/>
            <w:right w:w="0" w:type="dxa"/>
          </w:tblCellMar>
        </w:tblPrEx>
        <w:trPr>
          <w:trHeight w:val="435" w:hRule="atLeast"/>
        </w:trPr>
        <w:tc>
          <w:tcPr>
            <w:tcW w:w="14000" w:type="dxa"/>
            <w:gridSpan w:val="23"/>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eastAsia="zh-CN" w:bidi="ar"/>
              </w:rPr>
              <w:t>支出</w:t>
            </w:r>
            <w:r>
              <w:rPr>
                <w:rFonts w:hint="eastAsia" w:ascii="华文中宋" w:hAnsi="华文中宋" w:eastAsia="华文中宋" w:cs="华文中宋"/>
                <w:color w:val="000000"/>
                <w:kern w:val="0"/>
                <w:sz w:val="32"/>
                <w:szCs w:val="32"/>
                <w:highlight w:val="none"/>
                <w:lang w:bidi="ar"/>
              </w:rPr>
              <w:t>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48"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05"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3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2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6"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Fonts w:hint="eastAsia" w:ascii="宋体" w:hAnsi="宋体" w:cs="宋体"/>
                <w:color w:val="000000"/>
                <w:kern w:val="0"/>
                <w:sz w:val="20"/>
                <w:szCs w:val="20"/>
                <w:highlight w:val="none"/>
                <w:lang w:val="en-US" w:eastAsia="zh-CN" w:bidi="ar"/>
              </w:rPr>
              <w:t>3</w:t>
            </w:r>
            <w:r>
              <w:rPr>
                <w:rFonts w:hint="eastAsia" w:ascii="宋体" w:hAnsi="宋体" w:cs="宋体"/>
                <w:color w:val="000000"/>
                <w:kern w:val="0"/>
                <w:sz w:val="20"/>
                <w:szCs w:val="20"/>
                <w:highlight w:val="none"/>
                <w:lang w:bidi="ar"/>
              </w:rPr>
              <w:t>表</w:t>
            </w:r>
          </w:p>
        </w:tc>
      </w:tr>
      <w:tr>
        <w:tblPrEx>
          <w:tblCellMar>
            <w:top w:w="0" w:type="dxa"/>
            <w:left w:w="0" w:type="dxa"/>
            <w:bottom w:w="0" w:type="dxa"/>
            <w:right w:w="0" w:type="dxa"/>
          </w:tblCellMar>
        </w:tblPrEx>
        <w:trPr>
          <w:trHeight w:val="300" w:hRule="atLeast"/>
        </w:trPr>
        <w:tc>
          <w:tcPr>
            <w:tcW w:w="4115" w:type="dxa"/>
            <w:gridSpan w:val="5"/>
            <w:tcBorders>
              <w:top w:val="nil"/>
              <w:left w:val="nil"/>
              <w:bottom w:val="single" w:color="000000" w:sz="8" w:space="0"/>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部门：许昌市工业和信息化局</w:t>
            </w:r>
          </w:p>
        </w:tc>
        <w:tc>
          <w:tcPr>
            <w:tcW w:w="90" w:type="dxa"/>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05"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30" w:type="dxa"/>
            <w:tcBorders>
              <w:top w:val="nil"/>
              <w:left w:val="nil"/>
              <w:bottom w:val="single" w:color="000000" w:sz="8"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24"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6"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4115"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79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630" w:type="dxa"/>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基本支出</w:t>
            </w:r>
          </w:p>
        </w:tc>
        <w:tc>
          <w:tcPr>
            <w:tcW w:w="172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项目支出</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上缴上级支出</w:t>
            </w:r>
          </w:p>
        </w:tc>
        <w:tc>
          <w:tcPr>
            <w:tcW w:w="2310" w:type="dxa"/>
            <w:gridSpan w:val="5"/>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经营</w:t>
            </w:r>
            <w:r>
              <w:rPr>
                <w:rFonts w:hint="eastAsia" w:ascii="宋体" w:hAnsi="宋体" w:cs="宋体"/>
                <w:color w:val="000000"/>
                <w:kern w:val="0"/>
                <w:sz w:val="20"/>
                <w:szCs w:val="20"/>
                <w:highlight w:val="none"/>
                <w:lang w:eastAsia="zh-CN" w:bidi="ar"/>
              </w:rPr>
              <w:t>支出</w:t>
            </w:r>
          </w:p>
        </w:tc>
        <w:tc>
          <w:tcPr>
            <w:tcW w:w="1600" w:type="dxa"/>
            <w:gridSpan w:val="3"/>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对</w:t>
            </w:r>
            <w:r>
              <w:rPr>
                <w:rFonts w:hint="eastAsia" w:ascii="宋体" w:hAnsi="宋体" w:cs="宋体"/>
                <w:color w:val="000000"/>
                <w:kern w:val="0"/>
                <w:sz w:val="20"/>
                <w:szCs w:val="20"/>
                <w:highlight w:val="none"/>
                <w:lang w:bidi="ar"/>
              </w:rPr>
              <w:t>附属单位</w:t>
            </w:r>
            <w:r>
              <w:rPr>
                <w:rFonts w:hint="eastAsia" w:ascii="宋体" w:hAnsi="宋体" w:cs="宋体"/>
                <w:color w:val="000000"/>
                <w:kern w:val="0"/>
                <w:sz w:val="20"/>
                <w:szCs w:val="20"/>
                <w:highlight w:val="none"/>
                <w:lang w:eastAsia="zh-CN" w:bidi="ar"/>
              </w:rPr>
              <w:t>补助支出</w:t>
            </w:r>
          </w:p>
        </w:tc>
      </w:tr>
      <w:tr>
        <w:tblPrEx>
          <w:tblCellMar>
            <w:top w:w="0" w:type="dxa"/>
            <w:left w:w="0" w:type="dxa"/>
            <w:bottom w:w="0" w:type="dxa"/>
            <w:right w:w="0" w:type="dxa"/>
          </w:tblCellMar>
        </w:tblPrEx>
        <w:trPr>
          <w:trHeight w:val="450" w:hRule="atLeast"/>
        </w:trPr>
        <w:tc>
          <w:tcPr>
            <w:tcW w:w="1267"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84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79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30"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310"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00"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4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9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30"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310"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00"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4115"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79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7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231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600" w:type="dxa"/>
            <w:gridSpan w:val="3"/>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4115" w:type="dxa"/>
            <w:gridSpan w:val="5"/>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b/>
                <w:bCs/>
                <w:i w:val="0"/>
                <w:iCs w:val="0"/>
                <w:color w:val="000000"/>
                <w:kern w:val="0"/>
                <w:sz w:val="22"/>
                <w:szCs w:val="22"/>
                <w:u w:val="none"/>
                <w:lang w:val="en-US" w:eastAsia="zh-CN" w:bidi="ar"/>
              </w:rPr>
              <w:t>8382.34</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b/>
                <w:bCs/>
                <w:i w:val="0"/>
                <w:iCs w:val="0"/>
                <w:color w:val="000000"/>
                <w:kern w:val="0"/>
                <w:sz w:val="22"/>
                <w:szCs w:val="22"/>
                <w:u w:val="none"/>
                <w:lang w:val="en-US" w:eastAsia="zh-CN" w:bidi="ar"/>
              </w:rPr>
              <w:t>1887.54</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b/>
                <w:bCs/>
                <w:color w:val="000000"/>
                <w:sz w:val="22"/>
                <w:szCs w:val="22"/>
                <w:highlight w:val="none"/>
                <w:lang w:val="en-US" w:eastAsia="zh-CN"/>
              </w:rPr>
              <w:t>6,494.81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6,160.80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20609</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lang w:val="en-US" w:eastAsia="zh-CN"/>
              </w:rPr>
              <w:t>6,160.80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2060999</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其他科技重大项目</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lang w:val="en-US" w:eastAsia="zh-CN"/>
              </w:rPr>
              <w:t>6,160.80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699.84</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699.84</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576.45</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576.45</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500.32</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500.32</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76.12</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76.12</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20808</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抚恤</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2080801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62.83</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62.83</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62.83</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62.83</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30.11</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32.72</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32.72</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农业农村</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2130102</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1,452.55</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1,119.96</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332.60</w:t>
            </w: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工业和信息产业监管</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1,452.55</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1,119.96</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332.60</w:t>
            </w: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1,084.18</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1,084.18</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2150502</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332.60</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332.60</w:t>
            </w: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2150550</w:t>
            </w:r>
          </w:p>
        </w:tc>
        <w:tc>
          <w:tcPr>
            <w:tcW w:w="2848"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37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35.77</w:t>
            </w:r>
          </w:p>
        </w:tc>
        <w:tc>
          <w:tcPr>
            <w:tcW w:w="204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35.77</w:t>
            </w:r>
          </w:p>
        </w:tc>
        <w:tc>
          <w:tcPr>
            <w:tcW w:w="17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7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14000" w:type="dxa"/>
            <w:gridSpan w:val="2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注：本表反映部门本年度各项支出情况。本表金额转换为万元时，因四舍五入可能存在尾差。</w:t>
            </w:r>
          </w:p>
        </w:tc>
      </w:tr>
      <w:tr>
        <w:tblPrEx>
          <w:tblCellMar>
            <w:top w:w="0" w:type="dxa"/>
            <w:left w:w="0" w:type="dxa"/>
            <w:bottom w:w="0" w:type="dxa"/>
            <w:right w:w="0" w:type="dxa"/>
          </w:tblCellMar>
        </w:tblPrEx>
        <w:trPr>
          <w:gridAfter w:val="1"/>
          <w:wAfter w:w="27" w:type="dxa"/>
          <w:trHeight w:val="360" w:hRule="atLeast"/>
        </w:trPr>
        <w:tc>
          <w:tcPr>
            <w:tcW w:w="12655"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val="en-US" w:eastAsia="zh-CN" w:bidi="ar"/>
              </w:rPr>
              <w:t xml:space="preserve">        </w:t>
            </w:r>
            <w:r>
              <w:rPr>
                <w:rFonts w:hint="eastAsia" w:ascii="华文中宋" w:hAnsi="华文中宋" w:eastAsia="华文中宋" w:cs="华文中宋"/>
                <w:color w:val="000000"/>
                <w:kern w:val="0"/>
                <w:sz w:val="32"/>
                <w:szCs w:val="32"/>
                <w:highlight w:val="none"/>
                <w:lang w:bidi="ar"/>
              </w:rPr>
              <w:t>财政拨款收入支出决算总表</w:t>
            </w:r>
          </w:p>
        </w:tc>
        <w:tc>
          <w:tcPr>
            <w:tcW w:w="1318" w:type="dxa"/>
            <w:tcBorders>
              <w:top w:val="nil"/>
              <w:left w:val="nil"/>
              <w:bottom w:val="nil"/>
              <w:right w:val="nil"/>
            </w:tcBorders>
            <w:noWrap w:val="0"/>
            <w:vAlign w:val="top"/>
          </w:tcPr>
          <w:p>
            <w:pPr>
              <w:widowControl/>
              <w:jc w:val="both"/>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gridAfter w:val="1"/>
          <w:wAfter w:w="27" w:type="dxa"/>
          <w:trHeight w:val="307" w:hRule="atLeast"/>
        </w:trPr>
        <w:tc>
          <w:tcPr>
            <w:tcW w:w="2935"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7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50"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1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57" w:type="dxa"/>
            <w:gridSpan w:val="3"/>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68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31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gridAfter w:val="1"/>
          <w:wAfter w:w="27" w:type="dxa"/>
          <w:trHeight w:val="297" w:hRule="atLeast"/>
        </w:trPr>
        <w:tc>
          <w:tcPr>
            <w:tcW w:w="4915" w:type="dxa"/>
            <w:gridSpan w:val="7"/>
            <w:tcBorders>
              <w:top w:val="nil"/>
              <w:left w:val="nil"/>
              <w:bottom w:val="single" w:color="000000" w:sz="8" w:space="0"/>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部门：许昌市工业和信息化局</w:t>
            </w:r>
          </w:p>
        </w:tc>
        <w:tc>
          <w:tcPr>
            <w:tcW w:w="3450" w:type="dxa"/>
            <w:gridSpan w:val="4"/>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10"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0"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57"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3"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318" w:type="dxa"/>
            <w:tcBorders>
              <w:top w:val="nil"/>
              <w:left w:val="nil"/>
              <w:bottom w:val="single" w:color="000000" w:sz="8" w:space="0"/>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27" w:type="dxa"/>
          <w:trHeight w:val="347" w:hRule="atLeast"/>
        </w:trPr>
        <w:tc>
          <w:tcPr>
            <w:tcW w:w="4915" w:type="dxa"/>
            <w:gridSpan w:val="7"/>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9058" w:type="dxa"/>
            <w:gridSpan w:val="15"/>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gridAfter w:val="1"/>
          <w:wAfter w:w="27" w:type="dxa"/>
          <w:trHeight w:val="90"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2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300"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318" w:type="dxa"/>
            <w:tcBorders>
              <w:top w:val="single" w:color="000000" w:sz="4" w:space="0"/>
              <w:left w:val="single" w:color="auto" w:sz="4" w:space="0"/>
              <w:bottom w:val="single" w:color="000000" w:sz="4" w:space="0"/>
              <w:right w:val="single" w:color="000000" w:sz="8" w:space="0"/>
            </w:tcBorders>
            <w:noWrap w:val="0"/>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tblCellMar>
            <w:top w:w="0" w:type="dxa"/>
            <w:left w:w="0" w:type="dxa"/>
            <w:bottom w:w="0" w:type="dxa"/>
            <w:right w:w="0" w:type="dxa"/>
          </w:tblCellMar>
        </w:tblPrEx>
        <w:trPr>
          <w:gridAfter w:val="1"/>
          <w:wAfter w:w="27" w:type="dxa"/>
          <w:trHeight w:val="35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1</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300" w:type="dxa"/>
            <w:gridSpan w:val="3"/>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318" w:type="dxa"/>
            <w:tcBorders>
              <w:top w:val="single" w:color="000000" w:sz="4" w:space="0"/>
              <w:left w:val="single" w:color="auto"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2"/>
                <w:szCs w:val="22"/>
                <w:highlight w:val="none"/>
                <w:lang w:bidi="ar"/>
              </w:rPr>
            </w:pPr>
            <w:r>
              <w:rPr>
                <w:rFonts w:ascii="宋体" w:hAnsi="宋体" w:cs="宋体"/>
                <w:color w:val="000000"/>
                <w:kern w:val="0"/>
                <w:sz w:val="22"/>
                <w:szCs w:val="22"/>
                <w:highlight w:val="none"/>
                <w:lang w:bidi="ar"/>
              </w:rPr>
              <w:t>5</w:t>
            </w:r>
          </w:p>
        </w:tc>
      </w:tr>
      <w:tr>
        <w:tblPrEx>
          <w:tblCellMar>
            <w:top w:w="0" w:type="dxa"/>
            <w:left w:w="0" w:type="dxa"/>
            <w:bottom w:w="0" w:type="dxa"/>
            <w:right w:w="0" w:type="dxa"/>
          </w:tblCellMar>
        </w:tblPrEx>
        <w:trPr>
          <w:gridAfter w:val="1"/>
          <w:wAfter w:w="27" w:type="dxa"/>
          <w:trHeight w:val="35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8,160.60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一、一般公共服务支出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33</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4.91</w:t>
            </w:r>
          </w:p>
        </w:tc>
        <w:tc>
          <w:tcPr>
            <w:tcW w:w="12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4.91</w:t>
            </w: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二、外交支出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34</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1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三、国防支出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35</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5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四、公共安全支出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36</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1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五、教育支出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37</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7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六、科学技术支出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38</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6,160.80</w:t>
            </w:r>
          </w:p>
        </w:tc>
        <w:tc>
          <w:tcPr>
            <w:tcW w:w="12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6,160.80</w:t>
            </w: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39</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40</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699.84</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699.84</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9</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九、卫生健康支出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41</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62.83</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62.83</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1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10</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十、节能环保支出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42</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2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11</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十一、城乡社区支出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43</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12</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十二、农林水支出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44</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1.41</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abs>
                <w:tab w:val="left" w:pos="255"/>
              </w:tabs>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eastAsia="zh-CN"/>
              </w:rPr>
              <w:tab/>
            </w:r>
            <w:r>
              <w:rPr>
                <w:rFonts w:hint="eastAsia" w:ascii="宋体" w:hAnsi="宋体" w:cs="宋体"/>
                <w:color w:val="000000"/>
                <w:sz w:val="22"/>
                <w:szCs w:val="22"/>
                <w:highlight w:val="none"/>
                <w:lang w:val="en-US" w:eastAsia="zh-CN"/>
              </w:rPr>
              <w:t>1.41</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13</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十三、交通运输支出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45</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7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14</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46</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tabs>
                <w:tab w:val="left" w:pos="355"/>
              </w:tabs>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1,452.55</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1,452.55</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15</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47</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16</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十六、金融支出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48</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5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17</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49</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2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18</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50</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4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19</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十九、住房保障支出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51</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20</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52</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0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21</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53</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22</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54</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7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23</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二十三、其他支出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55</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24</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56</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5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25</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57</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4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26</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58</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7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27</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8,160.60</w:t>
            </w: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59</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8,382.34</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8,382.34</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b/>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gridAfter w:val="1"/>
          <w:wAfter w:w="27" w:type="dxa"/>
          <w:trHeight w:val="37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28</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221.74</w:t>
            </w: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60</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00" w:firstLineChars="200"/>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29</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221.74</w:t>
            </w: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61</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6"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6"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57" w:hRule="atLeast"/>
        </w:trPr>
        <w:tc>
          <w:tcPr>
            <w:tcW w:w="2935" w:type="dxa"/>
            <w:gridSpan w:val="3"/>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ind w:firstLine="400" w:firstLineChars="200"/>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30</w:t>
            </w:r>
          </w:p>
        </w:tc>
        <w:tc>
          <w:tcPr>
            <w:tcW w:w="1370"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62</w:t>
            </w:r>
          </w:p>
        </w:tc>
        <w:tc>
          <w:tcPr>
            <w:tcW w:w="1140" w:type="dxa"/>
            <w:gridSpan w:val="3"/>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6"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6" w:space="0"/>
              <w:left w:val="single" w:color="000000" w:sz="6" w:space="0"/>
              <w:bottom w:val="single" w:color="000000" w:sz="6" w:space="0"/>
              <w:right w:val="single" w:color="000000" w:sz="6"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6" w:space="0"/>
              <w:left w:val="single" w:color="000000" w:sz="6" w:space="0"/>
              <w:bottom w:val="single" w:color="000000" w:sz="6"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2" w:hRule="atLeast"/>
        </w:trPr>
        <w:tc>
          <w:tcPr>
            <w:tcW w:w="2935" w:type="dxa"/>
            <w:gridSpan w:val="3"/>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ind w:firstLine="400" w:firstLineChars="200"/>
              <w:jc w:val="both"/>
              <w:rPr>
                <w:rFonts w:hint="eastAsia" w:ascii="宋体" w:hAnsi="宋体" w:cs="宋体"/>
                <w:color w:val="000000"/>
                <w:sz w:val="20"/>
                <w:szCs w:val="20"/>
                <w:highlight w:val="none"/>
              </w:rPr>
            </w:pPr>
            <w:r>
              <w:rPr>
                <w:rFonts w:hint="eastAsia" w:ascii="宋体" w:hAnsi="宋体" w:cs="宋体"/>
                <w:color w:val="000000"/>
                <w:sz w:val="20"/>
                <w:szCs w:val="20"/>
                <w:highlight w:val="none"/>
              </w:rPr>
              <w:t>国有资本经营预算财政拨款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31</w:t>
            </w:r>
          </w:p>
        </w:tc>
        <w:tc>
          <w:tcPr>
            <w:tcW w:w="1370"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63</w:t>
            </w:r>
          </w:p>
        </w:tc>
        <w:tc>
          <w:tcPr>
            <w:tcW w:w="1140" w:type="dxa"/>
            <w:gridSpan w:val="3"/>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gridSpan w:val="2"/>
            <w:tcBorders>
              <w:top w:val="single" w:color="000000" w:sz="4" w:space="0"/>
              <w:left w:val="single" w:color="000000" w:sz="4" w:space="0"/>
              <w:bottom w:val="single" w:color="000000" w:sz="4" w:space="0"/>
              <w:right w:val="single" w:color="000000" w:sz="6"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6" w:space="0"/>
              <w:left w:val="single" w:color="000000" w:sz="6" w:space="0"/>
              <w:bottom w:val="single" w:color="000000" w:sz="6" w:space="0"/>
              <w:right w:val="single" w:color="000000" w:sz="6"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6" w:space="0"/>
              <w:left w:val="single" w:color="000000" w:sz="6" w:space="0"/>
              <w:bottom w:val="single" w:color="000000" w:sz="6"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82" w:hRule="atLeast"/>
        </w:trPr>
        <w:tc>
          <w:tcPr>
            <w:tcW w:w="2935" w:type="dxa"/>
            <w:gridSpan w:val="3"/>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61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32</w:t>
            </w:r>
          </w:p>
        </w:tc>
        <w:tc>
          <w:tcPr>
            <w:tcW w:w="1370" w:type="dxa"/>
            <w:gridSpan w:val="3"/>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8,382.34</w:t>
            </w:r>
          </w:p>
        </w:tc>
        <w:tc>
          <w:tcPr>
            <w:tcW w:w="3450" w:type="dxa"/>
            <w:gridSpan w:val="4"/>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61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64</w:t>
            </w:r>
          </w:p>
        </w:tc>
        <w:tc>
          <w:tcPr>
            <w:tcW w:w="1140" w:type="dxa"/>
            <w:gridSpan w:val="3"/>
            <w:tcBorders>
              <w:top w:val="single" w:color="000000" w:sz="4" w:space="0"/>
              <w:left w:val="nil"/>
              <w:bottom w:val="single" w:color="000000" w:sz="8"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8,382.34</w:t>
            </w:r>
          </w:p>
        </w:tc>
        <w:tc>
          <w:tcPr>
            <w:tcW w:w="1240" w:type="dxa"/>
            <w:gridSpan w:val="2"/>
            <w:tcBorders>
              <w:top w:val="single" w:color="000000" w:sz="4" w:space="0"/>
              <w:left w:val="single" w:color="000000" w:sz="4" w:space="0"/>
              <w:bottom w:val="single" w:color="000000" w:sz="8" w:space="0"/>
              <w:right w:val="single" w:color="000000" w:sz="6" w:space="0"/>
            </w:tcBorders>
            <w:shd w:val="clear" w:color="auto" w:fill="FFFFFF"/>
            <w:noWrap/>
            <w:tcMar>
              <w:top w:w="15" w:type="dxa"/>
              <w:left w:w="15" w:type="dxa"/>
              <w:right w:w="15" w:type="dxa"/>
            </w:tcMar>
            <w:vAlign w:val="center"/>
          </w:tcPr>
          <w:p>
            <w:pPr>
              <w:tabs>
                <w:tab w:val="left" w:pos="375"/>
              </w:tabs>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8,382.34</w:t>
            </w:r>
          </w:p>
        </w:tc>
        <w:tc>
          <w:tcPr>
            <w:tcW w:w="1300" w:type="dxa"/>
            <w:gridSpan w:val="3"/>
            <w:tcBorders>
              <w:top w:val="single" w:color="000000" w:sz="6" w:space="0"/>
              <w:left w:val="single" w:color="000000" w:sz="6" w:space="0"/>
              <w:bottom w:val="single" w:color="000000" w:sz="8" w:space="0"/>
              <w:right w:val="single" w:color="000000" w:sz="6" w:space="0"/>
            </w:tcBorders>
            <w:noWrap/>
            <w:tcMar>
              <w:top w:w="15" w:type="dxa"/>
              <w:left w:w="15" w:type="dxa"/>
              <w:right w:w="15" w:type="dxa"/>
            </w:tcMar>
            <w:vAlign w:val="center"/>
          </w:tcPr>
          <w:p>
            <w:pPr>
              <w:jc w:val="right"/>
              <w:rPr>
                <w:rFonts w:hint="eastAsia" w:ascii="宋体" w:hAnsi="宋体" w:cs="宋体"/>
                <w:b/>
                <w:color w:val="000000"/>
                <w:sz w:val="20"/>
                <w:szCs w:val="20"/>
                <w:highlight w:val="none"/>
              </w:rPr>
            </w:pPr>
          </w:p>
        </w:tc>
        <w:tc>
          <w:tcPr>
            <w:tcW w:w="1318" w:type="dxa"/>
            <w:tcBorders>
              <w:top w:val="single" w:color="000000" w:sz="6" w:space="0"/>
              <w:left w:val="single" w:color="000000" w:sz="6" w:space="0"/>
              <w:bottom w:val="single" w:color="000000" w:sz="8" w:space="0"/>
              <w:right w:val="single" w:color="000000" w:sz="8" w:space="0"/>
            </w:tcBorders>
            <w:noWrap w:val="0"/>
            <w:vAlign w:val="top"/>
          </w:tcPr>
          <w:p>
            <w:pPr>
              <w:jc w:val="right"/>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gridAfter w:val="1"/>
          <w:wAfter w:w="27" w:type="dxa"/>
          <w:trHeight w:val="585" w:hRule="atLeast"/>
        </w:trPr>
        <w:tc>
          <w:tcPr>
            <w:tcW w:w="12655" w:type="dxa"/>
            <w:gridSpan w:val="21"/>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31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726"/>
        <w:gridCol w:w="519"/>
        <w:gridCol w:w="4360"/>
        <w:gridCol w:w="3100"/>
        <w:gridCol w:w="2600"/>
        <w:gridCol w:w="2683"/>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1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36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6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68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22"/>
                <w:rFonts w:hint="default"/>
                <w:highlight w:val="none"/>
                <w:lang w:bidi="ar"/>
              </w:rPr>
              <w:t>5表</w:t>
            </w:r>
          </w:p>
        </w:tc>
      </w:tr>
      <w:tr>
        <w:tblPrEx>
          <w:tblCellMar>
            <w:top w:w="0" w:type="dxa"/>
            <w:left w:w="0" w:type="dxa"/>
            <w:bottom w:w="0" w:type="dxa"/>
            <w:right w:w="0" w:type="dxa"/>
          </w:tblCellMar>
        </w:tblPrEx>
        <w:trPr>
          <w:trHeight w:val="300" w:hRule="atLeast"/>
        </w:trPr>
        <w:tc>
          <w:tcPr>
            <w:tcW w:w="560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许昌市工业和信息化局</w:t>
            </w:r>
          </w:p>
        </w:tc>
        <w:tc>
          <w:tcPr>
            <w:tcW w:w="31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6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68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5605"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项 </w:t>
            </w:r>
            <w:r>
              <w:rPr>
                <w:rStyle w:val="19"/>
                <w:rFonts w:hint="default"/>
                <w:sz w:val="20"/>
                <w:szCs w:val="20"/>
                <w:highlight w:val="none"/>
                <w:lang w:bidi="ar"/>
              </w:rPr>
              <w:t xml:space="preserve">   </w:t>
            </w:r>
            <w:r>
              <w:rPr>
                <w:rStyle w:val="21"/>
                <w:rFonts w:hint="default"/>
                <w:sz w:val="20"/>
                <w:szCs w:val="20"/>
                <w:highlight w:val="none"/>
                <w:lang w:bidi="ar"/>
              </w:rPr>
              <w:t>目</w:t>
            </w:r>
          </w:p>
        </w:tc>
        <w:tc>
          <w:tcPr>
            <w:tcW w:w="8383"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245"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43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310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260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2683"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8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8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5605"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r>
      <w:tr>
        <w:tblPrEx>
          <w:tblCellMar>
            <w:top w:w="0" w:type="dxa"/>
            <w:left w:w="0" w:type="dxa"/>
            <w:bottom w:w="0" w:type="dxa"/>
            <w:right w:w="0" w:type="dxa"/>
          </w:tblCellMar>
        </w:tblPrEx>
        <w:trPr>
          <w:trHeight w:val="450" w:hRule="atLeast"/>
        </w:trPr>
        <w:tc>
          <w:tcPr>
            <w:tcW w:w="5605"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8,382.34</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1,887.54</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b/>
                <w:bCs/>
                <w:color w:val="000000"/>
                <w:sz w:val="22"/>
                <w:szCs w:val="22"/>
                <w:highlight w:val="none"/>
                <w:lang w:val="en-US" w:eastAsia="zh-CN"/>
              </w:rPr>
            </w:pPr>
            <w:r>
              <w:rPr>
                <w:rFonts w:hint="eastAsia" w:ascii="宋体" w:hAnsi="宋体" w:cs="宋体"/>
                <w:b/>
                <w:bCs/>
                <w:color w:val="000000"/>
                <w:sz w:val="22"/>
                <w:szCs w:val="22"/>
                <w:highlight w:val="none"/>
                <w:lang w:val="en-US" w:eastAsia="zh-CN"/>
              </w:rPr>
              <w:t>6,494.81</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群众团体事务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2012906</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206</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科学技术支出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20609</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科技重大项目</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2060999</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其他科技重大项目</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699.84</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699.84</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576.45</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576.45</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500.32</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500.32</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2080505</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76.12</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76.12</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20808</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2080801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62.83</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62.83</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62.83</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62.83</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30.11</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2101103</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32.72</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32.72</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213</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21301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2130102</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1,452.55</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1,119.96</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332.60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21505</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工业和信息产业监管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1,452.55</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1,119.96</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332.60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2150501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1,084.18</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1,084.18</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2150502</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332.60</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332.60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2150550</w:t>
            </w:r>
          </w:p>
        </w:tc>
        <w:tc>
          <w:tcPr>
            <w:tcW w:w="43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31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35.77</w:t>
            </w:r>
          </w:p>
        </w:tc>
        <w:tc>
          <w:tcPr>
            <w:tcW w:w="26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35.77</w:t>
            </w:r>
          </w:p>
        </w:tc>
        <w:tc>
          <w:tcPr>
            <w:tcW w:w="268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865"/>
        <w:gridCol w:w="2860"/>
        <w:gridCol w:w="1150"/>
        <w:gridCol w:w="920"/>
        <w:gridCol w:w="2150"/>
        <w:gridCol w:w="880"/>
        <w:gridCol w:w="890"/>
        <w:gridCol w:w="2810"/>
        <w:gridCol w:w="1463"/>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86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6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2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9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81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46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3725" w:type="dxa"/>
            <w:gridSpan w:val="2"/>
            <w:tcBorders>
              <w:top w:val="nil"/>
              <w:left w:val="nil"/>
              <w:bottom w:val="nil"/>
              <w:right w:val="nil"/>
            </w:tcBorders>
            <w:noWrap/>
            <w:tcMar>
              <w:top w:w="15" w:type="dxa"/>
              <w:left w:w="15" w:type="dxa"/>
              <w:right w:w="15" w:type="dxa"/>
            </w:tcMar>
            <w:vAlign w:val="center"/>
          </w:tcPr>
          <w:p>
            <w:pPr>
              <w:jc w:val="left"/>
              <w:rPr>
                <w:rFonts w:hint="eastAsia" w:ascii="Arial" w:hAnsi="Arial" w:eastAsia="宋体" w:cs="Arial"/>
                <w:color w:val="000000"/>
                <w:sz w:val="20"/>
                <w:szCs w:val="20"/>
                <w:highlight w:val="none"/>
                <w:lang w:eastAsia="zh-CN"/>
              </w:rPr>
            </w:pPr>
            <w:r>
              <w:rPr>
                <w:rFonts w:hint="eastAsia" w:ascii="宋体" w:hAnsi="宋体" w:cs="宋体"/>
                <w:color w:val="000000"/>
                <w:kern w:val="0"/>
                <w:sz w:val="20"/>
                <w:szCs w:val="20"/>
                <w:highlight w:val="none"/>
                <w:lang w:bidi="ar"/>
              </w:rPr>
              <w:t>部门</w:t>
            </w:r>
            <w:r>
              <w:rPr>
                <w:rFonts w:ascii="Arial" w:hAnsi="Arial" w:cs="Arial"/>
                <w:color w:val="000000"/>
                <w:kern w:val="0"/>
                <w:sz w:val="20"/>
                <w:szCs w:val="20"/>
                <w:highlight w:val="none"/>
                <w:lang w:bidi="ar"/>
              </w:rPr>
              <w:t>：</w:t>
            </w:r>
            <w:r>
              <w:rPr>
                <w:rFonts w:hint="eastAsia" w:ascii="Arial" w:hAnsi="Arial" w:cs="Arial"/>
                <w:color w:val="000000"/>
                <w:kern w:val="0"/>
                <w:sz w:val="20"/>
                <w:szCs w:val="20"/>
                <w:highlight w:val="none"/>
                <w:lang w:eastAsia="zh-CN" w:bidi="ar"/>
              </w:rPr>
              <w:t>许昌市工业和信息局</w:t>
            </w:r>
          </w:p>
        </w:tc>
        <w:tc>
          <w:tcPr>
            <w:tcW w:w="115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2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15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8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9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81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1463"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86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8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1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92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1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88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9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81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463"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工资福利支出</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1,096.63</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商品和服务支出</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148.69</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307</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0" w:type="dxa"/>
            <w:left w:w="0" w:type="dxa"/>
            <w:bottom w:w="0" w:type="dxa"/>
            <w:right w:w="0" w:type="dxa"/>
          </w:tblCellMar>
        </w:tblPrEx>
        <w:trPr>
          <w:trHeight w:val="90"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30101</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基本工资</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253.57</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30201</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办公费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8.76</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30701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30102</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津贴补贴</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600.06</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30202</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印刷费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17.99</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30702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30103</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奖金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30203</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咨询费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资本性支出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3.08</w:t>
            </w: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30106</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伙食补助费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30204</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手续费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30107</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绩效工资</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1.86</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30205</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水费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2.71</w:t>
            </w: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30108</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机关事业单位基本养老保险费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80.79</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30206</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电费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31003</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0.37</w:t>
            </w: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30109</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职业年金缴费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30207</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邮电费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5.37</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31005</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30110</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职工基本医疗保险缴费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32.78</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30208</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取暖费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31006</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30111</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公务员医疗补助缴费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30209</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物业管理费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31007</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30112</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其他社会保障缴费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30211</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差旅费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18.58</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31008</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30113</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住房公积金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65.32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30212</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因公出国（境）费用</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30114</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医疗费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30213</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维修（护）费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2.81</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31010</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30199</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其他工资福利支出</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25.64</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30214</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租赁费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对个人和家庭的补助</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639.13</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30215</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会议费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4.74</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30301</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离休费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110.55</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30216</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培训费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31013</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30302</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退休费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389.77</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30217</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公务招待费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4.84</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30303</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退职（役）费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30218</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专用材料费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31021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30304</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抚恤金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30224</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被装购置费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31022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30305</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生活补助</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12.57</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30225</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专用燃料费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31099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30306</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救济费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30226</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劳务费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0.15</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30307</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医疗费补助</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30227</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委托业务费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3.97</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39906</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赠与</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30308</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助学金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30228</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工会经费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39907</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30309</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奖励金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30229</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福利费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9.27</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39908</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30310</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个人农业生产补贴</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30231</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公务用车运行维护费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11.80</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39999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30399</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对其他个人和家庭的补助支出</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30239</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其他交通费用</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52.43</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30240</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税金及附加费用</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0.01</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30299</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其他商品和服务支出</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3.07</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center" w:pos="430"/>
              </w:tabs>
              <w:jc w:val="left"/>
              <w:textAlignment w:val="center"/>
              <w:rPr>
                <w:rFonts w:hint="eastAsia" w:ascii="宋体" w:hAnsi="宋体" w:eastAsia="宋体" w:cs="宋体"/>
                <w:color w:val="000000"/>
                <w:sz w:val="22"/>
                <w:szCs w:val="22"/>
                <w:highlight w:val="none"/>
                <w:lang w:eastAsia="zh-CN"/>
              </w:rPr>
            </w:pP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3725"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115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1,735.77</w:t>
            </w:r>
          </w:p>
        </w:tc>
        <w:tc>
          <w:tcPr>
            <w:tcW w:w="765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1463"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151.77</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Arial" w:hAnsi="Arial" w:cs="Arial"/>
                <w:color w:val="000000"/>
                <w:kern w:val="0"/>
                <w:sz w:val="20"/>
                <w:szCs w:val="20"/>
                <w:highlight w:val="none"/>
                <w:lang w:eastAsia="zh-CN" w:bidi="ar"/>
              </w:rPr>
              <w:t>许昌市工业和信息局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59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r>
      <w:tr>
        <w:tblPrEx>
          <w:tblCellMar>
            <w:top w:w="0" w:type="dxa"/>
            <w:left w:w="0" w:type="dxa"/>
            <w:bottom w:w="0" w:type="dxa"/>
            <w:right w:w="0" w:type="dxa"/>
          </w:tblCellMar>
        </w:tblPrEx>
        <w:trPr>
          <w:trHeight w:val="600"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16.84</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4.84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16.64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11.80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11.80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4.84</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Arial" w:hAnsi="Arial" w:cs="Arial"/>
                <w:color w:val="000000"/>
                <w:kern w:val="0"/>
                <w:sz w:val="20"/>
                <w:szCs w:val="20"/>
                <w:highlight w:val="none"/>
                <w:lang w:eastAsia="zh-CN" w:bidi="ar"/>
              </w:rPr>
              <w:t>许昌市工业和信息局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说明：我部门没有政府性基金收入，也没有使用政府性基金安排的支出，故本表无数据。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360" w:lineRule="auto"/>
        <w:ind w:firstLine="640" w:firstLineChars="200"/>
        <w:jc w:val="left"/>
        <w:rPr>
          <w:rFonts w:hint="eastAsia" w:ascii="仿宋" w:hAnsi="仿宋" w:eastAsia="仿宋" w:cs="Calibri"/>
          <w:b w:val="0"/>
          <w:bCs w:val="0"/>
          <w:kern w:val="0"/>
          <w:sz w:val="32"/>
          <w:szCs w:val="32"/>
        </w:rPr>
      </w:pPr>
      <w:r>
        <w:rPr>
          <w:rFonts w:hint="eastAsia" w:ascii="仿宋" w:hAnsi="仿宋" w:eastAsia="仿宋" w:cs="Calibri"/>
          <w:b w:val="0"/>
          <w:bCs w:val="0"/>
          <w:kern w:val="0"/>
          <w:sz w:val="32"/>
          <w:szCs w:val="32"/>
        </w:rPr>
        <w:t>2021年度收、支总计均为8382.34万元。与上年度相比，收、支总计各减少</w:t>
      </w:r>
      <w:r>
        <w:rPr>
          <w:rFonts w:hint="eastAsia" w:ascii="仿宋" w:hAnsi="仿宋" w:eastAsia="仿宋" w:cs="Calibri"/>
          <w:b w:val="0"/>
          <w:bCs w:val="0"/>
          <w:kern w:val="0"/>
          <w:sz w:val="32"/>
          <w:szCs w:val="32"/>
          <w:lang w:val="en-US" w:eastAsia="zh-CN"/>
        </w:rPr>
        <w:t>8867.57</w:t>
      </w:r>
      <w:r>
        <w:rPr>
          <w:rFonts w:hint="eastAsia" w:ascii="仿宋" w:hAnsi="仿宋" w:eastAsia="仿宋" w:cs="Calibri"/>
          <w:b w:val="0"/>
          <w:bCs w:val="0"/>
          <w:kern w:val="0"/>
          <w:sz w:val="32"/>
          <w:szCs w:val="32"/>
        </w:rPr>
        <w:t>万元，下降</w:t>
      </w:r>
      <w:r>
        <w:rPr>
          <w:rFonts w:hint="eastAsia" w:ascii="仿宋" w:hAnsi="仿宋" w:eastAsia="仿宋" w:cs="Calibri"/>
          <w:b w:val="0"/>
          <w:bCs w:val="0"/>
          <w:kern w:val="0"/>
          <w:sz w:val="32"/>
          <w:szCs w:val="32"/>
          <w:lang w:val="en-US" w:eastAsia="zh-CN"/>
        </w:rPr>
        <w:t>51.41</w:t>
      </w:r>
      <w:r>
        <w:rPr>
          <w:rFonts w:hint="eastAsia" w:ascii="仿宋" w:hAnsi="仿宋" w:eastAsia="仿宋" w:cs="Calibri"/>
          <w:b w:val="0"/>
          <w:bCs w:val="0"/>
          <w:kern w:val="0"/>
          <w:sz w:val="32"/>
          <w:szCs w:val="32"/>
        </w:rPr>
        <w:t>%。主要原因是</w:t>
      </w:r>
      <w:r>
        <w:rPr>
          <w:rFonts w:hint="eastAsia" w:ascii="仿宋" w:hAnsi="仿宋" w:eastAsia="仿宋" w:cs="Calibri"/>
          <w:b w:val="0"/>
          <w:bCs w:val="0"/>
          <w:kern w:val="0"/>
          <w:sz w:val="32"/>
          <w:szCs w:val="32"/>
          <w:lang w:eastAsia="zh-CN"/>
        </w:rPr>
        <w:t>对破产或改制企业职工安置费和征地拆迁补偿金减少</w:t>
      </w:r>
      <w:r>
        <w:rPr>
          <w:rFonts w:hint="eastAsia" w:ascii="仿宋" w:hAnsi="仿宋" w:eastAsia="仿宋" w:cs="Calibri"/>
          <w:b w:val="0"/>
          <w:bCs w:val="0"/>
          <w:kern w:val="0"/>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仿宋" w:hAnsi="仿宋" w:eastAsia="仿宋" w:cs="Calibri"/>
          <w:b w:val="0"/>
          <w:bCs w:val="0"/>
          <w:kern w:val="0"/>
          <w:sz w:val="32"/>
          <w:szCs w:val="32"/>
        </w:rPr>
      </w:pPr>
      <w:r>
        <w:rPr>
          <w:rFonts w:ascii="仿宋_GB2312" w:hAnsi="仿宋_GB2312" w:eastAsia="仿宋_GB2312" w:cs="仿宋_GB2312"/>
          <w:sz w:val="32"/>
          <w:szCs w:val="32"/>
          <w:highlight w:val="none"/>
        </w:rPr>
        <w:t>2</w:t>
      </w:r>
      <w:r>
        <w:rPr>
          <w:rFonts w:hint="eastAsia" w:ascii="仿宋" w:hAnsi="仿宋" w:eastAsia="仿宋" w:cs="Calibri"/>
          <w:b w:val="0"/>
          <w:bCs w:val="0"/>
          <w:kern w:val="0"/>
          <w:sz w:val="32"/>
          <w:szCs w:val="32"/>
        </w:rPr>
        <w:t>021年度收入合计8160.6</w:t>
      </w:r>
      <w:r>
        <w:rPr>
          <w:rFonts w:hint="eastAsia" w:ascii="仿宋" w:hAnsi="仿宋" w:eastAsia="仿宋" w:cs="Calibri"/>
          <w:b w:val="0"/>
          <w:bCs w:val="0"/>
          <w:kern w:val="0"/>
          <w:sz w:val="32"/>
          <w:szCs w:val="32"/>
          <w:lang w:val="en-US" w:eastAsia="zh-CN"/>
        </w:rPr>
        <w:t>0</w:t>
      </w:r>
      <w:r>
        <w:rPr>
          <w:rFonts w:hint="eastAsia" w:ascii="仿宋" w:hAnsi="仿宋" w:eastAsia="仿宋" w:cs="Calibri"/>
          <w:b w:val="0"/>
          <w:bCs w:val="0"/>
          <w:kern w:val="0"/>
          <w:sz w:val="32"/>
          <w:szCs w:val="32"/>
        </w:rPr>
        <w:t>万元，其中：财政拨款收入8160.6</w:t>
      </w:r>
      <w:r>
        <w:rPr>
          <w:rFonts w:hint="eastAsia" w:ascii="仿宋" w:hAnsi="仿宋" w:eastAsia="仿宋" w:cs="Calibri"/>
          <w:b w:val="0"/>
          <w:bCs w:val="0"/>
          <w:kern w:val="0"/>
          <w:sz w:val="32"/>
          <w:szCs w:val="32"/>
          <w:lang w:val="en-US" w:eastAsia="zh-CN"/>
        </w:rPr>
        <w:t>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100</w:t>
      </w:r>
      <w:r>
        <w:rPr>
          <w:rFonts w:hint="eastAsia" w:ascii="仿宋" w:hAnsi="仿宋" w:eastAsia="仿宋" w:cs="Calibri"/>
          <w:b w:val="0"/>
          <w:bCs w:val="0"/>
          <w:kern w:val="0"/>
          <w:sz w:val="32"/>
          <w:szCs w:val="32"/>
        </w:rPr>
        <w:t>%；上级补助收入</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%；事业收入</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%；经营收入</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%；附属单位上缴收入</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%；其他收入</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 w:hAnsi="仿宋" w:eastAsia="仿宋" w:cs="Calibri"/>
          <w:b w:val="0"/>
          <w:bCs w:val="0"/>
          <w:kern w:val="0"/>
          <w:sz w:val="32"/>
          <w:szCs w:val="32"/>
        </w:rPr>
      </w:pPr>
      <w:r>
        <w:rPr>
          <w:rFonts w:hint="eastAsia" w:ascii="仿宋" w:hAnsi="仿宋" w:eastAsia="仿宋" w:cs="Calibri"/>
          <w:b w:val="0"/>
          <w:bCs w:val="0"/>
          <w:kern w:val="0"/>
          <w:sz w:val="32"/>
          <w:szCs w:val="32"/>
        </w:rPr>
        <w:t>2021年度支出合计8382.34万元，其中：基本支出1887.5</w:t>
      </w:r>
      <w:r>
        <w:rPr>
          <w:rFonts w:hint="eastAsia" w:ascii="仿宋" w:hAnsi="仿宋" w:eastAsia="仿宋" w:cs="Calibri"/>
          <w:b w:val="0"/>
          <w:bCs w:val="0"/>
          <w:kern w:val="0"/>
          <w:sz w:val="32"/>
          <w:szCs w:val="32"/>
          <w:lang w:val="en-US" w:eastAsia="zh-CN"/>
        </w:rPr>
        <w:t>4</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22.52</w:t>
      </w:r>
      <w:r>
        <w:rPr>
          <w:rFonts w:hint="eastAsia" w:ascii="仿宋" w:hAnsi="仿宋" w:eastAsia="仿宋" w:cs="Calibri"/>
          <w:b w:val="0"/>
          <w:bCs w:val="0"/>
          <w:kern w:val="0"/>
          <w:sz w:val="32"/>
          <w:szCs w:val="32"/>
        </w:rPr>
        <w:t>%；项目支出6494.81万元，占</w:t>
      </w:r>
      <w:r>
        <w:rPr>
          <w:rFonts w:hint="eastAsia" w:ascii="仿宋" w:hAnsi="仿宋" w:eastAsia="仿宋" w:cs="Calibri"/>
          <w:b w:val="0"/>
          <w:bCs w:val="0"/>
          <w:kern w:val="0"/>
          <w:sz w:val="32"/>
          <w:szCs w:val="32"/>
          <w:lang w:val="en-US" w:eastAsia="zh-CN"/>
        </w:rPr>
        <w:t>77.48</w:t>
      </w:r>
      <w:r>
        <w:rPr>
          <w:rFonts w:hint="eastAsia" w:ascii="仿宋" w:hAnsi="仿宋" w:eastAsia="仿宋" w:cs="Calibri"/>
          <w:b w:val="0"/>
          <w:bCs w:val="0"/>
          <w:kern w:val="0"/>
          <w:sz w:val="32"/>
          <w:szCs w:val="32"/>
        </w:rPr>
        <w:t>%；上缴上级支出</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%；经营支出</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%；对附属单位补助支出</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 w:hAnsi="仿宋" w:eastAsia="仿宋" w:cs="Calibri"/>
          <w:b w:val="0"/>
          <w:bCs w:val="0"/>
          <w:kern w:val="0"/>
          <w:sz w:val="32"/>
          <w:szCs w:val="32"/>
        </w:rPr>
      </w:pPr>
      <w:r>
        <w:rPr>
          <w:rFonts w:hint="eastAsia" w:ascii="仿宋" w:hAnsi="仿宋" w:eastAsia="仿宋" w:cs="Calibri"/>
          <w:b w:val="0"/>
          <w:bCs w:val="0"/>
          <w:kern w:val="0"/>
          <w:sz w:val="32"/>
          <w:szCs w:val="32"/>
        </w:rPr>
        <w:t>2021年度财政拨款收、支总计均为8382.34万元。与上年度相比，财政拨款收、支总计各减少</w:t>
      </w:r>
      <w:r>
        <w:rPr>
          <w:rFonts w:hint="eastAsia" w:ascii="仿宋" w:hAnsi="仿宋" w:eastAsia="仿宋" w:cs="Calibri"/>
          <w:b w:val="0"/>
          <w:bCs w:val="0"/>
          <w:kern w:val="0"/>
          <w:sz w:val="32"/>
          <w:szCs w:val="32"/>
          <w:lang w:val="en-US" w:eastAsia="zh-CN"/>
        </w:rPr>
        <w:t>8867.57</w:t>
      </w:r>
      <w:r>
        <w:rPr>
          <w:rFonts w:hint="eastAsia" w:ascii="仿宋" w:hAnsi="仿宋" w:eastAsia="仿宋" w:cs="Calibri"/>
          <w:b w:val="0"/>
          <w:bCs w:val="0"/>
          <w:kern w:val="0"/>
          <w:sz w:val="32"/>
          <w:szCs w:val="32"/>
        </w:rPr>
        <w:t>万元，下降</w:t>
      </w:r>
      <w:r>
        <w:rPr>
          <w:rFonts w:hint="eastAsia" w:ascii="仿宋" w:hAnsi="仿宋" w:eastAsia="仿宋" w:cs="Calibri"/>
          <w:b w:val="0"/>
          <w:bCs w:val="0"/>
          <w:kern w:val="0"/>
          <w:sz w:val="32"/>
          <w:szCs w:val="32"/>
          <w:lang w:val="en-US" w:eastAsia="zh-CN"/>
        </w:rPr>
        <w:t>51.41</w:t>
      </w:r>
      <w:r>
        <w:rPr>
          <w:rFonts w:hint="eastAsia" w:ascii="仿宋" w:hAnsi="仿宋" w:eastAsia="仿宋" w:cs="Calibri"/>
          <w:b w:val="0"/>
          <w:bCs w:val="0"/>
          <w:kern w:val="0"/>
          <w:sz w:val="32"/>
          <w:szCs w:val="32"/>
        </w:rPr>
        <w:t>%。主要原因是</w:t>
      </w:r>
      <w:r>
        <w:rPr>
          <w:rFonts w:hint="eastAsia" w:ascii="仿宋" w:hAnsi="仿宋" w:eastAsia="仿宋" w:cs="Calibri"/>
          <w:b w:val="0"/>
          <w:bCs w:val="0"/>
          <w:kern w:val="0"/>
          <w:sz w:val="32"/>
          <w:szCs w:val="32"/>
          <w:lang w:eastAsia="zh-CN"/>
        </w:rPr>
        <w:t>破产或改制企业职工安置费和征地拆迁补偿金减少</w:t>
      </w:r>
      <w:r>
        <w:rPr>
          <w:rFonts w:hint="eastAsia" w:ascii="仿宋" w:hAnsi="仿宋" w:eastAsia="仿宋" w:cs="Calibri"/>
          <w:b w:val="0"/>
          <w:bCs w:val="0"/>
          <w:kern w:val="0"/>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（一）总体情况</w:t>
      </w:r>
    </w:p>
    <w:p>
      <w:pPr>
        <w:widowControl/>
        <w:spacing w:line="590" w:lineRule="exact"/>
        <w:ind w:firstLine="640" w:firstLineChars="200"/>
        <w:rPr>
          <w:rFonts w:hint="eastAsia" w:ascii="仿宋" w:hAnsi="仿宋" w:eastAsia="仿宋" w:cs="Calibri"/>
          <w:b w:val="0"/>
          <w:bCs w:val="0"/>
          <w:kern w:val="0"/>
          <w:sz w:val="32"/>
          <w:szCs w:val="32"/>
        </w:rPr>
      </w:pPr>
      <w:r>
        <w:rPr>
          <w:rFonts w:hint="eastAsia" w:ascii="仿宋" w:hAnsi="仿宋" w:eastAsia="仿宋" w:cs="Calibri"/>
          <w:b w:val="0"/>
          <w:bCs w:val="0"/>
          <w:kern w:val="0"/>
          <w:sz w:val="32"/>
          <w:szCs w:val="32"/>
        </w:rPr>
        <w:t>2021年度一般公共预算财政拨款支出8382.34万元，占支出合计的100%。与上年度相比，一般公共预算财政拨款支出增加3702.50万元，增长79.12%。主要原因是对企业奖励支出的增加。</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（二）结构情况</w:t>
      </w:r>
    </w:p>
    <w:p>
      <w:pPr>
        <w:widowControl/>
        <w:spacing w:line="590" w:lineRule="exact"/>
        <w:ind w:firstLine="640" w:firstLineChars="200"/>
        <w:rPr>
          <w:rFonts w:hint="eastAsia" w:ascii="仿宋" w:hAnsi="仿宋" w:eastAsia="仿宋" w:cs="Calibri"/>
          <w:b w:val="0"/>
          <w:bCs w:val="0"/>
          <w:kern w:val="0"/>
          <w:sz w:val="32"/>
          <w:szCs w:val="32"/>
        </w:rPr>
      </w:pPr>
      <w:r>
        <w:rPr>
          <w:rFonts w:hint="eastAsia" w:ascii="仿宋" w:hAnsi="仿宋" w:eastAsia="仿宋" w:cs="Calibri"/>
          <w:b w:val="0"/>
          <w:bCs w:val="0"/>
          <w:kern w:val="0"/>
          <w:sz w:val="32"/>
          <w:szCs w:val="32"/>
        </w:rPr>
        <w:t>2021年度一般公共预算财政拨款支出8382.34万元，主要用于以下方面：一般公共服务（类）支出4.91万元，占</w:t>
      </w:r>
      <w:r>
        <w:rPr>
          <w:rFonts w:hint="eastAsia" w:ascii="仿宋" w:hAnsi="仿宋" w:eastAsia="仿宋" w:cs="Calibri"/>
          <w:b w:val="0"/>
          <w:bCs w:val="0"/>
          <w:kern w:val="0"/>
          <w:sz w:val="32"/>
          <w:szCs w:val="32"/>
          <w:lang w:val="en-US" w:eastAsia="zh-CN"/>
        </w:rPr>
        <w:t>0.06</w:t>
      </w:r>
      <w:r>
        <w:rPr>
          <w:rFonts w:hint="eastAsia" w:ascii="仿宋" w:hAnsi="仿宋" w:eastAsia="仿宋" w:cs="Calibri"/>
          <w:b w:val="0"/>
          <w:bCs w:val="0"/>
          <w:kern w:val="0"/>
          <w:sz w:val="32"/>
          <w:szCs w:val="32"/>
        </w:rPr>
        <w:t>%；科学技术（类）支出6160.8</w:t>
      </w:r>
      <w:r>
        <w:rPr>
          <w:rFonts w:hint="eastAsia" w:ascii="仿宋" w:hAnsi="仿宋" w:eastAsia="仿宋" w:cs="Calibri"/>
          <w:b w:val="0"/>
          <w:bCs w:val="0"/>
          <w:kern w:val="0"/>
          <w:sz w:val="32"/>
          <w:szCs w:val="32"/>
          <w:lang w:val="en-US" w:eastAsia="zh-CN"/>
        </w:rPr>
        <w:t>0</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73.50</w:t>
      </w:r>
      <w:r>
        <w:rPr>
          <w:rFonts w:hint="eastAsia" w:ascii="仿宋" w:hAnsi="仿宋" w:eastAsia="仿宋" w:cs="Calibri"/>
          <w:b w:val="0"/>
          <w:bCs w:val="0"/>
          <w:kern w:val="0"/>
          <w:sz w:val="32"/>
          <w:szCs w:val="32"/>
        </w:rPr>
        <w:t>%；社会保障和就业（类）支出699.84万元，占</w:t>
      </w:r>
      <w:r>
        <w:rPr>
          <w:rFonts w:hint="eastAsia" w:ascii="仿宋" w:hAnsi="仿宋" w:eastAsia="仿宋" w:cs="Calibri"/>
          <w:b w:val="0"/>
          <w:bCs w:val="0"/>
          <w:kern w:val="0"/>
          <w:sz w:val="32"/>
          <w:szCs w:val="32"/>
          <w:lang w:val="en-US" w:eastAsia="zh-CN"/>
        </w:rPr>
        <w:t>8.35</w:t>
      </w:r>
      <w:r>
        <w:rPr>
          <w:rFonts w:hint="eastAsia" w:ascii="仿宋" w:hAnsi="仿宋" w:eastAsia="仿宋" w:cs="Calibri"/>
          <w:b w:val="0"/>
          <w:bCs w:val="0"/>
          <w:kern w:val="0"/>
          <w:sz w:val="32"/>
          <w:szCs w:val="32"/>
        </w:rPr>
        <w:t>%；卫生健康（类）支出62.83万元，占</w:t>
      </w:r>
      <w:r>
        <w:rPr>
          <w:rFonts w:hint="eastAsia" w:ascii="仿宋" w:hAnsi="仿宋" w:eastAsia="仿宋" w:cs="Calibri"/>
          <w:b w:val="0"/>
          <w:bCs w:val="0"/>
          <w:kern w:val="0"/>
          <w:sz w:val="32"/>
          <w:szCs w:val="32"/>
          <w:lang w:val="en-US" w:eastAsia="zh-CN"/>
        </w:rPr>
        <w:t>0.75</w:t>
      </w:r>
      <w:r>
        <w:rPr>
          <w:rFonts w:hint="eastAsia" w:ascii="仿宋" w:hAnsi="仿宋" w:eastAsia="仿宋" w:cs="Calibri"/>
          <w:b w:val="0"/>
          <w:bCs w:val="0"/>
          <w:kern w:val="0"/>
          <w:sz w:val="32"/>
          <w:szCs w:val="32"/>
        </w:rPr>
        <w:t>%；农林水（类）出</w:t>
      </w:r>
      <w:r>
        <w:rPr>
          <w:rFonts w:hint="eastAsia" w:ascii="仿宋" w:hAnsi="仿宋" w:eastAsia="仿宋" w:cs="Calibri"/>
          <w:b w:val="0"/>
          <w:bCs w:val="0"/>
          <w:kern w:val="0"/>
          <w:sz w:val="32"/>
          <w:szCs w:val="32"/>
          <w:lang w:val="en-US" w:eastAsia="zh-CN"/>
        </w:rPr>
        <w:t>1.41</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0.02</w:t>
      </w:r>
      <w:r>
        <w:rPr>
          <w:rFonts w:hint="eastAsia" w:ascii="仿宋" w:hAnsi="仿宋" w:eastAsia="仿宋" w:cs="Calibri"/>
          <w:b w:val="0"/>
          <w:bCs w:val="0"/>
          <w:kern w:val="0"/>
          <w:sz w:val="32"/>
          <w:szCs w:val="32"/>
        </w:rPr>
        <w:t>%；资源勘探工业信息</w:t>
      </w:r>
      <w:r>
        <w:rPr>
          <w:rFonts w:hint="eastAsia" w:ascii="仿宋" w:hAnsi="仿宋" w:eastAsia="仿宋" w:cs="Calibri"/>
          <w:b w:val="0"/>
          <w:bCs w:val="0"/>
          <w:kern w:val="0"/>
          <w:sz w:val="32"/>
          <w:szCs w:val="32"/>
          <w:lang w:eastAsia="zh-CN"/>
        </w:rPr>
        <w:t>等</w:t>
      </w:r>
      <w:r>
        <w:rPr>
          <w:rFonts w:hint="eastAsia" w:ascii="仿宋" w:hAnsi="仿宋" w:eastAsia="仿宋" w:cs="Calibri"/>
          <w:b w:val="0"/>
          <w:bCs w:val="0"/>
          <w:kern w:val="0"/>
          <w:sz w:val="32"/>
          <w:szCs w:val="32"/>
        </w:rPr>
        <w:t>（类）支出</w:t>
      </w:r>
      <w:r>
        <w:rPr>
          <w:rFonts w:hint="eastAsia" w:ascii="仿宋" w:hAnsi="仿宋" w:eastAsia="仿宋" w:cs="Calibri"/>
          <w:b w:val="0"/>
          <w:bCs w:val="0"/>
          <w:kern w:val="0"/>
          <w:sz w:val="32"/>
          <w:szCs w:val="32"/>
          <w:lang w:val="en-US" w:eastAsia="zh-CN"/>
        </w:rPr>
        <w:t>1452.55</w:t>
      </w:r>
      <w:r>
        <w:rPr>
          <w:rFonts w:hint="eastAsia" w:ascii="仿宋" w:hAnsi="仿宋" w:eastAsia="仿宋" w:cs="Calibri"/>
          <w:b w:val="0"/>
          <w:bCs w:val="0"/>
          <w:kern w:val="0"/>
          <w:sz w:val="32"/>
          <w:szCs w:val="32"/>
        </w:rPr>
        <w:t>万元，占</w:t>
      </w:r>
      <w:r>
        <w:rPr>
          <w:rFonts w:hint="eastAsia" w:ascii="仿宋" w:hAnsi="仿宋" w:eastAsia="仿宋" w:cs="Calibri"/>
          <w:b w:val="0"/>
          <w:bCs w:val="0"/>
          <w:kern w:val="0"/>
          <w:sz w:val="32"/>
          <w:szCs w:val="32"/>
          <w:lang w:val="en-US" w:eastAsia="zh-CN"/>
        </w:rPr>
        <w:t>17.32</w:t>
      </w:r>
      <w:r>
        <w:rPr>
          <w:rFonts w:hint="eastAsia" w:ascii="仿宋" w:hAnsi="仿宋" w:eastAsia="仿宋" w:cs="Calibri"/>
          <w:b w:val="0"/>
          <w:bCs w:val="0"/>
          <w:kern w:val="0"/>
          <w:sz w:val="32"/>
          <w:szCs w:val="32"/>
        </w:rPr>
        <w:t>%。</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（三）具体情况</w:t>
      </w:r>
    </w:p>
    <w:p>
      <w:pPr>
        <w:widowControl/>
        <w:spacing w:line="590" w:lineRule="exact"/>
        <w:ind w:firstLine="640" w:firstLineChars="200"/>
        <w:rPr>
          <w:rFonts w:hint="eastAsia" w:ascii="仿宋" w:hAnsi="仿宋" w:eastAsia="仿宋" w:cs="Calibri"/>
          <w:b w:val="0"/>
          <w:bCs w:val="0"/>
          <w:kern w:val="0"/>
          <w:sz w:val="32"/>
          <w:szCs w:val="32"/>
        </w:rPr>
      </w:pPr>
      <w:r>
        <w:rPr>
          <w:rFonts w:hint="eastAsia" w:ascii="仿宋" w:hAnsi="仿宋" w:eastAsia="仿宋" w:cs="Calibri"/>
          <w:b w:val="0"/>
          <w:bCs w:val="0"/>
          <w:kern w:val="0"/>
          <w:sz w:val="32"/>
          <w:szCs w:val="32"/>
        </w:rPr>
        <w:t>2021年度一般公共预算财政拨款支出</w:t>
      </w:r>
      <w:r>
        <w:rPr>
          <w:rFonts w:hint="eastAsia" w:ascii="仿宋" w:hAnsi="仿宋" w:eastAsia="仿宋" w:cs="Calibri"/>
          <w:b w:val="0"/>
          <w:bCs w:val="0"/>
          <w:kern w:val="0"/>
          <w:sz w:val="32"/>
          <w:szCs w:val="32"/>
          <w:lang w:eastAsia="zh-CN"/>
        </w:rPr>
        <w:t>年初</w:t>
      </w:r>
      <w:r>
        <w:rPr>
          <w:rFonts w:hint="eastAsia" w:ascii="仿宋" w:hAnsi="仿宋" w:eastAsia="仿宋" w:cs="Calibri"/>
          <w:b w:val="0"/>
          <w:bCs w:val="0"/>
          <w:kern w:val="0"/>
          <w:sz w:val="32"/>
          <w:szCs w:val="32"/>
        </w:rPr>
        <w:t>预算为</w:t>
      </w:r>
      <w:r>
        <w:rPr>
          <w:rFonts w:hint="eastAsia" w:ascii="仿宋" w:hAnsi="仿宋" w:eastAsia="仿宋" w:cs="Calibri"/>
          <w:b w:val="0"/>
          <w:bCs w:val="0"/>
          <w:kern w:val="0"/>
          <w:sz w:val="32"/>
          <w:szCs w:val="32"/>
          <w:lang w:val="en-US" w:eastAsia="zh-CN"/>
        </w:rPr>
        <w:t>1560.54</w:t>
      </w:r>
      <w:r>
        <w:rPr>
          <w:rFonts w:hint="eastAsia" w:ascii="仿宋" w:hAnsi="仿宋" w:eastAsia="仿宋" w:cs="Calibri"/>
          <w:b w:val="0"/>
          <w:bCs w:val="0"/>
          <w:kern w:val="0"/>
          <w:sz w:val="32"/>
          <w:szCs w:val="32"/>
        </w:rPr>
        <w:t>万元，支出决算为8382.34万元，完成</w:t>
      </w:r>
      <w:r>
        <w:rPr>
          <w:rFonts w:hint="eastAsia" w:ascii="仿宋" w:hAnsi="仿宋" w:eastAsia="仿宋" w:cs="Calibri"/>
          <w:b w:val="0"/>
          <w:bCs w:val="0"/>
          <w:kern w:val="0"/>
          <w:sz w:val="32"/>
          <w:szCs w:val="32"/>
          <w:lang w:eastAsia="zh-CN"/>
        </w:rPr>
        <w:t>年初</w:t>
      </w:r>
      <w:r>
        <w:rPr>
          <w:rFonts w:hint="eastAsia" w:ascii="仿宋" w:hAnsi="仿宋" w:eastAsia="仿宋" w:cs="Calibri"/>
          <w:b w:val="0"/>
          <w:bCs w:val="0"/>
          <w:kern w:val="0"/>
          <w:sz w:val="32"/>
          <w:szCs w:val="32"/>
        </w:rPr>
        <w:t>预算的</w:t>
      </w:r>
      <w:r>
        <w:rPr>
          <w:rFonts w:hint="eastAsia" w:ascii="仿宋" w:hAnsi="仿宋" w:eastAsia="仿宋" w:cs="Calibri"/>
          <w:b w:val="0"/>
          <w:bCs w:val="0"/>
          <w:kern w:val="0"/>
          <w:sz w:val="32"/>
          <w:szCs w:val="32"/>
          <w:lang w:val="en-US" w:eastAsia="zh-CN"/>
        </w:rPr>
        <w:t>537.14</w:t>
      </w:r>
      <w:r>
        <w:rPr>
          <w:rFonts w:hint="eastAsia" w:ascii="仿宋" w:hAnsi="仿宋" w:eastAsia="仿宋" w:cs="Calibri"/>
          <w:b w:val="0"/>
          <w:bCs w:val="0"/>
          <w:kern w:val="0"/>
          <w:sz w:val="32"/>
          <w:szCs w:val="32"/>
        </w:rPr>
        <w:t>%。其中：</w:t>
      </w:r>
    </w:p>
    <w:p>
      <w:pPr>
        <w:widowControl/>
        <w:numPr>
          <w:ilvl w:val="0"/>
          <w:numId w:val="4"/>
        </w:numPr>
        <w:spacing w:line="590" w:lineRule="exact"/>
        <w:ind w:firstLine="643" w:firstLineChars="200"/>
        <w:rPr>
          <w:rFonts w:hint="eastAsia" w:ascii="仿宋" w:hAnsi="仿宋" w:eastAsia="仿宋" w:cs="Calibri"/>
          <w:b w:val="0"/>
          <w:bCs w:val="0"/>
          <w:kern w:val="0"/>
          <w:sz w:val="32"/>
          <w:szCs w:val="32"/>
        </w:rPr>
      </w:pPr>
      <w:r>
        <w:rPr>
          <w:rFonts w:hint="eastAsia" w:ascii="仿宋" w:hAnsi="仿宋" w:eastAsia="仿宋" w:cs="仿宋"/>
          <w:b/>
          <w:bCs/>
          <w:sz w:val="32"/>
          <w:szCs w:val="32"/>
          <w:highlight w:val="none"/>
        </w:rPr>
        <w:t>一般公共服务支出（类）群众团体事务（款）工会事务（项）。</w:t>
      </w:r>
      <w:r>
        <w:rPr>
          <w:rFonts w:hint="eastAsia" w:ascii="仿宋" w:hAnsi="仿宋" w:eastAsia="仿宋" w:cs="Calibri"/>
          <w:b w:val="0"/>
          <w:bCs w:val="0"/>
          <w:kern w:val="0"/>
          <w:sz w:val="32"/>
          <w:szCs w:val="32"/>
          <w:lang w:eastAsia="zh-CN"/>
        </w:rPr>
        <w:t>年初</w:t>
      </w:r>
      <w:r>
        <w:rPr>
          <w:rFonts w:hint="eastAsia" w:ascii="仿宋" w:hAnsi="仿宋" w:eastAsia="仿宋" w:cs="Calibri"/>
          <w:b w:val="0"/>
          <w:bCs w:val="0"/>
          <w:kern w:val="0"/>
          <w:sz w:val="32"/>
          <w:szCs w:val="32"/>
        </w:rPr>
        <w:t>预算为</w:t>
      </w:r>
      <w:r>
        <w:rPr>
          <w:rFonts w:hint="eastAsia" w:ascii="仿宋" w:hAnsi="仿宋" w:eastAsia="仿宋" w:cs="Calibri"/>
          <w:b w:val="0"/>
          <w:bCs w:val="0"/>
          <w:kern w:val="0"/>
          <w:sz w:val="32"/>
          <w:szCs w:val="32"/>
          <w:lang w:val="en-US" w:eastAsia="zh-CN"/>
        </w:rPr>
        <w:t>4.91</w:t>
      </w:r>
      <w:r>
        <w:rPr>
          <w:rFonts w:hint="eastAsia" w:ascii="仿宋" w:hAnsi="仿宋" w:eastAsia="仿宋" w:cs="Calibri"/>
          <w:b w:val="0"/>
          <w:bCs w:val="0"/>
          <w:kern w:val="0"/>
          <w:sz w:val="32"/>
          <w:szCs w:val="32"/>
        </w:rPr>
        <w:t>万元，支出决算为</w:t>
      </w:r>
      <w:r>
        <w:rPr>
          <w:rFonts w:hint="eastAsia" w:ascii="仿宋" w:hAnsi="仿宋" w:eastAsia="仿宋" w:cs="Calibri"/>
          <w:b w:val="0"/>
          <w:bCs w:val="0"/>
          <w:kern w:val="0"/>
          <w:sz w:val="32"/>
          <w:szCs w:val="32"/>
          <w:lang w:val="en-US" w:eastAsia="zh-CN"/>
        </w:rPr>
        <w:t>4.91</w:t>
      </w:r>
      <w:r>
        <w:rPr>
          <w:rFonts w:hint="eastAsia" w:ascii="仿宋" w:hAnsi="仿宋" w:eastAsia="仿宋" w:cs="Calibri"/>
          <w:b w:val="0"/>
          <w:bCs w:val="0"/>
          <w:kern w:val="0"/>
          <w:sz w:val="32"/>
          <w:szCs w:val="32"/>
        </w:rPr>
        <w:t>万元，完成</w:t>
      </w:r>
      <w:r>
        <w:rPr>
          <w:rFonts w:hint="eastAsia" w:ascii="仿宋" w:hAnsi="仿宋" w:eastAsia="仿宋" w:cs="Calibri"/>
          <w:b w:val="0"/>
          <w:bCs w:val="0"/>
          <w:kern w:val="0"/>
          <w:sz w:val="32"/>
          <w:szCs w:val="32"/>
          <w:lang w:eastAsia="zh-CN"/>
        </w:rPr>
        <w:t>年初</w:t>
      </w:r>
      <w:r>
        <w:rPr>
          <w:rFonts w:hint="eastAsia" w:ascii="仿宋" w:hAnsi="仿宋" w:eastAsia="仿宋" w:cs="Calibri"/>
          <w:b w:val="0"/>
          <w:bCs w:val="0"/>
          <w:kern w:val="0"/>
          <w:sz w:val="32"/>
          <w:szCs w:val="32"/>
        </w:rPr>
        <w:t>预算的</w:t>
      </w:r>
      <w:r>
        <w:rPr>
          <w:rFonts w:hint="eastAsia" w:ascii="仿宋" w:hAnsi="仿宋" w:eastAsia="仿宋" w:cs="Calibri"/>
          <w:b w:val="0"/>
          <w:bCs w:val="0"/>
          <w:kern w:val="0"/>
          <w:sz w:val="32"/>
          <w:szCs w:val="32"/>
          <w:lang w:val="en-US" w:eastAsia="zh-CN"/>
        </w:rPr>
        <w:t>100</w:t>
      </w:r>
      <w:r>
        <w:rPr>
          <w:rFonts w:hint="eastAsia" w:ascii="仿宋" w:hAnsi="仿宋" w:eastAsia="仿宋" w:cs="Calibri"/>
          <w:b w:val="0"/>
          <w:bCs w:val="0"/>
          <w:kern w:val="0"/>
          <w:sz w:val="32"/>
          <w:szCs w:val="32"/>
        </w:rPr>
        <w:t>%。</w:t>
      </w:r>
      <w:r>
        <w:rPr>
          <w:rFonts w:hint="eastAsia" w:ascii="仿宋" w:hAnsi="仿宋" w:eastAsia="仿宋" w:cs="Calibri"/>
          <w:b w:val="0"/>
          <w:bCs w:val="0"/>
          <w:kern w:val="0"/>
          <w:sz w:val="32"/>
          <w:szCs w:val="32"/>
          <w:lang w:eastAsia="zh-CN"/>
        </w:rPr>
        <w:t>决算数与年初预算数不存在差异。</w:t>
      </w:r>
    </w:p>
    <w:p>
      <w:pPr>
        <w:widowControl/>
        <w:numPr>
          <w:ilvl w:val="0"/>
          <w:numId w:val="0"/>
        </w:numPr>
        <w:spacing w:line="590" w:lineRule="exact"/>
        <w:ind w:firstLine="643" w:firstLineChars="200"/>
        <w:rPr>
          <w:rFonts w:hint="eastAsia" w:ascii="仿宋" w:hAnsi="仿宋" w:eastAsia="仿宋" w:cs="Calibri"/>
          <w:b w:val="0"/>
          <w:bCs w:val="0"/>
          <w:kern w:val="0"/>
          <w:sz w:val="32"/>
          <w:szCs w:val="32"/>
          <w:lang w:eastAsia="zh-CN"/>
        </w:rPr>
      </w:pPr>
      <w:r>
        <w:rPr>
          <w:rFonts w:hint="eastAsia" w:ascii="仿宋" w:hAnsi="仿宋" w:eastAsia="仿宋" w:cs="仿宋"/>
          <w:b/>
          <w:bCs/>
          <w:sz w:val="32"/>
          <w:szCs w:val="32"/>
          <w:highlight w:val="none"/>
          <w:lang w:val="en-US" w:eastAsia="zh-CN"/>
        </w:rPr>
        <w:t>2</w:t>
      </w:r>
      <w:r>
        <w:rPr>
          <w:rFonts w:hint="eastAsia" w:ascii="仿宋" w:hAnsi="仿宋" w:eastAsia="仿宋" w:cs="仿宋"/>
          <w:b/>
          <w:bCs/>
          <w:sz w:val="32"/>
          <w:szCs w:val="32"/>
          <w:highlight w:val="none"/>
        </w:rPr>
        <w:t>．科学技术支出（类）科技重大项目（款）其他科技重大项目（项）。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6160.80</w:t>
      </w:r>
      <w:r>
        <w:rPr>
          <w:rFonts w:hint="eastAsia" w:ascii="仿宋" w:hAnsi="仿宋" w:eastAsia="仿宋" w:cs="Calibri"/>
          <w:b w:val="0"/>
          <w:bCs w:val="0"/>
          <w:kern w:val="0"/>
          <w:sz w:val="32"/>
          <w:szCs w:val="32"/>
          <w:lang w:eastAsia="zh-CN"/>
        </w:rPr>
        <w:t>万元，决算数与年初预算数存在差异的主要原因是年中增加了对企业高质量发展奖励资金。</w:t>
      </w:r>
    </w:p>
    <w:p>
      <w:pPr>
        <w:widowControl/>
        <w:numPr>
          <w:ilvl w:val="0"/>
          <w:numId w:val="0"/>
        </w:numPr>
        <w:spacing w:line="590" w:lineRule="exact"/>
        <w:ind w:firstLine="643" w:firstLineChars="200"/>
        <w:rPr>
          <w:rFonts w:hint="eastAsia" w:ascii="仿宋" w:hAnsi="仿宋" w:eastAsia="仿宋" w:cs="Calibri"/>
          <w:b w:val="0"/>
          <w:bCs w:val="0"/>
          <w:kern w:val="0"/>
          <w:sz w:val="32"/>
          <w:szCs w:val="32"/>
          <w:lang w:eastAsia="zh-CN"/>
        </w:rPr>
      </w:pPr>
      <w:r>
        <w:rPr>
          <w:rFonts w:hint="eastAsia" w:ascii="仿宋" w:hAnsi="仿宋" w:eastAsia="仿宋" w:cs="仿宋"/>
          <w:b/>
          <w:bCs/>
          <w:sz w:val="32"/>
          <w:szCs w:val="32"/>
          <w:highlight w:val="none"/>
          <w:lang w:val="en-US" w:eastAsia="zh-CN"/>
        </w:rPr>
        <w:t>3．社会保障和就业支出（类）行政事业单位养老支出（款）    行政单位离退休（项）。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452.46</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500.32</w:t>
      </w:r>
      <w:r>
        <w:rPr>
          <w:rFonts w:hint="eastAsia" w:ascii="仿宋" w:hAnsi="仿宋" w:eastAsia="仿宋" w:cs="Calibri"/>
          <w:b w:val="0"/>
          <w:bCs w:val="0"/>
          <w:kern w:val="0"/>
          <w:sz w:val="32"/>
          <w:szCs w:val="32"/>
          <w:lang w:eastAsia="zh-CN"/>
        </w:rPr>
        <w:t>万元，完成年初预算的</w:t>
      </w:r>
      <w:r>
        <w:rPr>
          <w:rFonts w:hint="eastAsia" w:ascii="仿宋" w:hAnsi="仿宋" w:eastAsia="仿宋" w:cs="Calibri"/>
          <w:b w:val="0"/>
          <w:bCs w:val="0"/>
          <w:kern w:val="0"/>
          <w:sz w:val="32"/>
          <w:szCs w:val="32"/>
          <w:lang w:val="en-US" w:eastAsia="zh-CN"/>
        </w:rPr>
        <w:t>110.58</w:t>
      </w:r>
      <w:r>
        <w:rPr>
          <w:rFonts w:hint="eastAsia" w:ascii="仿宋" w:hAnsi="仿宋" w:eastAsia="仿宋" w:cs="Calibri"/>
          <w:b w:val="0"/>
          <w:bCs w:val="0"/>
          <w:kern w:val="0"/>
          <w:sz w:val="32"/>
          <w:szCs w:val="32"/>
          <w:lang w:eastAsia="zh-CN"/>
        </w:rPr>
        <w:t>%，决算数与年初预算数存在差异的主要原因是年中退休人员增多，行政单位退休支出增加。</w:t>
      </w:r>
    </w:p>
    <w:p>
      <w:pPr>
        <w:widowControl/>
        <w:numPr>
          <w:ilvl w:val="0"/>
          <w:numId w:val="0"/>
        </w:numPr>
        <w:spacing w:line="590" w:lineRule="exact"/>
        <w:ind w:firstLine="643" w:firstLineChars="200"/>
        <w:rPr>
          <w:rFonts w:hint="eastAsia" w:ascii="仿宋" w:hAnsi="仿宋" w:eastAsia="仿宋" w:cs="Calibri"/>
          <w:b w:val="0"/>
          <w:bCs w:val="0"/>
          <w:kern w:val="0"/>
          <w:sz w:val="32"/>
          <w:szCs w:val="32"/>
          <w:lang w:eastAsia="zh-CN"/>
        </w:rPr>
      </w:pPr>
      <w:r>
        <w:rPr>
          <w:rFonts w:hint="eastAsia" w:ascii="仿宋" w:hAnsi="仿宋" w:eastAsia="仿宋" w:cs="仿宋"/>
          <w:b/>
          <w:bCs/>
          <w:sz w:val="32"/>
          <w:szCs w:val="32"/>
          <w:highlight w:val="none"/>
          <w:lang w:val="en-US" w:eastAsia="zh-CN"/>
        </w:rPr>
        <w:t>4．社会保障和就业支出（类）行政事业单位养老支出（款）机关事业单位基本养老保险缴费支出（项）。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60.05</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76.12</w:t>
      </w:r>
      <w:r>
        <w:rPr>
          <w:rFonts w:hint="eastAsia" w:ascii="仿宋" w:hAnsi="仿宋" w:eastAsia="仿宋" w:cs="Calibri"/>
          <w:b w:val="0"/>
          <w:bCs w:val="0"/>
          <w:kern w:val="0"/>
          <w:sz w:val="32"/>
          <w:szCs w:val="32"/>
          <w:lang w:eastAsia="zh-CN"/>
        </w:rPr>
        <w:t>万元，完成年初预算的</w:t>
      </w:r>
      <w:r>
        <w:rPr>
          <w:rFonts w:hint="eastAsia" w:ascii="仿宋" w:hAnsi="仿宋" w:eastAsia="仿宋" w:cs="Calibri"/>
          <w:b w:val="0"/>
          <w:bCs w:val="0"/>
          <w:kern w:val="0"/>
          <w:sz w:val="32"/>
          <w:szCs w:val="32"/>
          <w:lang w:val="en-US" w:eastAsia="zh-CN"/>
        </w:rPr>
        <w:t>126.76</w:t>
      </w:r>
      <w:r>
        <w:rPr>
          <w:rFonts w:hint="eastAsia" w:ascii="仿宋" w:hAnsi="仿宋" w:eastAsia="仿宋" w:cs="Calibri"/>
          <w:b w:val="0"/>
          <w:bCs w:val="0"/>
          <w:kern w:val="0"/>
          <w:sz w:val="32"/>
          <w:szCs w:val="32"/>
          <w:lang w:eastAsia="zh-CN"/>
        </w:rPr>
        <w:t>%，决算数与年初预算数存在差异的主要原因是年中公务员总数增加，机关事业单位基本养老保险缴费支出增加。</w:t>
      </w:r>
    </w:p>
    <w:p>
      <w:pPr>
        <w:widowControl/>
        <w:numPr>
          <w:ilvl w:val="0"/>
          <w:numId w:val="0"/>
        </w:numPr>
        <w:spacing w:line="590" w:lineRule="exact"/>
        <w:ind w:firstLine="643" w:firstLineChars="200"/>
        <w:rPr>
          <w:rFonts w:hint="eastAsia" w:ascii="仿宋" w:hAnsi="仿宋" w:eastAsia="仿宋" w:cs="Calibri"/>
          <w:b w:val="0"/>
          <w:bCs w:val="0"/>
          <w:kern w:val="0"/>
          <w:sz w:val="32"/>
          <w:szCs w:val="32"/>
          <w:lang w:eastAsia="zh-CN"/>
        </w:rPr>
      </w:pPr>
      <w:r>
        <w:rPr>
          <w:rFonts w:hint="eastAsia" w:ascii="仿宋" w:hAnsi="仿宋" w:eastAsia="仿宋" w:cs="仿宋"/>
          <w:b/>
          <w:bCs/>
          <w:sz w:val="32"/>
          <w:szCs w:val="32"/>
          <w:highlight w:val="none"/>
          <w:lang w:val="en-US" w:eastAsia="zh-CN"/>
        </w:rPr>
        <w:t>5.社会保障和就业支出（类）抚恤（项）死亡抚恤（款）。</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123.39</w:t>
      </w:r>
      <w:r>
        <w:rPr>
          <w:rFonts w:hint="eastAsia" w:ascii="仿宋" w:hAnsi="仿宋" w:eastAsia="仿宋" w:cs="Calibri"/>
          <w:b w:val="0"/>
          <w:bCs w:val="0"/>
          <w:kern w:val="0"/>
          <w:sz w:val="32"/>
          <w:szCs w:val="32"/>
          <w:lang w:eastAsia="zh-CN"/>
        </w:rPr>
        <w:t>万元。</w:t>
      </w:r>
      <w:r>
        <w:rPr>
          <w:rFonts w:hint="eastAsia" w:ascii="仿宋" w:hAnsi="仿宋" w:eastAsia="仿宋" w:cs="Calibri"/>
          <w:b w:val="0"/>
          <w:bCs w:val="0"/>
          <w:kern w:val="0"/>
          <w:sz w:val="32"/>
          <w:szCs w:val="32"/>
          <w:lang w:val="en-US" w:eastAsia="zh-CN"/>
        </w:rPr>
        <w:t>2021年</w:t>
      </w:r>
      <w:r>
        <w:rPr>
          <w:rFonts w:hint="eastAsia" w:ascii="仿宋" w:hAnsi="仿宋" w:eastAsia="仿宋" w:cs="Calibri"/>
          <w:b w:val="0"/>
          <w:bCs w:val="0"/>
          <w:kern w:val="0"/>
          <w:sz w:val="32"/>
          <w:szCs w:val="32"/>
          <w:lang w:eastAsia="zh-CN"/>
        </w:rPr>
        <w:t>决算数与年初预算数存在差异的主要原因是年中离退休人员病故，死亡抚恤支出增加。</w:t>
      </w:r>
    </w:p>
    <w:p>
      <w:pPr>
        <w:widowControl/>
        <w:numPr>
          <w:ilvl w:val="0"/>
          <w:numId w:val="0"/>
        </w:numPr>
        <w:spacing w:line="590" w:lineRule="exact"/>
        <w:ind w:firstLine="643" w:firstLineChars="200"/>
        <w:rPr>
          <w:rFonts w:hint="eastAsia" w:ascii="仿宋" w:hAnsi="仿宋" w:eastAsia="仿宋" w:cs="Calibri"/>
          <w:b w:val="0"/>
          <w:bCs w:val="0"/>
          <w:kern w:val="0"/>
          <w:sz w:val="32"/>
          <w:szCs w:val="32"/>
          <w:lang w:eastAsia="zh-CN"/>
        </w:rPr>
      </w:pPr>
      <w:r>
        <w:rPr>
          <w:rFonts w:hint="eastAsia" w:ascii="仿宋" w:hAnsi="仿宋" w:eastAsia="仿宋" w:cs="仿宋"/>
          <w:b/>
          <w:bCs/>
          <w:sz w:val="32"/>
          <w:szCs w:val="32"/>
          <w:highlight w:val="none"/>
          <w:lang w:val="en-US" w:eastAsia="zh-CN"/>
        </w:rPr>
        <w:t>6.卫生健康支出（类）行政事业单位医疗（款）行政单位医疗（项）。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30.83</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30.11</w:t>
      </w:r>
      <w:r>
        <w:rPr>
          <w:rFonts w:hint="eastAsia" w:ascii="仿宋" w:hAnsi="仿宋" w:eastAsia="仿宋" w:cs="Calibri"/>
          <w:b w:val="0"/>
          <w:bCs w:val="0"/>
          <w:kern w:val="0"/>
          <w:sz w:val="32"/>
          <w:szCs w:val="32"/>
          <w:lang w:eastAsia="zh-CN"/>
        </w:rPr>
        <w:t>万元，完成年初预算的</w:t>
      </w:r>
      <w:r>
        <w:rPr>
          <w:rFonts w:hint="eastAsia" w:ascii="仿宋" w:hAnsi="仿宋" w:eastAsia="仿宋" w:cs="Calibri"/>
          <w:b w:val="0"/>
          <w:bCs w:val="0"/>
          <w:kern w:val="0"/>
          <w:sz w:val="32"/>
          <w:szCs w:val="32"/>
          <w:lang w:val="en-US" w:eastAsia="zh-CN"/>
        </w:rPr>
        <w:t>97.66</w:t>
      </w:r>
      <w:r>
        <w:rPr>
          <w:rFonts w:hint="eastAsia" w:ascii="仿宋" w:hAnsi="仿宋" w:eastAsia="仿宋" w:cs="Calibri"/>
          <w:b w:val="0"/>
          <w:bCs w:val="0"/>
          <w:kern w:val="0"/>
          <w:sz w:val="32"/>
          <w:szCs w:val="32"/>
          <w:lang w:eastAsia="zh-CN"/>
        </w:rPr>
        <w:t>%，决算数与年初预算数存在差异的主要原因是年度中实际医疗保险支出减少。</w:t>
      </w:r>
    </w:p>
    <w:p>
      <w:pPr>
        <w:widowControl/>
        <w:numPr>
          <w:ilvl w:val="0"/>
          <w:numId w:val="0"/>
        </w:numPr>
        <w:spacing w:line="590" w:lineRule="exact"/>
        <w:ind w:firstLine="643" w:firstLineChars="200"/>
        <w:rPr>
          <w:rFonts w:hint="default" w:ascii="仿宋" w:hAnsi="仿宋" w:eastAsia="仿宋" w:cs="Calibri"/>
          <w:b w:val="0"/>
          <w:bCs w:val="0"/>
          <w:kern w:val="0"/>
          <w:sz w:val="32"/>
          <w:szCs w:val="32"/>
          <w:lang w:val="en-US" w:eastAsia="zh-CN"/>
        </w:rPr>
      </w:pPr>
      <w:r>
        <w:rPr>
          <w:rFonts w:hint="eastAsia" w:ascii="仿宋" w:hAnsi="仿宋" w:eastAsia="仿宋" w:cs="仿宋"/>
          <w:b/>
          <w:bCs/>
          <w:sz w:val="32"/>
          <w:szCs w:val="32"/>
          <w:highlight w:val="none"/>
          <w:lang w:val="en-US" w:eastAsia="zh-CN"/>
        </w:rPr>
        <w:t>7.卫生健康支出（类）行政事业单位医疗（款）公务员医疗补助（项）。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29.36</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32.72</w:t>
      </w:r>
      <w:r>
        <w:rPr>
          <w:rFonts w:hint="eastAsia" w:ascii="仿宋" w:hAnsi="仿宋" w:eastAsia="仿宋" w:cs="Calibri"/>
          <w:b w:val="0"/>
          <w:bCs w:val="0"/>
          <w:kern w:val="0"/>
          <w:sz w:val="32"/>
          <w:szCs w:val="32"/>
          <w:lang w:eastAsia="zh-CN"/>
        </w:rPr>
        <w:t>万元，完成年初预算的</w:t>
      </w:r>
      <w:r>
        <w:rPr>
          <w:rFonts w:hint="eastAsia" w:ascii="仿宋" w:hAnsi="仿宋" w:eastAsia="仿宋" w:cs="Calibri"/>
          <w:b w:val="0"/>
          <w:bCs w:val="0"/>
          <w:kern w:val="0"/>
          <w:sz w:val="32"/>
          <w:szCs w:val="32"/>
          <w:lang w:val="en-US" w:eastAsia="zh-CN"/>
        </w:rPr>
        <w:t>111.44</w:t>
      </w:r>
      <w:r>
        <w:rPr>
          <w:rFonts w:hint="eastAsia" w:ascii="仿宋" w:hAnsi="仿宋" w:eastAsia="仿宋" w:cs="Calibri"/>
          <w:b w:val="0"/>
          <w:bCs w:val="0"/>
          <w:kern w:val="0"/>
          <w:sz w:val="32"/>
          <w:szCs w:val="32"/>
          <w:lang w:eastAsia="zh-CN"/>
        </w:rPr>
        <w:t>%，决算数与年初预算数存在差异的主要原因公务员医疗补助增加。</w:t>
      </w:r>
    </w:p>
    <w:p>
      <w:pPr>
        <w:widowControl/>
        <w:numPr>
          <w:ilvl w:val="0"/>
          <w:numId w:val="0"/>
        </w:numPr>
        <w:spacing w:line="590" w:lineRule="exact"/>
        <w:ind w:firstLine="643" w:firstLineChars="200"/>
        <w:rPr>
          <w:rFonts w:hint="eastAsia" w:ascii="仿宋" w:hAnsi="仿宋" w:eastAsia="仿宋" w:cs="Calibri"/>
          <w:b w:val="0"/>
          <w:bCs w:val="0"/>
          <w:kern w:val="0"/>
          <w:sz w:val="32"/>
          <w:szCs w:val="32"/>
          <w:lang w:eastAsia="zh-CN"/>
        </w:rPr>
      </w:pPr>
      <w:r>
        <w:rPr>
          <w:rFonts w:hint="eastAsia" w:ascii="仿宋" w:hAnsi="仿宋" w:eastAsia="仿宋" w:cs="仿宋"/>
          <w:b/>
          <w:bCs/>
          <w:sz w:val="32"/>
          <w:szCs w:val="32"/>
          <w:highlight w:val="none"/>
          <w:lang w:val="en-US" w:eastAsia="zh-CN"/>
        </w:rPr>
        <w:t>8．农林水支出（类）农业农村（款）一般行政管理事务（项）。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1.41</w:t>
      </w:r>
      <w:r>
        <w:rPr>
          <w:rFonts w:hint="eastAsia" w:ascii="仿宋" w:hAnsi="仿宋" w:eastAsia="仿宋" w:cs="Calibri"/>
          <w:b w:val="0"/>
          <w:bCs w:val="0"/>
          <w:kern w:val="0"/>
          <w:sz w:val="32"/>
          <w:szCs w:val="32"/>
          <w:lang w:eastAsia="zh-CN"/>
        </w:rPr>
        <w:t>万元，决算数与年初预算数存在差异的主要原因是</w:t>
      </w:r>
      <w:r>
        <w:rPr>
          <w:rFonts w:hint="eastAsia" w:ascii="仿宋" w:hAnsi="仿宋" w:eastAsia="仿宋" w:cs="Calibri"/>
          <w:b w:val="0"/>
          <w:bCs w:val="0"/>
          <w:kern w:val="0"/>
          <w:sz w:val="32"/>
          <w:szCs w:val="32"/>
          <w:lang w:val="en-US" w:eastAsia="zh-CN"/>
        </w:rPr>
        <w:t>专项资金增加</w:t>
      </w:r>
      <w:r>
        <w:rPr>
          <w:rFonts w:hint="eastAsia" w:ascii="仿宋" w:hAnsi="仿宋" w:eastAsia="仿宋" w:cs="Calibri"/>
          <w:b w:val="0"/>
          <w:bCs w:val="0"/>
          <w:kern w:val="0"/>
          <w:sz w:val="32"/>
          <w:szCs w:val="32"/>
          <w:lang w:eastAsia="zh-CN"/>
        </w:rPr>
        <w:t>。</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lang w:val="en-US" w:eastAsia="zh-CN"/>
        </w:rPr>
        <w:t>9．资源勘探工业信息等支出（类）工业和信息产业监管（款）    行政运行（项）。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982.93</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1084.18</w:t>
      </w:r>
      <w:r>
        <w:rPr>
          <w:rFonts w:hint="eastAsia" w:ascii="仿宋" w:hAnsi="仿宋" w:eastAsia="仿宋" w:cs="Calibri"/>
          <w:b w:val="0"/>
          <w:bCs w:val="0"/>
          <w:kern w:val="0"/>
          <w:sz w:val="32"/>
          <w:szCs w:val="32"/>
          <w:lang w:eastAsia="zh-CN"/>
        </w:rPr>
        <w:t>万元，完成年初预算的</w:t>
      </w:r>
      <w:r>
        <w:rPr>
          <w:rFonts w:hint="eastAsia" w:ascii="仿宋" w:hAnsi="仿宋" w:eastAsia="仿宋" w:cs="Calibri"/>
          <w:b w:val="0"/>
          <w:bCs w:val="0"/>
          <w:kern w:val="0"/>
          <w:sz w:val="32"/>
          <w:szCs w:val="32"/>
          <w:lang w:val="en-US" w:eastAsia="zh-CN"/>
        </w:rPr>
        <w:t>110.30</w:t>
      </w:r>
      <w:r>
        <w:rPr>
          <w:rFonts w:hint="eastAsia" w:ascii="仿宋" w:hAnsi="仿宋" w:eastAsia="仿宋" w:cs="Calibri"/>
          <w:b w:val="0"/>
          <w:bCs w:val="0"/>
          <w:kern w:val="0"/>
          <w:sz w:val="32"/>
          <w:szCs w:val="32"/>
          <w:lang w:eastAsia="zh-CN"/>
        </w:rPr>
        <w:t>%，决算数与年初预算数存在差异的主要原因是工业和信息化任务增加。</w:t>
      </w:r>
    </w:p>
    <w:p>
      <w:pPr>
        <w:widowControl/>
        <w:numPr>
          <w:ilvl w:val="0"/>
          <w:numId w:val="0"/>
        </w:numPr>
        <w:spacing w:line="590" w:lineRule="exact"/>
        <w:ind w:firstLine="643" w:firstLineChars="200"/>
        <w:rPr>
          <w:rFonts w:hint="eastAsia" w:ascii="仿宋" w:hAnsi="仿宋" w:eastAsia="仿宋" w:cs="Calibri"/>
          <w:b w:val="0"/>
          <w:bCs w:val="0"/>
          <w:kern w:val="0"/>
          <w:sz w:val="32"/>
          <w:szCs w:val="32"/>
          <w:lang w:eastAsia="zh-CN"/>
        </w:rPr>
      </w:pPr>
      <w:r>
        <w:rPr>
          <w:rFonts w:hint="eastAsia" w:ascii="仿宋" w:hAnsi="仿宋" w:eastAsia="仿宋" w:cs="仿宋"/>
          <w:b/>
          <w:bCs/>
          <w:sz w:val="32"/>
          <w:szCs w:val="32"/>
          <w:highlight w:val="none"/>
          <w:lang w:val="en-US" w:eastAsia="zh-CN"/>
        </w:rPr>
        <w:t>10．资源勘探工业信息等支出（类）工业和信息产业监管（款）一般行政管理事务（项）。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332.60</w:t>
      </w:r>
      <w:r>
        <w:rPr>
          <w:rFonts w:hint="eastAsia" w:ascii="仿宋" w:hAnsi="仿宋" w:eastAsia="仿宋" w:cs="Calibri"/>
          <w:b w:val="0"/>
          <w:bCs w:val="0"/>
          <w:kern w:val="0"/>
          <w:sz w:val="32"/>
          <w:szCs w:val="32"/>
          <w:lang w:eastAsia="zh-CN"/>
        </w:rPr>
        <w:t>万元，决算数与年初预算数存在差异的主要原因是年中</w:t>
      </w:r>
      <w:r>
        <w:rPr>
          <w:rFonts w:hint="eastAsia" w:ascii="仿宋" w:hAnsi="仿宋" w:eastAsia="仿宋" w:cs="Calibri"/>
          <w:b w:val="0"/>
          <w:bCs w:val="0"/>
          <w:kern w:val="0"/>
          <w:sz w:val="32"/>
          <w:szCs w:val="32"/>
          <w:lang w:val="en-US" w:eastAsia="zh-CN"/>
        </w:rPr>
        <w:t>增加了许昌市“十四五”高质量发展规划编制经费等项目资金</w:t>
      </w:r>
      <w:r>
        <w:rPr>
          <w:rFonts w:hint="eastAsia" w:ascii="仿宋" w:hAnsi="仿宋" w:eastAsia="仿宋" w:cs="Calibri"/>
          <w:b w:val="0"/>
          <w:bCs w:val="0"/>
          <w:kern w:val="0"/>
          <w:sz w:val="32"/>
          <w:szCs w:val="32"/>
          <w:lang w:eastAsia="zh-CN"/>
        </w:rPr>
        <w:t>。</w:t>
      </w:r>
    </w:p>
    <w:p>
      <w:pPr>
        <w:widowControl/>
        <w:numPr>
          <w:ilvl w:val="0"/>
          <w:numId w:val="0"/>
        </w:numPr>
        <w:spacing w:line="590" w:lineRule="exact"/>
        <w:ind w:firstLine="643" w:firstLineChars="200"/>
        <w:rPr>
          <w:rFonts w:hint="eastAsia" w:ascii="仿宋" w:hAnsi="仿宋" w:eastAsia="仿宋" w:cs="Calibri"/>
          <w:b w:val="0"/>
          <w:bCs w:val="0"/>
          <w:kern w:val="0"/>
          <w:sz w:val="32"/>
          <w:szCs w:val="32"/>
          <w:lang w:eastAsia="zh-CN"/>
        </w:rPr>
      </w:pPr>
      <w:r>
        <w:rPr>
          <w:rFonts w:hint="eastAsia" w:ascii="仿宋" w:hAnsi="仿宋" w:eastAsia="仿宋" w:cs="仿宋"/>
          <w:b/>
          <w:bCs/>
          <w:sz w:val="32"/>
          <w:szCs w:val="32"/>
          <w:highlight w:val="none"/>
          <w:lang w:val="en-US" w:eastAsia="zh-CN"/>
        </w:rPr>
        <w:t>11．资源勘探工业信息等支出（类）工业和信息产业监管（款）事业运行（项）。</w:t>
      </w:r>
      <w:r>
        <w:rPr>
          <w:rFonts w:hint="eastAsia" w:ascii="仿宋" w:hAnsi="仿宋" w:eastAsia="仿宋" w:cs="Calibri"/>
          <w:b w:val="0"/>
          <w:bCs w:val="0"/>
          <w:kern w:val="0"/>
          <w:sz w:val="32"/>
          <w:szCs w:val="32"/>
          <w:lang w:eastAsia="zh-CN"/>
        </w:rPr>
        <w:t>年初预算为</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35.77</w:t>
      </w:r>
      <w:r>
        <w:rPr>
          <w:rFonts w:hint="eastAsia" w:ascii="仿宋" w:hAnsi="仿宋" w:eastAsia="仿宋" w:cs="Calibri"/>
          <w:b w:val="0"/>
          <w:bCs w:val="0"/>
          <w:kern w:val="0"/>
          <w:sz w:val="32"/>
          <w:szCs w:val="32"/>
          <w:lang w:eastAsia="zh-CN"/>
        </w:rPr>
        <w:t>万元，决算数与年初预算数存在差异的主要原因是下属单位增加了许昌市民营经济发展研究中心事业运行经费。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numPr>
          <w:ilvl w:val="0"/>
          <w:numId w:val="0"/>
        </w:numPr>
        <w:spacing w:line="590" w:lineRule="exact"/>
        <w:ind w:firstLine="640" w:firstLineChars="200"/>
        <w:rPr>
          <w:rFonts w:hint="eastAsia" w:ascii="仿宋" w:hAnsi="仿宋" w:eastAsia="仿宋" w:cs="Calibri"/>
          <w:b w:val="0"/>
          <w:bCs w:val="0"/>
          <w:kern w:val="0"/>
          <w:sz w:val="32"/>
          <w:szCs w:val="32"/>
          <w:lang w:eastAsia="zh-CN"/>
        </w:rPr>
      </w:pPr>
      <w:r>
        <w:rPr>
          <w:rFonts w:hint="eastAsia" w:ascii="仿宋" w:hAnsi="仿宋" w:eastAsia="仿宋" w:cs="Calibri"/>
          <w:b w:val="0"/>
          <w:bCs w:val="0"/>
          <w:kern w:val="0"/>
          <w:sz w:val="32"/>
          <w:szCs w:val="32"/>
          <w:lang w:eastAsia="zh-CN"/>
        </w:rPr>
        <w:t>2021年度一般公共预算财政拨款基本支出1887.54万元。其中：人员经费1735.77万元，主要包括：基本工资、津贴补贴、奖金、绩效工资、 机关事业单位基本养老保险缴费、 职工基本医疗保险缴费、公务员医疗补助缴费、其他社会保障缴费、住房公积金、其他工资福利支出、对个人和家庭的补助支出、离休费、退休费、抚恤金、生活补助、对其他个人和家庭的补助；公用经费151.77万元，主要包括：办公费、印刷费、邮电费、差旅费、维修（护）费、会议费、公务招</w:t>
      </w:r>
      <w:bookmarkStart w:id="0" w:name="_GoBack"/>
      <w:bookmarkEnd w:id="0"/>
      <w:r>
        <w:rPr>
          <w:rFonts w:hint="eastAsia" w:ascii="仿宋" w:hAnsi="仿宋" w:eastAsia="仿宋" w:cs="Calibri"/>
          <w:b w:val="0"/>
          <w:bCs w:val="0"/>
          <w:kern w:val="0"/>
          <w:sz w:val="32"/>
          <w:szCs w:val="32"/>
          <w:lang w:eastAsia="zh-CN"/>
        </w:rPr>
        <w:t>待费、劳务费、委托业务费、工会经费、福利费、公务用车运行维护费、其他交通费用、税金及附加费用、其他商品和服务支出、办公设备购置、专用设备购置。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（一）“三公”经费财政拨款支出决算总体情况说明</w:t>
      </w:r>
    </w:p>
    <w:p>
      <w:pPr>
        <w:widowControl/>
        <w:numPr>
          <w:ilvl w:val="0"/>
          <w:numId w:val="0"/>
        </w:numPr>
        <w:spacing w:line="590" w:lineRule="exact"/>
        <w:ind w:firstLine="640" w:firstLineChars="200"/>
        <w:rPr>
          <w:rFonts w:hint="eastAsia" w:ascii="仿宋" w:hAnsi="仿宋" w:eastAsia="仿宋" w:cs="Calibri"/>
          <w:b w:val="0"/>
          <w:bCs w:val="0"/>
          <w:kern w:val="0"/>
          <w:sz w:val="32"/>
          <w:szCs w:val="32"/>
          <w:lang w:eastAsia="zh-CN"/>
        </w:rPr>
      </w:pPr>
      <w:r>
        <w:rPr>
          <w:rFonts w:hint="eastAsia" w:ascii="仿宋" w:hAnsi="仿宋" w:eastAsia="仿宋" w:cs="Calibri"/>
          <w:b w:val="0"/>
          <w:bCs w:val="0"/>
          <w:kern w:val="0"/>
          <w:sz w:val="32"/>
          <w:szCs w:val="32"/>
          <w:lang w:eastAsia="zh-CN"/>
        </w:rPr>
        <w:t>2021年度“三公”经费财政拨款支出预算为</w:t>
      </w:r>
      <w:r>
        <w:rPr>
          <w:rFonts w:hint="eastAsia" w:ascii="仿宋" w:hAnsi="仿宋" w:eastAsia="仿宋" w:cs="Calibri"/>
          <w:b w:val="0"/>
          <w:bCs w:val="0"/>
          <w:kern w:val="0"/>
          <w:sz w:val="32"/>
          <w:szCs w:val="32"/>
          <w:lang w:val="en-US" w:eastAsia="zh-CN"/>
        </w:rPr>
        <w:t>16.84</w:t>
      </w:r>
      <w:r>
        <w:rPr>
          <w:rFonts w:hint="eastAsia" w:ascii="仿宋" w:hAnsi="仿宋" w:eastAsia="仿宋" w:cs="Calibri"/>
          <w:b w:val="0"/>
          <w:bCs w:val="0"/>
          <w:kern w:val="0"/>
          <w:sz w:val="32"/>
          <w:szCs w:val="32"/>
          <w:lang w:eastAsia="zh-CN"/>
        </w:rPr>
        <w:t>万元，支出决算为</w:t>
      </w:r>
      <w:r>
        <w:rPr>
          <w:rFonts w:hint="eastAsia" w:ascii="仿宋" w:hAnsi="仿宋" w:eastAsia="仿宋" w:cs="Calibri"/>
          <w:b w:val="0"/>
          <w:bCs w:val="0"/>
          <w:kern w:val="0"/>
          <w:sz w:val="32"/>
          <w:szCs w:val="32"/>
          <w:lang w:val="en-US" w:eastAsia="zh-CN"/>
        </w:rPr>
        <w:t>16.64</w:t>
      </w:r>
      <w:r>
        <w:rPr>
          <w:rFonts w:hint="eastAsia" w:ascii="仿宋" w:hAnsi="仿宋" w:eastAsia="仿宋" w:cs="Calibri"/>
          <w:b w:val="0"/>
          <w:bCs w:val="0"/>
          <w:kern w:val="0"/>
          <w:sz w:val="32"/>
          <w:szCs w:val="32"/>
          <w:lang w:eastAsia="zh-CN"/>
        </w:rPr>
        <w:t>万元，完成预算的</w:t>
      </w:r>
      <w:r>
        <w:rPr>
          <w:rFonts w:hint="eastAsia" w:ascii="仿宋" w:hAnsi="仿宋" w:eastAsia="仿宋" w:cs="Calibri"/>
          <w:b w:val="0"/>
          <w:bCs w:val="0"/>
          <w:kern w:val="0"/>
          <w:sz w:val="32"/>
          <w:szCs w:val="32"/>
          <w:lang w:val="en-US" w:eastAsia="zh-CN"/>
        </w:rPr>
        <w:t>98.81</w:t>
      </w:r>
      <w:r>
        <w:rPr>
          <w:rFonts w:hint="eastAsia" w:ascii="仿宋" w:hAnsi="仿宋" w:eastAsia="仿宋" w:cs="Calibri"/>
          <w:b w:val="0"/>
          <w:bCs w:val="0"/>
          <w:kern w:val="0"/>
          <w:sz w:val="32"/>
          <w:szCs w:val="32"/>
          <w:lang w:eastAsia="zh-CN"/>
        </w:rPr>
        <w:t>%。2021年度“三公”经费支出决算数与预算数存在差异的主要原因是公务活动减少了，节约了开支。</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（二）“三公”经费财政拨款支出决算具体情况说明</w:t>
      </w:r>
    </w:p>
    <w:p>
      <w:pPr>
        <w:widowControl/>
        <w:numPr>
          <w:ilvl w:val="0"/>
          <w:numId w:val="0"/>
        </w:numPr>
        <w:spacing w:line="590" w:lineRule="exact"/>
        <w:ind w:firstLine="640" w:firstLineChars="200"/>
        <w:rPr>
          <w:rFonts w:hint="eastAsia" w:ascii="仿宋" w:hAnsi="仿宋" w:eastAsia="仿宋" w:cs="Calibri"/>
          <w:b w:val="0"/>
          <w:bCs w:val="0"/>
          <w:kern w:val="0"/>
          <w:sz w:val="32"/>
          <w:szCs w:val="32"/>
          <w:lang w:eastAsia="zh-CN"/>
        </w:rPr>
      </w:pPr>
      <w:r>
        <w:rPr>
          <w:rFonts w:hint="eastAsia" w:ascii="仿宋" w:hAnsi="仿宋" w:eastAsia="仿宋" w:cs="Calibri"/>
          <w:b w:val="0"/>
          <w:bCs w:val="0"/>
          <w:kern w:val="0"/>
          <w:sz w:val="32"/>
          <w:szCs w:val="32"/>
          <w:lang w:eastAsia="zh-CN"/>
        </w:rPr>
        <w:t>2021年度“三公”经费财政拨款支出决算中，因公出国（境）费支出决算</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lang w:eastAsia="zh-CN"/>
        </w:rPr>
        <w:t>万元，占比</w:t>
      </w:r>
      <w:r>
        <w:rPr>
          <w:rFonts w:hint="eastAsia" w:ascii="仿宋" w:hAnsi="仿宋" w:eastAsia="仿宋" w:cs="Calibri"/>
          <w:b w:val="0"/>
          <w:bCs w:val="0"/>
          <w:kern w:val="0"/>
          <w:sz w:val="32"/>
          <w:szCs w:val="32"/>
          <w:lang w:val="en-US" w:eastAsia="zh-CN"/>
        </w:rPr>
        <w:t>0.00%</w:t>
      </w:r>
      <w:r>
        <w:rPr>
          <w:rFonts w:hint="eastAsia" w:ascii="仿宋" w:hAnsi="仿宋" w:eastAsia="仿宋" w:cs="Calibri"/>
          <w:b w:val="0"/>
          <w:bCs w:val="0"/>
          <w:kern w:val="0"/>
          <w:sz w:val="32"/>
          <w:szCs w:val="32"/>
          <w:lang w:eastAsia="zh-CN"/>
        </w:rPr>
        <w:t>；公务用车购置及运行费支出决算</w:t>
      </w:r>
      <w:r>
        <w:rPr>
          <w:rFonts w:hint="eastAsia" w:ascii="仿宋" w:hAnsi="仿宋" w:eastAsia="仿宋" w:cs="Calibri"/>
          <w:b w:val="0"/>
          <w:bCs w:val="0"/>
          <w:kern w:val="0"/>
          <w:sz w:val="32"/>
          <w:szCs w:val="32"/>
          <w:lang w:val="en-US" w:eastAsia="zh-CN"/>
        </w:rPr>
        <w:t>11.80</w:t>
      </w:r>
      <w:r>
        <w:rPr>
          <w:rFonts w:hint="eastAsia" w:ascii="仿宋" w:hAnsi="仿宋" w:eastAsia="仿宋" w:cs="Calibri"/>
          <w:b w:val="0"/>
          <w:bCs w:val="0"/>
          <w:kern w:val="0"/>
          <w:sz w:val="32"/>
          <w:szCs w:val="32"/>
          <w:lang w:eastAsia="zh-CN"/>
        </w:rPr>
        <w:t>万元，完成预算的</w:t>
      </w:r>
      <w:r>
        <w:rPr>
          <w:rFonts w:hint="eastAsia" w:ascii="仿宋" w:hAnsi="仿宋" w:eastAsia="仿宋" w:cs="Calibri"/>
          <w:b w:val="0"/>
          <w:bCs w:val="0"/>
          <w:kern w:val="0"/>
          <w:sz w:val="32"/>
          <w:szCs w:val="32"/>
          <w:lang w:val="en-US" w:eastAsia="zh-CN"/>
        </w:rPr>
        <w:t>98.33</w:t>
      </w:r>
      <w:r>
        <w:rPr>
          <w:rFonts w:hint="eastAsia" w:ascii="仿宋" w:hAnsi="仿宋" w:eastAsia="仿宋" w:cs="Calibri"/>
          <w:b w:val="0"/>
          <w:bCs w:val="0"/>
          <w:kern w:val="0"/>
          <w:sz w:val="32"/>
          <w:szCs w:val="32"/>
          <w:lang w:eastAsia="zh-CN"/>
        </w:rPr>
        <w:t>%，占</w:t>
      </w:r>
      <w:r>
        <w:rPr>
          <w:rFonts w:hint="eastAsia" w:ascii="仿宋" w:hAnsi="仿宋" w:eastAsia="仿宋" w:cs="Calibri"/>
          <w:b w:val="0"/>
          <w:bCs w:val="0"/>
          <w:kern w:val="0"/>
          <w:sz w:val="32"/>
          <w:szCs w:val="32"/>
          <w:lang w:val="en-US" w:eastAsia="zh-CN"/>
        </w:rPr>
        <w:t>70.91</w:t>
      </w:r>
      <w:r>
        <w:rPr>
          <w:rFonts w:hint="eastAsia" w:ascii="仿宋" w:hAnsi="仿宋" w:eastAsia="仿宋" w:cs="Calibri"/>
          <w:b w:val="0"/>
          <w:bCs w:val="0"/>
          <w:kern w:val="0"/>
          <w:sz w:val="32"/>
          <w:szCs w:val="32"/>
          <w:lang w:eastAsia="zh-CN"/>
        </w:rPr>
        <w:t>%；公务接待费支出决算</w:t>
      </w:r>
      <w:r>
        <w:rPr>
          <w:rFonts w:hint="eastAsia" w:ascii="仿宋" w:hAnsi="仿宋" w:eastAsia="仿宋" w:cs="Calibri"/>
          <w:b w:val="0"/>
          <w:bCs w:val="0"/>
          <w:kern w:val="0"/>
          <w:sz w:val="32"/>
          <w:szCs w:val="32"/>
          <w:lang w:val="en-US" w:eastAsia="zh-CN"/>
        </w:rPr>
        <w:t>4.84</w:t>
      </w:r>
      <w:r>
        <w:rPr>
          <w:rFonts w:hint="eastAsia" w:ascii="仿宋" w:hAnsi="仿宋" w:eastAsia="仿宋" w:cs="Calibri"/>
          <w:b w:val="0"/>
          <w:bCs w:val="0"/>
          <w:kern w:val="0"/>
          <w:sz w:val="32"/>
          <w:szCs w:val="32"/>
          <w:lang w:eastAsia="zh-CN"/>
        </w:rPr>
        <w:t>万元，完成预算的</w:t>
      </w:r>
      <w:r>
        <w:rPr>
          <w:rFonts w:hint="eastAsia" w:ascii="仿宋" w:hAnsi="仿宋" w:eastAsia="仿宋" w:cs="Calibri"/>
          <w:b w:val="0"/>
          <w:bCs w:val="0"/>
          <w:kern w:val="0"/>
          <w:sz w:val="32"/>
          <w:szCs w:val="32"/>
          <w:lang w:val="en-US" w:eastAsia="zh-CN"/>
        </w:rPr>
        <w:t>100</w:t>
      </w:r>
      <w:r>
        <w:rPr>
          <w:rFonts w:hint="eastAsia" w:ascii="仿宋" w:hAnsi="仿宋" w:eastAsia="仿宋" w:cs="Calibri"/>
          <w:b w:val="0"/>
          <w:bCs w:val="0"/>
          <w:kern w:val="0"/>
          <w:sz w:val="32"/>
          <w:szCs w:val="32"/>
          <w:lang w:eastAsia="zh-CN"/>
        </w:rPr>
        <w:t>%，占</w:t>
      </w:r>
      <w:r>
        <w:rPr>
          <w:rFonts w:hint="eastAsia" w:ascii="仿宋" w:hAnsi="仿宋" w:eastAsia="仿宋" w:cs="Calibri"/>
          <w:b w:val="0"/>
          <w:bCs w:val="0"/>
          <w:kern w:val="0"/>
          <w:sz w:val="32"/>
          <w:szCs w:val="32"/>
          <w:lang w:val="en-US" w:eastAsia="zh-CN"/>
        </w:rPr>
        <w:t>29.09</w:t>
      </w:r>
      <w:r>
        <w:rPr>
          <w:rFonts w:hint="eastAsia" w:ascii="仿宋" w:hAnsi="仿宋" w:eastAsia="仿宋" w:cs="Calibri"/>
          <w:b w:val="0"/>
          <w:bCs w:val="0"/>
          <w:kern w:val="0"/>
          <w:sz w:val="32"/>
          <w:szCs w:val="32"/>
          <w:lang w:eastAsia="zh-CN"/>
        </w:rPr>
        <w:t>%。具体情况如下：</w:t>
      </w:r>
    </w:p>
    <w:p>
      <w:pPr>
        <w:spacing w:beforeLines="0" w:afterLines="0" w:line="590" w:lineRule="exact"/>
        <w:ind w:firstLine="640"/>
        <w:rPr>
          <w:rFonts w:hint="default" w:ascii="仿宋" w:hAnsi="仿宋" w:eastAsia="仿宋" w:cs="Calibri"/>
          <w:b w:val="0"/>
          <w:bCs w:val="0"/>
          <w:kern w:val="0"/>
          <w:sz w:val="32"/>
          <w:szCs w:val="32"/>
          <w:lang w:val="zh-CN" w:eastAsia="zh-CN"/>
        </w:rPr>
      </w:pPr>
      <w:r>
        <w:rPr>
          <w:rFonts w:hint="eastAsia" w:ascii="仿宋" w:hAnsi="仿宋" w:eastAsia="仿宋" w:cs="仿宋"/>
          <w:b/>
          <w:sz w:val="32"/>
          <w:szCs w:val="24"/>
          <w:lang w:val="en-US"/>
        </w:rPr>
        <w:t>1．因公出国（境）费</w:t>
      </w:r>
      <w:r>
        <w:rPr>
          <w:rFonts w:hint="eastAsia" w:ascii="仿宋" w:hAnsi="仿宋" w:eastAsia="仿宋" w:cs="Calibri"/>
          <w:b w:val="0"/>
          <w:bCs w:val="0"/>
          <w:kern w:val="0"/>
          <w:sz w:val="32"/>
          <w:szCs w:val="32"/>
          <w:lang w:val="en-US" w:eastAsia="zh-CN"/>
        </w:rPr>
        <w:t>预算为0.00万元，支出决算为0.00万元。决算数与预算数不存在差异。因公出国（境）团组数0个，因公出国（境）人次数0人。</w:t>
      </w:r>
    </w:p>
    <w:p>
      <w:pPr>
        <w:widowControl/>
        <w:spacing w:line="590" w:lineRule="exact"/>
        <w:ind w:firstLine="643" w:firstLineChars="200"/>
        <w:rPr>
          <w:rFonts w:hint="eastAsia" w:ascii="仿宋" w:hAnsi="仿宋" w:eastAsia="仿宋" w:cs="Calibri"/>
          <w:b w:val="0"/>
          <w:bCs w:val="0"/>
          <w:kern w:val="0"/>
          <w:sz w:val="32"/>
          <w:szCs w:val="32"/>
          <w:lang w:val="en-US" w:eastAsia="zh-CN"/>
        </w:rPr>
      </w:pPr>
      <w:r>
        <w:rPr>
          <w:rFonts w:hint="eastAsia" w:ascii="仿宋" w:hAnsi="仿宋" w:eastAsia="仿宋" w:cs="仿宋"/>
          <w:b/>
          <w:sz w:val="32"/>
          <w:szCs w:val="24"/>
          <w:lang w:val="en-US"/>
        </w:rPr>
        <w:t>2．公务用车购置及运行费</w:t>
      </w:r>
      <w:r>
        <w:rPr>
          <w:rFonts w:hint="eastAsia" w:ascii="仿宋" w:hAnsi="仿宋" w:eastAsia="仿宋" w:cs="Calibri"/>
          <w:b w:val="0"/>
          <w:bCs w:val="0"/>
          <w:kern w:val="0"/>
          <w:sz w:val="32"/>
          <w:szCs w:val="32"/>
          <w:lang w:val="en-US" w:eastAsia="zh-CN"/>
        </w:rPr>
        <w:t>预算为12.00万元，支出决算为11.80万元，完成预算的98.33%。决算数与预算数存在差异的主要原因是公务活动减少。其中：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cs="仿宋"/>
          <w:b/>
          <w:sz w:val="32"/>
          <w:szCs w:val="24"/>
          <w:lang w:val="en-US"/>
        </w:rPr>
        <w:t>公务用车购置支出</w:t>
      </w:r>
      <w:r>
        <w:rPr>
          <w:rFonts w:hint="eastAsia" w:ascii="仿宋" w:hAnsi="仿宋" w:eastAsia="仿宋" w:cs="Calibri"/>
          <w:b w:val="0"/>
          <w:bCs w:val="0"/>
          <w:kern w:val="0"/>
          <w:sz w:val="32"/>
          <w:szCs w:val="32"/>
          <w:lang w:val="en-US" w:eastAsia="zh-CN"/>
        </w:rPr>
        <w:t>为0.00万元，购置车辆0台。</w:t>
      </w:r>
    </w:p>
    <w:p>
      <w:pPr>
        <w:widowControl/>
        <w:spacing w:line="590" w:lineRule="exact"/>
        <w:ind w:firstLine="643" w:firstLineChars="200"/>
        <w:rPr>
          <w:rFonts w:hint="eastAsia" w:ascii="仿宋" w:hAnsi="仿宋" w:eastAsia="仿宋" w:cs="Calibri"/>
          <w:b w:val="0"/>
          <w:bCs w:val="0"/>
          <w:kern w:val="0"/>
          <w:sz w:val="32"/>
          <w:szCs w:val="32"/>
          <w:lang w:val="en-US" w:eastAsia="zh-CN"/>
        </w:rPr>
      </w:pPr>
      <w:r>
        <w:rPr>
          <w:rFonts w:hint="eastAsia" w:ascii="仿宋" w:hAnsi="仿宋" w:eastAsia="仿宋" w:cs="仿宋"/>
          <w:b/>
          <w:bCs/>
          <w:sz w:val="32"/>
          <w:szCs w:val="32"/>
          <w:highlight w:val="none"/>
        </w:rPr>
        <w:t>公务用车运行支出</w:t>
      </w:r>
      <w:r>
        <w:rPr>
          <w:rFonts w:hint="eastAsia" w:ascii="仿宋" w:hAnsi="仿宋" w:eastAsia="仿宋" w:cs="Calibri"/>
          <w:b w:val="0"/>
          <w:bCs w:val="0"/>
          <w:kern w:val="0"/>
          <w:sz w:val="32"/>
          <w:szCs w:val="32"/>
          <w:lang w:val="en-US" w:eastAsia="zh-CN"/>
        </w:rPr>
        <w:t>11.80万元。主要用于公务活动保障。2021年期末，单位开支财政拨款的公务用车保有量为3辆。</w:t>
      </w:r>
    </w:p>
    <w:p>
      <w:pPr>
        <w:widowControl/>
        <w:spacing w:line="590" w:lineRule="exact"/>
        <w:ind w:firstLine="643" w:firstLineChars="200"/>
        <w:rPr>
          <w:rFonts w:hint="eastAsia" w:ascii="仿宋" w:hAnsi="仿宋" w:eastAsia="仿宋" w:cs="Calibri"/>
          <w:b w:val="0"/>
          <w:bCs w:val="0"/>
          <w:kern w:val="0"/>
          <w:sz w:val="32"/>
          <w:szCs w:val="32"/>
          <w:lang w:val="en-US" w:eastAsia="zh-CN"/>
        </w:rPr>
      </w:pPr>
      <w:r>
        <w:rPr>
          <w:rFonts w:hint="eastAsia" w:ascii="仿宋" w:hAnsi="仿宋" w:eastAsia="仿宋" w:cs="仿宋"/>
          <w:b/>
          <w:bCs/>
          <w:sz w:val="32"/>
          <w:szCs w:val="32"/>
          <w:highlight w:val="none"/>
        </w:rPr>
        <w:t>3.公务接待费</w:t>
      </w:r>
      <w:r>
        <w:rPr>
          <w:rFonts w:hint="eastAsia" w:ascii="仿宋" w:hAnsi="仿宋" w:eastAsia="仿宋" w:cs="Calibri"/>
          <w:b w:val="0"/>
          <w:bCs w:val="0"/>
          <w:kern w:val="0"/>
          <w:sz w:val="32"/>
          <w:szCs w:val="32"/>
          <w:lang w:val="en-US" w:eastAsia="zh-CN"/>
        </w:rPr>
        <w:t>预算为4.84万元，支出决算为4.84万元，完成预算的100%。2021年公务接待费预算数与决算数不存在差异。其中：</w:t>
      </w:r>
    </w:p>
    <w:p>
      <w:pPr>
        <w:widowControl/>
        <w:spacing w:line="590" w:lineRule="exact"/>
        <w:ind w:firstLine="643" w:firstLineChars="200"/>
        <w:rPr>
          <w:rFonts w:hint="eastAsia" w:ascii="仿宋" w:hAnsi="仿宋" w:eastAsia="仿宋" w:cs="Calibri"/>
          <w:b w:val="0"/>
          <w:bCs w:val="0"/>
          <w:kern w:val="0"/>
          <w:sz w:val="32"/>
          <w:szCs w:val="32"/>
          <w:lang w:val="en-US" w:eastAsia="zh-CN"/>
        </w:rPr>
      </w:pPr>
      <w:r>
        <w:rPr>
          <w:rFonts w:hint="eastAsia" w:ascii="仿宋" w:hAnsi="仿宋" w:eastAsia="仿宋" w:cs="仿宋"/>
          <w:b/>
          <w:bCs/>
          <w:sz w:val="32"/>
          <w:szCs w:val="32"/>
          <w:highlight w:val="none"/>
        </w:rPr>
        <w:t>外宾接待支出</w:t>
      </w:r>
      <w:r>
        <w:rPr>
          <w:rFonts w:hint="eastAsia" w:ascii="仿宋" w:hAnsi="仿宋" w:eastAsia="仿宋" w:cs="Calibri"/>
          <w:b w:val="0"/>
          <w:bCs w:val="0"/>
          <w:kern w:val="0"/>
          <w:sz w:val="32"/>
          <w:szCs w:val="32"/>
          <w:lang w:val="en-US" w:eastAsia="zh-CN"/>
        </w:rPr>
        <w:t>0.00万元。2021年共接待国（境）外来访团组0个、来访外宾0人次（不包括陪同人员）。</w:t>
      </w:r>
    </w:p>
    <w:p>
      <w:pPr>
        <w:widowControl/>
        <w:spacing w:line="590" w:lineRule="exact"/>
        <w:ind w:firstLine="643" w:firstLineChars="200"/>
        <w:rPr>
          <w:rFonts w:hint="eastAsia" w:ascii="仿宋" w:hAnsi="仿宋" w:eastAsia="仿宋" w:cs="Calibri"/>
          <w:b w:val="0"/>
          <w:bCs w:val="0"/>
          <w:kern w:val="0"/>
          <w:sz w:val="32"/>
          <w:szCs w:val="32"/>
          <w:lang w:val="en-US" w:eastAsia="zh-CN"/>
        </w:rPr>
      </w:pPr>
      <w:r>
        <w:rPr>
          <w:rFonts w:hint="eastAsia" w:ascii="仿宋" w:hAnsi="仿宋" w:eastAsia="仿宋" w:cs="仿宋"/>
          <w:b/>
          <w:bCs/>
          <w:sz w:val="32"/>
          <w:szCs w:val="32"/>
          <w:highlight w:val="none"/>
        </w:rPr>
        <w:t>其他国内公务接待支出</w:t>
      </w:r>
      <w:r>
        <w:rPr>
          <w:rFonts w:hint="eastAsia" w:ascii="仿宋" w:hAnsi="仿宋" w:eastAsia="仿宋" w:cs="Calibri"/>
          <w:b w:val="0"/>
          <w:bCs w:val="0"/>
          <w:kern w:val="0"/>
          <w:sz w:val="32"/>
          <w:szCs w:val="32"/>
          <w:lang w:val="en-US" w:eastAsia="zh-CN"/>
        </w:rPr>
        <w:t>4.84万元。主要用于工业和信息化公务活动保障。2021年共接待国内来访团组40个、来宾545人次（不包括陪同人员）。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2021年度政府性基金预算财政拨款支出年初预算为0.00万元，支出决算为0.00万元。不存在项目年未结转和结余资金数额较大。我部门2021年没有政府性基金收入，也没有使用政府性基金安排的支出。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2021年度机关运行经费年初预算为152.92万元，支出决算为151.77万元，完成年初预算的99.25%。决算数与年初预算数存在差异的主要原因是管理措施加强，节约了经费。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2021年度政府采购支出总额0.00万元，其中：政府采购货物支出0.00万元、政府采购工程支出0.00万元、政府采购服务支出0.00万元。授予中小企业合同金额0.00万元，其中：授予小微企业合同金额0.00万元。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2021年期末，我单位共有车辆3辆，其中：省级领导干部用车0辆、主要领导干部用车0辆、机要通信用车1辆、应急保障车0辆、执法执勤用车0辆、特种专业技术用车0辆、离退休干部用车2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我部门按照《中共许昌市委 许昌市人民政府关于全面实施预算绩效管理的实施意见》（许发〔2021〕13号）文件要求，对本部门整体支出和项目支出开展全过程预算绩效管理。首先，建立健全组织，提高认识。局党组上通过关于加强预算绩效工作的方案，统一了思想，健全了绩效工作领导小组，明确了分工，厘清了责任和义务，从思想上和组织上为绩效工作打下坚实的基础；其次，加强宣传教育。充分利用行政办公会、党组会，学习上级关于绩效工作的文件精神，提高绩效工作理论学习；再次，加强预算绩效管理。2021年我部门纳入预算绩效管理的支出总额为7751.69万元，其中：基本支出1560.54万元；支出项目5个，支出金额6191.15万元。开展项目绩效自评项目5个，自评金额6191.15万元；纳入重点绩效评价1个，评价金额6160.80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（二）部门整体和项目绩效自评结果</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按照《许昌市财政局关于开展2021年度市级预算绩效自评工作的通知》（许财效）〔2022〕1号）等文件精神，我部门对本部门整体绩效目标和项目支出绩效目标进行了自评。一是部门整体绩效自评情况为“优”。二是项目绩效自评情况。我部门共有5个项目批复了绩效目标，项目金额6191.15万元。其中：</w:t>
      </w:r>
    </w:p>
    <w:p>
      <w:pPr>
        <w:widowControl/>
        <w:spacing w:line="590" w:lineRule="exact"/>
        <w:ind w:firstLine="640" w:firstLineChars="200"/>
        <w:rPr>
          <w:rFonts w:hint="default"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许昌市工业和信息化局（本级）5个，项目金额6191.15万元；</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许昌市民营经济发展研究中心0个，项目金额0.00万元。</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基于项目预期目标的实现程度，对2021年度项目支出绩效进行自评，绩效自评平均得分为90分。其中：5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（三）重点绩效评价结果。</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许昌市财政局和我部门共选取我部门1个项目开展重点绩效评价，等次为“良”。</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我部门将对照重点绩效评价发现问题进行整改，不断提高我部门项目和预算管理水平，提升财政资金使用效益。</w:t>
      </w: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一、财政拨款收入：单位从同级政府财政（本级）取得的财政预算资金。</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二、事业收入：事业单位开展专业业务活动及其辅助活动取得的收入。</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三、上级补助收入：事业单位从主管（本级）和上级单位取得的非财政补助收入。</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四、附属单位上缴收入：事业单位取得附属独立核算单位根据有关规定上缴的收入。</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五、经营收入：事业单位在专业业务活动及其辅助活动之外开展非独立核算经营活动取得的收入。</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六、其他收入：单位取得的除“财政拨款收入”、“事业收入”、“上级补助收入”、“附属单位上缴收入”、“经营收入”以外的各项收入。</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七、使用非财政拨款结余：指事业单位使用以前年度积累的非财政拨款结余弥补当年收支差额的金额。</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八、基本支出：为保障机构正常运转、完成日常工作任务而发生的人员支出和公用支出。</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九、项目支出：基本支出之外为完成特定行政任务和事业发展目标所发生的支出。</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十二、工资福利支出：单位支付给在职职工和编制外长期聘用人员的各类劳动报酬，以及为上述人员缴纳的各项社会保险费等。</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十三、商品和服务支出：单位购买商品和服务的支出。</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十四、对个人和家庭的补助支出：单位用于对个人和家庭的补助支出。</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rPr>
          <w:rFonts w:hint="eastAsia" w:ascii="仿宋" w:hAnsi="仿宋" w:eastAsia="仿宋" w:cs="Calibri"/>
          <w:b w:val="0"/>
          <w:bCs w:val="0"/>
          <w:kern w:val="0"/>
          <w:sz w:val="32"/>
          <w:szCs w:val="32"/>
          <w:lang w:val="en-US" w:eastAsia="zh-CN"/>
        </w:rPr>
      </w:pPr>
      <w:r>
        <w:rPr>
          <w:rFonts w:hint="eastAsia" w:ascii="仿宋" w:hAnsi="仿宋" w:eastAsia="仿宋" w:cs="Calibri"/>
          <w:b w:val="0"/>
          <w:bCs w:val="0"/>
          <w:kern w:val="0"/>
          <w:sz w:val="32"/>
          <w:szCs w:val="32"/>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248B4E"/>
    <w:multiLevelType w:val="singleLevel"/>
    <w:tmpl w:val="D1248B4E"/>
    <w:lvl w:ilvl="0" w:tentative="0">
      <w:start w:val="1"/>
      <w:numFmt w:val="chineseCounting"/>
      <w:suff w:val="space"/>
      <w:lvlText w:val="第%1部分"/>
      <w:lvlJc w:val="left"/>
      <w:rPr>
        <w:rFonts w:hint="eastAsia"/>
      </w:rPr>
    </w:lvl>
  </w:abstractNum>
  <w:abstractNum w:abstractNumId="1">
    <w:nsid w:val="E1E90389"/>
    <w:multiLevelType w:val="singleLevel"/>
    <w:tmpl w:val="E1E90389"/>
    <w:lvl w:ilvl="0" w:tentative="0">
      <w:start w:val="1"/>
      <w:numFmt w:val="decimal"/>
      <w:suff w:val="nothing"/>
      <w:lvlText w:val="%1．"/>
      <w:lvlJc w:val="left"/>
      <w:rPr>
        <w:rFonts w:hint="default"/>
        <w:b/>
        <w:bCs/>
      </w:rPr>
    </w:lvl>
  </w:abstractNum>
  <w:abstractNum w:abstractNumId="2">
    <w:nsid w:val="00000002"/>
    <w:multiLevelType w:val="multilevel"/>
    <w:tmpl w:val="00000002"/>
    <w:lvl w:ilvl="0" w:tentative="0">
      <w:start w:val="1"/>
      <w:numFmt w:val="chineseCountingThousand"/>
      <w:pStyle w:val="4"/>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971BE17"/>
    <w:multiLevelType w:val="singleLevel"/>
    <w:tmpl w:val="5971BE17"/>
    <w:lvl w:ilvl="0" w:tentative="0">
      <w:start w:val="1"/>
      <w:numFmt w:val="chineseCounting"/>
      <w:suff w:val="nothing"/>
      <w:lvlText w:val="%1、"/>
      <w:lvlJc w:val="left"/>
      <w:pPr>
        <w:ind w:left="-1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2ZDQzZDk1YWFmMjk3ZTMzNzVkYjFkNTRlOWE5NTM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7C208E"/>
    <w:rsid w:val="01DC6F05"/>
    <w:rsid w:val="027B2894"/>
    <w:rsid w:val="02867E41"/>
    <w:rsid w:val="02A3489A"/>
    <w:rsid w:val="02CA138D"/>
    <w:rsid w:val="033646FC"/>
    <w:rsid w:val="03601839"/>
    <w:rsid w:val="03C75F80"/>
    <w:rsid w:val="0478364D"/>
    <w:rsid w:val="04883926"/>
    <w:rsid w:val="052E05FF"/>
    <w:rsid w:val="053D4C0D"/>
    <w:rsid w:val="0557532E"/>
    <w:rsid w:val="05ED3079"/>
    <w:rsid w:val="06741A00"/>
    <w:rsid w:val="06A905A2"/>
    <w:rsid w:val="0730501D"/>
    <w:rsid w:val="0799329C"/>
    <w:rsid w:val="07DA663F"/>
    <w:rsid w:val="08397436"/>
    <w:rsid w:val="086F16A7"/>
    <w:rsid w:val="0A0F7225"/>
    <w:rsid w:val="0A2B7D82"/>
    <w:rsid w:val="0ADC40E9"/>
    <w:rsid w:val="0AE607F4"/>
    <w:rsid w:val="0B386127"/>
    <w:rsid w:val="0B451598"/>
    <w:rsid w:val="0BEC73F4"/>
    <w:rsid w:val="0C392698"/>
    <w:rsid w:val="0E4F5E1C"/>
    <w:rsid w:val="0E641B4C"/>
    <w:rsid w:val="0FDF6DE2"/>
    <w:rsid w:val="10BD36F6"/>
    <w:rsid w:val="10FE14EA"/>
    <w:rsid w:val="11BF0649"/>
    <w:rsid w:val="1223418E"/>
    <w:rsid w:val="123E3E08"/>
    <w:rsid w:val="133212F4"/>
    <w:rsid w:val="13C277FC"/>
    <w:rsid w:val="13D22E22"/>
    <w:rsid w:val="15806971"/>
    <w:rsid w:val="161C2DFF"/>
    <w:rsid w:val="16295559"/>
    <w:rsid w:val="16373578"/>
    <w:rsid w:val="16D3336B"/>
    <w:rsid w:val="17066605"/>
    <w:rsid w:val="17200028"/>
    <w:rsid w:val="176D1612"/>
    <w:rsid w:val="17806C36"/>
    <w:rsid w:val="17A74F62"/>
    <w:rsid w:val="17DC69CF"/>
    <w:rsid w:val="17FE1EE5"/>
    <w:rsid w:val="18422604"/>
    <w:rsid w:val="18546AB4"/>
    <w:rsid w:val="18A47774"/>
    <w:rsid w:val="19212B13"/>
    <w:rsid w:val="19E35721"/>
    <w:rsid w:val="1A8D28EB"/>
    <w:rsid w:val="1A9F2D78"/>
    <w:rsid w:val="1AF8238C"/>
    <w:rsid w:val="1B285340"/>
    <w:rsid w:val="1B2E6FD8"/>
    <w:rsid w:val="1B481AFF"/>
    <w:rsid w:val="1B552894"/>
    <w:rsid w:val="1B7D7315"/>
    <w:rsid w:val="1B877D21"/>
    <w:rsid w:val="1C275AE8"/>
    <w:rsid w:val="1C4319A9"/>
    <w:rsid w:val="1C9A0C60"/>
    <w:rsid w:val="1CEE46EE"/>
    <w:rsid w:val="1E443B4B"/>
    <w:rsid w:val="1E994F4A"/>
    <w:rsid w:val="1EAF0224"/>
    <w:rsid w:val="1F2230A4"/>
    <w:rsid w:val="20210932"/>
    <w:rsid w:val="202448E0"/>
    <w:rsid w:val="206C021E"/>
    <w:rsid w:val="20F614FE"/>
    <w:rsid w:val="21302EEA"/>
    <w:rsid w:val="22376FB5"/>
    <w:rsid w:val="23E152D7"/>
    <w:rsid w:val="23EE2489"/>
    <w:rsid w:val="255D43C8"/>
    <w:rsid w:val="25E32202"/>
    <w:rsid w:val="25E42F4C"/>
    <w:rsid w:val="261B79CD"/>
    <w:rsid w:val="26714EF8"/>
    <w:rsid w:val="26876BDD"/>
    <w:rsid w:val="26C37006"/>
    <w:rsid w:val="2714632A"/>
    <w:rsid w:val="27541E73"/>
    <w:rsid w:val="27B0539E"/>
    <w:rsid w:val="29365CF8"/>
    <w:rsid w:val="297B5976"/>
    <w:rsid w:val="299469B3"/>
    <w:rsid w:val="29E17ECF"/>
    <w:rsid w:val="2A270BF8"/>
    <w:rsid w:val="2A3B2BF9"/>
    <w:rsid w:val="2A4B26DB"/>
    <w:rsid w:val="2A805789"/>
    <w:rsid w:val="2ADC0D75"/>
    <w:rsid w:val="2AEC2C7C"/>
    <w:rsid w:val="2B4A0E52"/>
    <w:rsid w:val="2BA43AC2"/>
    <w:rsid w:val="2C5F0F05"/>
    <w:rsid w:val="2C975890"/>
    <w:rsid w:val="2DEF21BB"/>
    <w:rsid w:val="2E4A2F05"/>
    <w:rsid w:val="2E971C98"/>
    <w:rsid w:val="2EBE07DF"/>
    <w:rsid w:val="2ECC1061"/>
    <w:rsid w:val="2EFA10EB"/>
    <w:rsid w:val="2F9257C7"/>
    <w:rsid w:val="2FA476AD"/>
    <w:rsid w:val="300541EB"/>
    <w:rsid w:val="303F7540"/>
    <w:rsid w:val="30BB32F1"/>
    <w:rsid w:val="31DD00BF"/>
    <w:rsid w:val="31EE1EC0"/>
    <w:rsid w:val="32284E33"/>
    <w:rsid w:val="3293174C"/>
    <w:rsid w:val="32BB38D4"/>
    <w:rsid w:val="32C9376D"/>
    <w:rsid w:val="33780472"/>
    <w:rsid w:val="33AF0905"/>
    <w:rsid w:val="34E42621"/>
    <w:rsid w:val="355932F4"/>
    <w:rsid w:val="35611882"/>
    <w:rsid w:val="35922469"/>
    <w:rsid w:val="36746FC3"/>
    <w:rsid w:val="368763AE"/>
    <w:rsid w:val="374676B2"/>
    <w:rsid w:val="37511CD4"/>
    <w:rsid w:val="37E4623D"/>
    <w:rsid w:val="38203594"/>
    <w:rsid w:val="395D59E7"/>
    <w:rsid w:val="39846181"/>
    <w:rsid w:val="39A93932"/>
    <w:rsid w:val="3A2B6F44"/>
    <w:rsid w:val="3A4B30EA"/>
    <w:rsid w:val="3A915562"/>
    <w:rsid w:val="3B4E7AEA"/>
    <w:rsid w:val="3B545A03"/>
    <w:rsid w:val="3B8D4765"/>
    <w:rsid w:val="3C000DBA"/>
    <w:rsid w:val="3C6127A9"/>
    <w:rsid w:val="3DB16A14"/>
    <w:rsid w:val="3DC045D3"/>
    <w:rsid w:val="3E504FFB"/>
    <w:rsid w:val="3E615CD0"/>
    <w:rsid w:val="3E9C47F6"/>
    <w:rsid w:val="3F5559B3"/>
    <w:rsid w:val="3F8B0112"/>
    <w:rsid w:val="3FAB3095"/>
    <w:rsid w:val="3FE45947"/>
    <w:rsid w:val="3FF73E65"/>
    <w:rsid w:val="41242965"/>
    <w:rsid w:val="419D0727"/>
    <w:rsid w:val="41B70284"/>
    <w:rsid w:val="42B86E9B"/>
    <w:rsid w:val="435671EA"/>
    <w:rsid w:val="43C35881"/>
    <w:rsid w:val="440809E9"/>
    <w:rsid w:val="442407A6"/>
    <w:rsid w:val="44805EA1"/>
    <w:rsid w:val="44B52477"/>
    <w:rsid w:val="454071DD"/>
    <w:rsid w:val="45710696"/>
    <w:rsid w:val="45D43FEC"/>
    <w:rsid w:val="46142B1B"/>
    <w:rsid w:val="47922E12"/>
    <w:rsid w:val="47E60DD0"/>
    <w:rsid w:val="48735039"/>
    <w:rsid w:val="489D100D"/>
    <w:rsid w:val="492C684B"/>
    <w:rsid w:val="49500594"/>
    <w:rsid w:val="49E7604E"/>
    <w:rsid w:val="49EC5A88"/>
    <w:rsid w:val="4B26265B"/>
    <w:rsid w:val="4BF67CDD"/>
    <w:rsid w:val="4C4A325A"/>
    <w:rsid w:val="4CE17E0D"/>
    <w:rsid w:val="4CF23D74"/>
    <w:rsid w:val="4D173441"/>
    <w:rsid w:val="4D603DD6"/>
    <w:rsid w:val="4D677AE5"/>
    <w:rsid w:val="4EBF010F"/>
    <w:rsid w:val="4F471EB0"/>
    <w:rsid w:val="4F934DC4"/>
    <w:rsid w:val="50E23C32"/>
    <w:rsid w:val="51331326"/>
    <w:rsid w:val="51740A7F"/>
    <w:rsid w:val="51A5541E"/>
    <w:rsid w:val="51AA3482"/>
    <w:rsid w:val="51C96242"/>
    <w:rsid w:val="51D25AB6"/>
    <w:rsid w:val="51E8779D"/>
    <w:rsid w:val="5288688A"/>
    <w:rsid w:val="52DA2CE7"/>
    <w:rsid w:val="537624AE"/>
    <w:rsid w:val="53906AE1"/>
    <w:rsid w:val="53B86CFB"/>
    <w:rsid w:val="54F46F60"/>
    <w:rsid w:val="55367F73"/>
    <w:rsid w:val="55A37BEA"/>
    <w:rsid w:val="55AA275A"/>
    <w:rsid w:val="56362CD2"/>
    <w:rsid w:val="5784687B"/>
    <w:rsid w:val="57846959"/>
    <w:rsid w:val="578D049F"/>
    <w:rsid w:val="578E6A87"/>
    <w:rsid w:val="579B410D"/>
    <w:rsid w:val="593257A1"/>
    <w:rsid w:val="5AC2203A"/>
    <w:rsid w:val="5C82434A"/>
    <w:rsid w:val="5CBB3334"/>
    <w:rsid w:val="5D0F2D40"/>
    <w:rsid w:val="5D115FAF"/>
    <w:rsid w:val="5E3A2E3F"/>
    <w:rsid w:val="5EF7101F"/>
    <w:rsid w:val="5F781A34"/>
    <w:rsid w:val="600B5BA8"/>
    <w:rsid w:val="604B7816"/>
    <w:rsid w:val="604C444A"/>
    <w:rsid w:val="60593614"/>
    <w:rsid w:val="60D333C6"/>
    <w:rsid w:val="623B4431"/>
    <w:rsid w:val="62811722"/>
    <w:rsid w:val="62E75A72"/>
    <w:rsid w:val="64233993"/>
    <w:rsid w:val="64571880"/>
    <w:rsid w:val="649125B6"/>
    <w:rsid w:val="64D836A1"/>
    <w:rsid w:val="650D6DAF"/>
    <w:rsid w:val="652F4C1A"/>
    <w:rsid w:val="65614932"/>
    <w:rsid w:val="666D37F1"/>
    <w:rsid w:val="67087D8F"/>
    <w:rsid w:val="671F2C6C"/>
    <w:rsid w:val="671F687E"/>
    <w:rsid w:val="675E6B0C"/>
    <w:rsid w:val="67F415F8"/>
    <w:rsid w:val="682640D1"/>
    <w:rsid w:val="684B73E5"/>
    <w:rsid w:val="68AF64C7"/>
    <w:rsid w:val="6A047A2A"/>
    <w:rsid w:val="6D0F504E"/>
    <w:rsid w:val="6E65238E"/>
    <w:rsid w:val="6E9951F7"/>
    <w:rsid w:val="6EA75E92"/>
    <w:rsid w:val="6EFB7548"/>
    <w:rsid w:val="6F016B97"/>
    <w:rsid w:val="6F3831C3"/>
    <w:rsid w:val="6F8B71C1"/>
    <w:rsid w:val="70753482"/>
    <w:rsid w:val="707B522A"/>
    <w:rsid w:val="713D2180"/>
    <w:rsid w:val="718855A7"/>
    <w:rsid w:val="73194D05"/>
    <w:rsid w:val="73A83B0E"/>
    <w:rsid w:val="744D3EF9"/>
    <w:rsid w:val="74794411"/>
    <w:rsid w:val="74DB6289"/>
    <w:rsid w:val="7540434E"/>
    <w:rsid w:val="75867C40"/>
    <w:rsid w:val="75932634"/>
    <w:rsid w:val="75B10B26"/>
    <w:rsid w:val="75C23793"/>
    <w:rsid w:val="76432199"/>
    <w:rsid w:val="76F44829"/>
    <w:rsid w:val="7766127B"/>
    <w:rsid w:val="77A267C0"/>
    <w:rsid w:val="78882278"/>
    <w:rsid w:val="78B118A6"/>
    <w:rsid w:val="79135044"/>
    <w:rsid w:val="7A4E2702"/>
    <w:rsid w:val="7A7D0F99"/>
    <w:rsid w:val="7B153CEF"/>
    <w:rsid w:val="7B3A4316"/>
    <w:rsid w:val="7BDF449D"/>
    <w:rsid w:val="7C2428D0"/>
    <w:rsid w:val="7CDB54F6"/>
    <w:rsid w:val="7E4075FF"/>
    <w:rsid w:val="7E4A0E7C"/>
    <w:rsid w:val="7EFD449D"/>
    <w:rsid w:val="7F2326CD"/>
    <w:rsid w:val="7F4D4A64"/>
    <w:rsid w:val="7FB839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style>
  <w:style w:type="paragraph" w:customStyle="1" w:styleId="4">
    <w:name w:val="Body Text 21"/>
    <w:basedOn w:val="1"/>
    <w:qFormat/>
    <w:uiPriority w:val="0"/>
    <w:pPr>
      <w:widowControl/>
      <w:numPr>
        <w:ilvl w:val="0"/>
        <w:numId w:val="1"/>
      </w:numPr>
      <w:spacing w:beforeLines="50" w:line="336" w:lineRule="auto"/>
      <w:ind w:left="0" w:firstLine="0"/>
    </w:pPr>
    <w:rPr>
      <w:rFonts w:ascii="Times New Roman" w:hAnsi="Times New Roman" w:eastAsia="黑体" w:cs="Times New Roman"/>
      <w:szCs w:val="20"/>
    </w:rPr>
  </w:style>
  <w:style w:type="paragraph" w:styleId="5">
    <w:name w:val="Body Text First Indent 2"/>
    <w:basedOn w:val="6"/>
    <w:next w:val="6"/>
    <w:qFormat/>
    <w:uiPriority w:val="0"/>
    <w:pPr>
      <w:ind w:firstLine="420"/>
    </w:pPr>
    <w:rPr>
      <w:rFonts w:ascii="Calibri" w:hAnsi="Calibri" w:eastAsia="宋体" w:cs="Times New Roman"/>
    </w:rPr>
  </w:style>
  <w:style w:type="paragraph" w:styleId="6">
    <w:name w:val="Body Text Indent"/>
    <w:basedOn w:val="1"/>
    <w:next w:val="7"/>
    <w:qFormat/>
    <w:uiPriority w:val="0"/>
    <w:pPr>
      <w:ind w:firstLine="640" w:firstLineChars="200"/>
    </w:pPr>
    <w:rPr>
      <w:rFonts w:ascii="Times New Roman" w:hAnsi="Times New Roman" w:eastAsia="宋体" w:cs="Times New Roman"/>
      <w:kern w:val="0"/>
    </w:rPr>
  </w:style>
  <w:style w:type="paragraph" w:styleId="7">
    <w:name w:val="index 7"/>
    <w:next w:val="1"/>
    <w:qFormat/>
    <w:uiPriority w:val="0"/>
    <w:pPr>
      <w:widowControl w:val="0"/>
      <w:ind w:left="2520"/>
      <w:jc w:val="both"/>
    </w:pPr>
    <w:rPr>
      <w:rFonts w:ascii="Calibri" w:hAnsi="Calibri" w:eastAsia="宋体" w:cs="Times New Roman"/>
      <w:kern w:val="2"/>
      <w:sz w:val="21"/>
      <w:szCs w:val="24"/>
      <w:lang w:val="en-US" w:eastAsia="zh-CN" w:bidi="ar-SA"/>
    </w:rPr>
  </w:style>
  <w:style w:type="paragraph" w:styleId="8">
    <w:name w:val="Balloon Text"/>
    <w:basedOn w:val="1"/>
    <w:link w:val="16"/>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unhideWhenUsed/>
    <w:qFormat/>
    <w:uiPriority w:val="99"/>
    <w:rPr>
      <w:color w:val="800080"/>
      <w:u w:val="single"/>
    </w:rPr>
  </w:style>
  <w:style w:type="character" w:styleId="15">
    <w:name w:val="Hyperlink"/>
    <w:unhideWhenUsed/>
    <w:qFormat/>
    <w:uiPriority w:val="99"/>
    <w:rPr>
      <w:color w:val="0000FF"/>
      <w:u w:val="single"/>
    </w:rPr>
  </w:style>
  <w:style w:type="character" w:customStyle="1" w:styleId="16">
    <w:name w:val="批注框文本 Char"/>
    <w:link w:val="8"/>
    <w:semiHidden/>
    <w:qFormat/>
    <w:uiPriority w:val="99"/>
    <w:rPr>
      <w:kern w:val="2"/>
      <w:sz w:val="18"/>
      <w:szCs w:val="18"/>
    </w:rPr>
  </w:style>
  <w:style w:type="character" w:customStyle="1" w:styleId="17">
    <w:name w:val="页脚 Char"/>
    <w:link w:val="9"/>
    <w:qFormat/>
    <w:uiPriority w:val="99"/>
    <w:rPr>
      <w:kern w:val="2"/>
      <w:sz w:val="18"/>
      <w:szCs w:val="18"/>
    </w:rPr>
  </w:style>
  <w:style w:type="character" w:customStyle="1" w:styleId="18">
    <w:name w:val="页眉 Char"/>
    <w:link w:val="10"/>
    <w:qFormat/>
    <w:uiPriority w:val="99"/>
    <w:rPr>
      <w:kern w:val="2"/>
      <w:sz w:val="18"/>
      <w:szCs w:val="18"/>
    </w:rPr>
  </w:style>
  <w:style w:type="character" w:customStyle="1" w:styleId="19">
    <w:name w:val="font01"/>
    <w:qFormat/>
    <w:uiPriority w:val="0"/>
    <w:rPr>
      <w:rFonts w:hint="eastAsia" w:ascii="宋体" w:hAnsi="宋体" w:eastAsia="宋体" w:cs="宋体"/>
      <w:color w:val="000000"/>
      <w:sz w:val="22"/>
      <w:szCs w:val="22"/>
      <w:u w:val="none"/>
    </w:rPr>
  </w:style>
  <w:style w:type="character" w:customStyle="1" w:styleId="20">
    <w:name w:val="font21"/>
    <w:qFormat/>
    <w:uiPriority w:val="0"/>
    <w:rPr>
      <w:rFonts w:hint="eastAsia" w:ascii="宋体" w:hAnsi="宋体" w:eastAsia="宋体" w:cs="宋体"/>
      <w:color w:val="000000"/>
      <w:sz w:val="22"/>
      <w:szCs w:val="22"/>
      <w:u w:val="none"/>
    </w:rPr>
  </w:style>
  <w:style w:type="character" w:customStyle="1" w:styleId="21">
    <w:name w:val="font51"/>
    <w:qFormat/>
    <w:uiPriority w:val="0"/>
    <w:rPr>
      <w:rFonts w:hint="eastAsia" w:ascii="宋体" w:hAnsi="宋体" w:eastAsia="宋体" w:cs="宋体"/>
      <w:color w:val="000000"/>
      <w:sz w:val="24"/>
      <w:szCs w:val="24"/>
      <w:u w:val="none"/>
    </w:rPr>
  </w:style>
  <w:style w:type="character" w:customStyle="1" w:styleId="22">
    <w:name w:val="font11"/>
    <w:qFormat/>
    <w:uiPriority w:val="0"/>
    <w:rPr>
      <w:rFonts w:hint="eastAsia" w:ascii="宋体" w:hAnsi="宋体" w:eastAsia="宋体" w:cs="宋体"/>
      <w:color w:val="000000"/>
      <w:sz w:val="20"/>
      <w:szCs w:val="20"/>
      <w:u w:val="none"/>
    </w:rPr>
  </w:style>
  <w:style w:type="character" w:customStyle="1" w:styleId="23">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10387</Words>
  <Characters>12903</Characters>
  <Lines>60</Lines>
  <Paragraphs>16</Paragraphs>
  <TotalTime>2</TotalTime>
  <ScaleCrop>false</ScaleCrop>
  <LinksUpToDate>false</LinksUpToDate>
  <CharactersWithSpaces>13315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观自在</cp:lastModifiedBy>
  <cp:lastPrinted>2023-05-09T10:01:00Z</cp:lastPrinted>
  <dcterms:modified xsi:type="dcterms:W3CDTF">2023-05-10T01:09:44Z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FFD6BD7E4B5144F6AB444E64F79670A1_13</vt:lpwstr>
  </property>
</Properties>
</file>