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许昌市妇女联合会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head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许昌市妇女联合会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许昌市妇女联合会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许昌市妇女联合会是市委领导下的全市各族各界妇女的群众团体，是党和政府联系妇女群众的桥梁和纽带。其主要职能任务是：根据党的中心任务，指导全市各级妇女组织依据《中华全国妇女联合会章程》及全国、全省和市妇女代表大会的决议，开展妇女儿童工作；调查研究我市城乡妇女儿童的情况、问题，及时向市委市政府反应并提出意见；代表妇女参与政府和社会事务的民主管理、民主监督，促进妇女参政；贯彻执行有关妇女儿童的法律、法规、规章，维护妇女儿童的合法权益；协调和推动许昌市儿童事业发展规划的贯彻实施；为妇女儿童服务，加强与社会各界的联系，协调和推动社会各界为妇女儿童办实事、办好事。巩固和推进各族各界妇女的团结，加强同港澳台侨胞妇女的联谊，促进祖国统一大业，发展与市外妇女的友好往来，增进友谊，加强合作；承办市委市政府交办的有关事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许昌市妇女联合会内设机构6个，包括：办公室、组宣部、发展部、权益部、家庭和儿童工作部、妇女儿童工作委员会。</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从决算单位构成看，许昌市妇女联合会部门决算包括：本级决算（1个）。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w:t>
      </w:r>
      <w:r>
        <w:rPr>
          <w:rFonts w:hint="eastAsia" w:ascii="仿宋_GB2312" w:hAnsi="仿宋_GB2312" w:eastAsia="仿宋_GB2312" w:cs="仿宋_GB2312"/>
          <w:sz w:val="32"/>
          <w:szCs w:val="32"/>
          <w:lang w:val="en-US" w:eastAsia="zh-CN"/>
        </w:rPr>
        <w:t>具体是：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宋体" w:eastAsia="黑体" w:cs="宋体"/>
          <w:kern w:val="0"/>
          <w:sz w:val="28"/>
          <w:szCs w:val="28"/>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许昌市妇女联合会</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许昌市妇女联合会</w:t>
            </w: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313</w:t>
            </w:r>
            <w:r>
              <w:rPr>
                <w:rFonts w:hint="eastAsia" w:ascii="宋体" w:hAnsi="宋体" w:cs="宋体"/>
                <w:color w:val="000000"/>
                <w:sz w:val="20"/>
                <w:szCs w:val="20"/>
                <w:highlight w:val="none"/>
                <w:lang w:val="en-US" w:eastAsia="zh-CN"/>
              </w:rPr>
              <w:t>.40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218</w:t>
            </w:r>
            <w:r>
              <w:rPr>
                <w:rFonts w:hint="eastAsia" w:ascii="宋体" w:hAnsi="宋体" w:cs="宋体"/>
                <w:color w:val="000000"/>
                <w:sz w:val="20"/>
                <w:szCs w:val="20"/>
                <w:highlight w:val="none"/>
                <w:lang w:val="en-US" w:eastAsia="zh-CN"/>
              </w:rPr>
              <w:t>.</w:t>
            </w:r>
            <w:r>
              <w:rPr>
                <w:rFonts w:hint="eastAsia" w:ascii="宋体" w:hAnsi="宋体" w:cs="宋体"/>
                <w:color w:val="000000"/>
                <w:sz w:val="20"/>
                <w:szCs w:val="20"/>
                <w:highlight w:val="none"/>
              </w:rPr>
              <w:t>77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七</w:t>
            </w:r>
            <w:r>
              <w:rPr>
                <w:rFonts w:hint="eastAsia" w:ascii="宋体" w:hAnsi="宋体" w:cs="宋体"/>
                <w:color w:val="000000"/>
                <w:sz w:val="20"/>
                <w:szCs w:val="20"/>
                <w:highlight w:val="none"/>
              </w:rPr>
              <w:t>、社会保障和就业支出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114</w:t>
            </w:r>
            <w:r>
              <w:rPr>
                <w:rFonts w:hint="eastAsia" w:ascii="宋体" w:hAnsi="宋体" w:cs="宋体"/>
                <w:color w:val="000000"/>
                <w:sz w:val="20"/>
                <w:szCs w:val="20"/>
                <w:highlight w:val="none"/>
                <w:lang w:val="en-US" w:eastAsia="zh-CN"/>
              </w:rPr>
              <w:t>.</w:t>
            </w:r>
            <w:r>
              <w:rPr>
                <w:rFonts w:hint="eastAsia" w:ascii="宋体" w:hAnsi="宋体" w:cs="宋体"/>
                <w:color w:val="000000"/>
                <w:sz w:val="20"/>
                <w:szCs w:val="20"/>
                <w:highlight w:val="none"/>
              </w:rPr>
              <w:t>4</w:t>
            </w:r>
            <w:r>
              <w:rPr>
                <w:rFonts w:hint="eastAsia" w:ascii="宋体" w:hAnsi="宋体" w:cs="宋体"/>
                <w:color w:val="000000"/>
                <w:sz w:val="20"/>
                <w:szCs w:val="20"/>
                <w:highlight w:val="none"/>
                <w:lang w:val="en-US" w:eastAsia="zh-CN"/>
              </w:rPr>
              <w:t>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八</w:t>
            </w:r>
            <w:r>
              <w:rPr>
                <w:rFonts w:hint="eastAsia" w:ascii="宋体" w:hAnsi="宋体" w:cs="宋体"/>
                <w:color w:val="000000"/>
                <w:sz w:val="20"/>
                <w:szCs w:val="20"/>
                <w:highlight w:val="none"/>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12</w:t>
            </w:r>
            <w:r>
              <w:rPr>
                <w:rFonts w:hint="eastAsia" w:ascii="宋体" w:hAnsi="宋体" w:cs="宋体"/>
                <w:color w:val="000000"/>
                <w:sz w:val="20"/>
                <w:szCs w:val="20"/>
                <w:highlight w:val="none"/>
                <w:lang w:val="en-US" w:eastAsia="zh-CN"/>
              </w:rPr>
              <w:t>.</w:t>
            </w:r>
            <w:r>
              <w:rPr>
                <w:rFonts w:hint="eastAsia" w:ascii="宋体" w:hAnsi="宋体" w:cs="宋体"/>
                <w:color w:val="000000"/>
                <w:sz w:val="20"/>
                <w:szCs w:val="20"/>
                <w:highlight w:val="none"/>
              </w:rPr>
              <w:t>1</w:t>
            </w:r>
            <w:r>
              <w:rPr>
                <w:rFonts w:hint="eastAsia" w:ascii="宋体" w:hAnsi="宋体" w:cs="宋体"/>
                <w:color w:val="000000"/>
                <w:sz w:val="20"/>
                <w:szCs w:val="20"/>
                <w:highlight w:val="none"/>
                <w:lang w:val="en-US" w:eastAsia="zh-CN"/>
              </w:rPr>
              <w:t>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313</w:t>
            </w:r>
            <w:r>
              <w:rPr>
                <w:rFonts w:hint="eastAsia" w:ascii="宋体" w:hAnsi="宋体" w:cs="宋体"/>
                <w:color w:val="000000"/>
                <w:sz w:val="20"/>
                <w:szCs w:val="20"/>
                <w:highlight w:val="none"/>
                <w:lang w:val="en-US" w:eastAsia="zh-CN"/>
              </w:rPr>
              <w:t>.40</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b/>
                <w:color w:val="000000"/>
                <w:sz w:val="20"/>
                <w:szCs w:val="20"/>
                <w:highlight w:val="none"/>
                <w:lang w:eastAsia="zh-CN"/>
              </w:rPr>
            </w:pPr>
            <w:r>
              <w:rPr>
                <w:rFonts w:hint="eastAsia" w:ascii="宋体" w:hAnsi="宋体" w:cs="宋体"/>
                <w:b w:val="0"/>
                <w:bCs/>
                <w:color w:val="000000"/>
                <w:sz w:val="20"/>
                <w:szCs w:val="20"/>
                <w:highlight w:val="none"/>
              </w:rPr>
              <w:t>345</w:t>
            </w:r>
            <w:r>
              <w:rPr>
                <w:rFonts w:hint="eastAsia" w:ascii="宋体" w:hAnsi="宋体" w:cs="宋体"/>
                <w:b w:val="0"/>
                <w:bCs/>
                <w:color w:val="000000"/>
                <w:sz w:val="20"/>
                <w:szCs w:val="20"/>
                <w:highlight w:val="none"/>
                <w:lang w:val="en-US" w:eastAsia="zh-CN"/>
              </w:rPr>
              <w:t>.</w:t>
            </w:r>
            <w:r>
              <w:rPr>
                <w:rFonts w:hint="eastAsia" w:ascii="宋体" w:hAnsi="宋体" w:cs="宋体"/>
                <w:b w:val="0"/>
                <w:bCs/>
                <w:color w:val="000000"/>
                <w:sz w:val="20"/>
                <w:szCs w:val="20"/>
                <w:highlight w:val="none"/>
              </w:rPr>
              <w:t>3</w:t>
            </w:r>
            <w:r>
              <w:rPr>
                <w:rFonts w:hint="eastAsia" w:ascii="宋体" w:hAnsi="宋体" w:cs="宋体"/>
                <w:b w:val="0"/>
                <w:bCs/>
                <w:color w:val="000000"/>
                <w:sz w:val="20"/>
                <w:szCs w:val="20"/>
                <w:highlight w:val="none"/>
                <w:lang w:val="en-US" w:eastAsia="zh-CN"/>
              </w:rPr>
              <w:t>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32</w:t>
            </w:r>
            <w:r>
              <w:rPr>
                <w:rFonts w:hint="eastAsia" w:ascii="宋体" w:hAnsi="宋体" w:cs="宋体"/>
                <w:color w:val="000000"/>
                <w:sz w:val="20"/>
                <w:szCs w:val="20"/>
                <w:highlight w:val="none"/>
                <w:lang w:val="en-US" w:eastAsia="zh-CN"/>
              </w:rPr>
              <w:t>.03</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0.08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345</w:t>
            </w:r>
            <w:r>
              <w:rPr>
                <w:rFonts w:hint="eastAsia" w:ascii="宋体" w:hAnsi="宋体" w:cs="宋体"/>
                <w:color w:val="000000"/>
                <w:sz w:val="20"/>
                <w:szCs w:val="20"/>
                <w:highlight w:val="none"/>
                <w:lang w:val="en-US" w:eastAsia="zh-CN"/>
              </w:rPr>
              <w:t>.43</w:t>
            </w:r>
          </w:p>
        </w:tc>
        <w:tc>
          <w:tcPr>
            <w:tcW w:w="4671"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b w:val="0"/>
                <w:bCs/>
                <w:color w:val="000000"/>
                <w:sz w:val="20"/>
                <w:szCs w:val="20"/>
                <w:highlight w:val="none"/>
                <w:lang w:val="en-US" w:eastAsia="zh-CN"/>
              </w:rPr>
            </w:pPr>
            <w:r>
              <w:rPr>
                <w:rFonts w:hint="eastAsia" w:ascii="宋体" w:hAnsi="宋体" w:cs="宋体"/>
                <w:b w:val="0"/>
                <w:bCs/>
                <w:color w:val="000000"/>
                <w:sz w:val="20"/>
                <w:szCs w:val="20"/>
                <w:highlight w:val="none"/>
              </w:rPr>
              <w:t>345</w:t>
            </w:r>
            <w:r>
              <w:rPr>
                <w:rFonts w:hint="eastAsia" w:ascii="宋体" w:hAnsi="宋体" w:cs="宋体"/>
                <w:b w:val="0"/>
                <w:bCs/>
                <w:color w:val="000000"/>
                <w:sz w:val="20"/>
                <w:szCs w:val="20"/>
                <w:highlight w:val="none"/>
                <w:lang w:val="en-US" w:eastAsia="zh-CN"/>
              </w:rPr>
              <w:t>.43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6"/>
        <w:gridCol w:w="3238"/>
        <w:gridCol w:w="1875"/>
        <w:gridCol w:w="1125"/>
        <w:gridCol w:w="1142"/>
        <w:gridCol w:w="1142"/>
        <w:gridCol w:w="1313"/>
        <w:gridCol w:w="1227"/>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3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3238"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87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313"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227"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28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74" w:type="dxa"/>
            <w:gridSpan w:val="2"/>
            <w:tcBorders>
              <w:top w:val="nil"/>
              <w:left w:val="nil"/>
              <w:bottom w:val="nil"/>
              <w:right w:val="nil"/>
            </w:tcBorders>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部门：许昌市妇女联合会</w:t>
            </w:r>
          </w:p>
        </w:tc>
        <w:tc>
          <w:tcPr>
            <w:tcW w:w="187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2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313"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3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2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23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23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23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313.40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313.40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202.30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202.30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201.33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201.33</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0.97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0.97</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104.29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104.29</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66.01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66.01</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59.24</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59.24</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6.77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6.77</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20.11</w:t>
            </w:r>
          </w:p>
        </w:tc>
        <w:tc>
          <w:tcPr>
            <w:tcW w:w="1142" w:type="dxa"/>
            <w:tcBorders>
              <w:top w:val="nil"/>
              <w:left w:val="nil"/>
              <w:bottom w:val="single" w:color="000000" w:sz="4" w:space="0"/>
              <w:right w:val="single" w:color="000000" w:sz="4" w:space="0"/>
            </w:tcBorders>
            <w:noWrap/>
            <w:vAlign w:val="center"/>
          </w:tcPr>
          <w:p>
            <w:pPr>
              <w:jc w:val="both"/>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6.80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6.80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6.80</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6.80</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3.38</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23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8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3.41</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6"/>
        <w:gridCol w:w="222"/>
        <w:gridCol w:w="222"/>
        <w:gridCol w:w="3018"/>
        <w:gridCol w:w="1755"/>
        <w:gridCol w:w="1142"/>
        <w:gridCol w:w="1176"/>
        <w:gridCol w:w="1247"/>
        <w:gridCol w:w="1123"/>
        <w:gridCol w:w="1316"/>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63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c>
          <w:tcPr>
            <w:tcW w:w="222" w:type="dxa"/>
            <w:tcBorders>
              <w:top w:val="nil"/>
              <w:left w:val="nil"/>
              <w:bottom w:val="nil"/>
              <w:right w:val="nil"/>
            </w:tcBorders>
            <w:noWrap/>
            <w:vAlign w:val="bottom"/>
          </w:tcPr>
          <w:p>
            <w:pPr>
              <w:rPr>
                <w:rFonts w:hint="eastAsia"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3018"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7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247"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23"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3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部门：许昌市妇女联合会</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3018"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7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3686"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2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2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01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01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01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345.35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327.17</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18.18</w:t>
            </w: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218.77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218.77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218.77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218.77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217.80</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217.80</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0.97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0.97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114.45</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96.27</w:t>
            </w: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76.16</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76.16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60.08</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60.08</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16.08</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16.08</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20.11</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18.18</w:t>
            </w: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12.13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12.13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12.13</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12.13</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3.66</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3.66</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01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8.47</w:t>
            </w:r>
          </w:p>
        </w:tc>
        <w:tc>
          <w:tcPr>
            <w:tcW w:w="11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8.47</w:t>
            </w:r>
          </w:p>
        </w:tc>
        <w:tc>
          <w:tcPr>
            <w:tcW w:w="11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2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13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7"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3018"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4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7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247"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123"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1316"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autofit"/>
        <w:tblCellMar>
          <w:top w:w="0" w:type="dxa"/>
          <w:left w:w="0" w:type="dxa"/>
          <w:bottom w:w="0" w:type="dxa"/>
          <w:right w:w="0" w:type="dxa"/>
        </w:tblCellMar>
      </w:tblPr>
      <w:tblGrid>
        <w:gridCol w:w="1635"/>
        <w:gridCol w:w="480"/>
        <w:gridCol w:w="1389"/>
        <w:gridCol w:w="2384"/>
        <w:gridCol w:w="816"/>
        <w:gridCol w:w="1867"/>
        <w:gridCol w:w="2267"/>
        <w:gridCol w:w="1550"/>
        <w:gridCol w:w="1404"/>
      </w:tblGrid>
      <w:tr>
        <w:tblPrEx>
          <w:tblCellMar>
            <w:top w:w="0" w:type="dxa"/>
            <w:left w:w="0" w:type="dxa"/>
            <w:bottom w:w="0" w:type="dxa"/>
            <w:right w:w="0" w:type="dxa"/>
          </w:tblCellMar>
        </w:tblPrEx>
        <w:trPr>
          <w:trHeight w:val="360" w:hRule="atLeast"/>
        </w:trPr>
        <w:tc>
          <w:tcPr>
            <w:tcW w:w="12388" w:type="dxa"/>
            <w:gridSpan w:val="8"/>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404"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163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8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8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1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67" w:type="dxa"/>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1550"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40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504"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许昌市妇女联合会</w:t>
            </w:r>
          </w:p>
        </w:tc>
        <w:tc>
          <w:tcPr>
            <w:tcW w:w="238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1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0"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40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3504"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10288" w:type="dxa"/>
            <w:gridSpan w:val="6"/>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2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5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04"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313.40</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218.77</w:t>
            </w: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218.77</w:t>
            </w: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七</w:t>
            </w:r>
            <w:r>
              <w:rPr>
                <w:rFonts w:hint="eastAsia" w:ascii="宋体" w:hAnsi="宋体" w:cs="宋体"/>
                <w:color w:val="000000"/>
                <w:kern w:val="0"/>
                <w:sz w:val="20"/>
                <w:szCs w:val="20"/>
                <w:highlight w:val="none"/>
                <w:lang w:bidi="ar"/>
              </w:rPr>
              <w:t>、社会保障和就业支出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18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114.45</w:t>
            </w:r>
          </w:p>
        </w:tc>
        <w:tc>
          <w:tcPr>
            <w:tcW w:w="226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114.45</w:t>
            </w:r>
          </w:p>
        </w:tc>
        <w:tc>
          <w:tcPr>
            <w:tcW w:w="15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0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八、卫生健康支出</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18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12.13</w:t>
            </w: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12</w:t>
            </w:r>
            <w:r>
              <w:rPr>
                <w:rFonts w:hint="eastAsia" w:ascii="宋体" w:hAnsi="宋体" w:cs="宋体"/>
                <w:color w:val="000000"/>
                <w:sz w:val="20"/>
                <w:szCs w:val="20"/>
                <w:highlight w:val="none"/>
                <w:lang w:val="en-US" w:eastAsia="zh-CN"/>
              </w:rPr>
              <w:t>.13</w:t>
            </w:r>
          </w:p>
        </w:tc>
        <w:tc>
          <w:tcPr>
            <w:tcW w:w="155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04"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313.40</w:t>
            </w:r>
          </w:p>
        </w:tc>
        <w:tc>
          <w:tcPr>
            <w:tcW w:w="2384"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18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345.35</w:t>
            </w: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345.35</w:t>
            </w:r>
          </w:p>
        </w:tc>
        <w:tc>
          <w:tcPr>
            <w:tcW w:w="155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140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w:t>
            </w:r>
          </w:p>
        </w:tc>
        <w:tc>
          <w:tcPr>
            <w:tcW w:w="2384"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18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0.08</w:t>
            </w: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0.08</w:t>
            </w:r>
          </w:p>
        </w:tc>
        <w:tc>
          <w:tcPr>
            <w:tcW w:w="155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0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w:t>
            </w:r>
          </w:p>
        </w:tc>
        <w:tc>
          <w:tcPr>
            <w:tcW w:w="2384"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1867"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0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389"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18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04"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389"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84"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w:t>
            </w:r>
          </w:p>
        </w:tc>
        <w:tc>
          <w:tcPr>
            <w:tcW w:w="18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0"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04"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635"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38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345.43</w:t>
            </w:r>
          </w:p>
        </w:tc>
        <w:tc>
          <w:tcPr>
            <w:tcW w:w="2384"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w:t>
            </w:r>
          </w:p>
        </w:tc>
        <w:tc>
          <w:tcPr>
            <w:tcW w:w="1867"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345.43</w:t>
            </w:r>
          </w:p>
        </w:tc>
        <w:tc>
          <w:tcPr>
            <w:tcW w:w="2267"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345.43</w:t>
            </w:r>
          </w:p>
        </w:tc>
        <w:tc>
          <w:tcPr>
            <w:tcW w:w="1550"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1404"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388" w:type="dxa"/>
            <w:gridSpan w:val="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404"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pStyle w:val="2"/>
        <w:rPr>
          <w:rFonts w:hint="eastAsia"/>
        </w:rPr>
      </w:pPr>
    </w:p>
    <w:tbl>
      <w:tblPr>
        <w:tblStyle w:val="6"/>
        <w:tblW w:w="4402" w:type="pct"/>
        <w:tblInd w:w="9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7"/>
        <w:gridCol w:w="297"/>
        <w:gridCol w:w="239"/>
        <w:gridCol w:w="4732"/>
        <w:gridCol w:w="2334"/>
        <w:gridCol w:w="1710"/>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0" w:type="pct"/>
            <w:tcBorders>
              <w:top w:val="nil"/>
              <w:left w:val="nil"/>
              <w:bottom w:val="nil"/>
              <w:right w:val="nil"/>
            </w:tcBorders>
            <w:shd w:val="clear" w:color="auto" w:fill="auto"/>
            <w:noWrap/>
            <w:vAlign w:val="bottom"/>
          </w:tcPr>
          <w:p>
            <w:pPr>
              <w:jc w:val="both"/>
              <w:rPr>
                <w:rFonts w:hint="eastAsia" w:ascii="Arial" w:hAnsi="Arial" w:eastAsia="宋体" w:cs="Arial"/>
                <w:i w:val="0"/>
                <w:iCs w:val="0"/>
                <w:color w:val="000000"/>
                <w:sz w:val="20"/>
                <w:szCs w:val="20"/>
                <w:u w:val="none"/>
              </w:rPr>
            </w:pPr>
          </w:p>
        </w:tc>
        <w:tc>
          <w:tcPr>
            <w:tcW w:w="108"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8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1720"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849"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622"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72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部门：许昌市妇女联合会</w:t>
            </w:r>
          </w:p>
        </w:tc>
        <w:tc>
          <w:tcPr>
            <w:tcW w:w="108"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87"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1720"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849"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622" w:type="pct"/>
            <w:tcBorders>
              <w:top w:val="nil"/>
              <w:left w:val="nil"/>
              <w:bottom w:val="nil"/>
              <w:right w:val="nil"/>
            </w:tcBorders>
            <w:shd w:val="clear" w:color="auto" w:fill="auto"/>
            <w:noWrap/>
            <w:vAlign w:val="bottom"/>
          </w:tcPr>
          <w:p>
            <w:pPr>
              <w:jc w:val="both"/>
              <w:rPr>
                <w:rFonts w:hint="default" w:ascii="Arial" w:hAnsi="Arial" w:eastAsia="宋体" w:cs="Arial"/>
                <w:i w:val="0"/>
                <w:iCs w:val="0"/>
                <w:color w:val="000000"/>
                <w:sz w:val="20"/>
                <w:szCs w:val="20"/>
                <w:u w:val="none"/>
              </w:rPr>
            </w:pPr>
          </w:p>
        </w:tc>
        <w:tc>
          <w:tcPr>
            <w:tcW w:w="72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6"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93" w:type="pct"/>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720" w:type="pct"/>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9"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2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21"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0"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0" w:type="pct"/>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9"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1"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806"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06" w:type="pct"/>
            <w:gridSpan w:val="4"/>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345.35</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327.17</w:t>
            </w:r>
          </w:p>
        </w:tc>
        <w:tc>
          <w:tcPr>
            <w:tcW w:w="72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218.77</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218.77</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218.77</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218.77</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114.45</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96.27</w:t>
            </w:r>
          </w:p>
        </w:tc>
        <w:tc>
          <w:tcPr>
            <w:tcW w:w="72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76.16</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76.16</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60.08</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60.08</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62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62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1"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720"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849"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62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72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p>
      <w:pPr>
        <w:pStyle w:val="2"/>
        <w:rPr>
          <w:rFonts w:hint="eastAsia"/>
        </w:rPr>
      </w:pPr>
    </w:p>
    <w:tbl>
      <w:tblPr>
        <w:tblStyle w:val="6"/>
        <w:tblW w:w="1348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305"/>
        <w:gridCol w:w="1155"/>
        <w:gridCol w:w="1005"/>
        <w:gridCol w:w="2340"/>
        <w:gridCol w:w="1020"/>
        <w:gridCol w:w="810"/>
        <w:gridCol w:w="196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487"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2"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05"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55"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5" w:type="dxa"/>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2340" w:type="dxa"/>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1020" w:type="dxa"/>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0"/>
                <w:szCs w:val="20"/>
                <w:u w:val="none"/>
              </w:rPr>
            </w:pPr>
          </w:p>
        </w:tc>
        <w:tc>
          <w:tcPr>
            <w:tcW w:w="279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7" w:type="dxa"/>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Style w:val="18"/>
                <w:lang w:val="en-US" w:eastAsia="zh-CN" w:bidi="ar"/>
              </w:rPr>
              <w:t>许昌市妇女联合会</w:t>
            </w:r>
          </w:p>
        </w:tc>
        <w:tc>
          <w:tcPr>
            <w:tcW w:w="1155" w:type="dxa"/>
            <w:tcBorders>
              <w:top w:val="nil"/>
              <w:left w:val="nil"/>
              <w:bottom w:val="nil"/>
              <w:right w:val="nil"/>
            </w:tcBorders>
            <w:shd w:val="clear" w:color="auto" w:fill="auto"/>
            <w:vAlign w:val="center"/>
          </w:tcPr>
          <w:p>
            <w:pPr>
              <w:jc w:val="both"/>
              <w:rPr>
                <w:rFonts w:hint="eastAsia" w:ascii="Arial" w:hAnsi="Arial" w:eastAsia="宋体" w:cs="Arial"/>
                <w:i w:val="0"/>
                <w:iCs w:val="0"/>
                <w:color w:val="000000"/>
                <w:sz w:val="20"/>
                <w:szCs w:val="20"/>
                <w:u w:val="none"/>
              </w:rPr>
            </w:pPr>
          </w:p>
        </w:tc>
        <w:tc>
          <w:tcPr>
            <w:tcW w:w="1005" w:type="dxa"/>
            <w:tcBorders>
              <w:top w:val="nil"/>
              <w:left w:val="nil"/>
              <w:bottom w:val="nil"/>
              <w:right w:val="nil"/>
            </w:tcBorders>
            <w:shd w:val="clear" w:color="auto" w:fill="auto"/>
            <w:vAlign w:val="center"/>
          </w:tcPr>
          <w:p>
            <w:pPr>
              <w:jc w:val="both"/>
              <w:rPr>
                <w:rFonts w:hint="default" w:ascii="Arial" w:hAnsi="Arial" w:eastAsia="宋体" w:cs="Arial"/>
                <w:i w:val="0"/>
                <w:iCs w:val="0"/>
                <w:color w:val="000000"/>
                <w:sz w:val="20"/>
                <w:szCs w:val="20"/>
                <w:u w:val="none"/>
              </w:rPr>
            </w:pPr>
          </w:p>
        </w:tc>
        <w:tc>
          <w:tcPr>
            <w:tcW w:w="2340" w:type="dxa"/>
            <w:tcBorders>
              <w:top w:val="nil"/>
              <w:left w:val="nil"/>
              <w:bottom w:val="nil"/>
              <w:right w:val="nil"/>
            </w:tcBorders>
            <w:shd w:val="clear" w:color="auto" w:fill="auto"/>
            <w:vAlign w:val="center"/>
          </w:tcPr>
          <w:p>
            <w:pPr>
              <w:jc w:val="both"/>
              <w:rPr>
                <w:rFonts w:hint="default" w:ascii="Arial" w:hAnsi="Arial" w:eastAsia="宋体" w:cs="Arial"/>
                <w:i w:val="0"/>
                <w:iCs w:val="0"/>
                <w:color w:val="000000"/>
                <w:sz w:val="20"/>
                <w:szCs w:val="20"/>
                <w:u w:val="none"/>
              </w:rPr>
            </w:pPr>
          </w:p>
        </w:tc>
        <w:tc>
          <w:tcPr>
            <w:tcW w:w="1020" w:type="dxa"/>
            <w:tcBorders>
              <w:top w:val="nil"/>
              <w:left w:val="nil"/>
              <w:bottom w:val="nil"/>
              <w:right w:val="nil"/>
            </w:tcBorders>
            <w:shd w:val="clear" w:color="auto" w:fill="auto"/>
            <w:vAlign w:val="center"/>
          </w:tcPr>
          <w:p>
            <w:pPr>
              <w:jc w:val="both"/>
              <w:rPr>
                <w:rFonts w:hint="default" w:ascii="Arial" w:hAnsi="Arial" w:eastAsia="宋体" w:cs="Arial"/>
                <w:i w:val="0"/>
                <w:iCs w:val="0"/>
                <w:color w:val="000000"/>
                <w:sz w:val="20"/>
                <w:szCs w:val="20"/>
                <w:u w:val="none"/>
              </w:rPr>
            </w:pPr>
          </w:p>
        </w:tc>
        <w:tc>
          <w:tcPr>
            <w:tcW w:w="810" w:type="dxa"/>
            <w:tcBorders>
              <w:top w:val="nil"/>
              <w:left w:val="nil"/>
              <w:bottom w:val="nil"/>
              <w:right w:val="nil"/>
            </w:tcBorders>
            <w:shd w:val="clear" w:color="auto" w:fill="auto"/>
            <w:vAlign w:val="center"/>
          </w:tcPr>
          <w:p>
            <w:pPr>
              <w:jc w:val="both"/>
              <w:rPr>
                <w:rFonts w:hint="default" w:ascii="Arial" w:hAnsi="Arial" w:eastAsia="宋体" w:cs="Arial"/>
                <w:i w:val="0"/>
                <w:iCs w:val="0"/>
                <w:color w:val="000000"/>
                <w:sz w:val="20"/>
                <w:szCs w:val="20"/>
                <w:u w:val="none"/>
              </w:rPr>
            </w:pPr>
          </w:p>
        </w:tc>
        <w:tc>
          <w:tcPr>
            <w:tcW w:w="279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9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1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基本工资</w:t>
            </w:r>
          </w:p>
        </w:tc>
        <w:tc>
          <w:tcPr>
            <w:tcW w:w="11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48.72</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办公费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房屋建筑物购建</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津贴补贴</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88.63</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印刷费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办公设备购置</w:t>
            </w:r>
          </w:p>
        </w:tc>
        <w:tc>
          <w:tcPr>
            <w:tcW w:w="8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奖金</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37.71</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咨询费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专用设备购置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伙食补助费</w:t>
            </w:r>
          </w:p>
        </w:tc>
        <w:tc>
          <w:tcPr>
            <w:tcW w:w="115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手续费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基础设施建设</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绩效工资</w:t>
            </w:r>
          </w:p>
        </w:tc>
        <w:tc>
          <w:tcPr>
            <w:tcW w:w="115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水费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大型修缮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机关事业单位基本养老保险费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16.08</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电费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lang w:val="en-US" w:eastAsia="zh-CN" w:bidi="ar"/>
              </w:rPr>
              <w:t xml:space="preserve">  </w:t>
            </w:r>
            <w:r>
              <w:rPr>
                <w:rStyle w:val="18"/>
                <w:lang w:val="en-US" w:eastAsia="zh-CN" w:bidi="ar"/>
              </w:rPr>
              <w:t>信息网络及软件购置更新</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职业年金缴费</w:t>
            </w:r>
          </w:p>
        </w:tc>
        <w:tc>
          <w:tcPr>
            <w:tcW w:w="115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邮电费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0.93</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物资储备</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职工基本医疗保险缴费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取暖费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土地补偿</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公务员医疗补助缴费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物业管理费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安置补助</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其他社会保障缴费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差旅费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sz w:val="15"/>
                <w:szCs w:val="16"/>
                <w:lang w:val="en-US" w:eastAsia="zh-CN"/>
              </w:rPr>
              <w:t xml:space="preserve">  </w:t>
            </w:r>
            <w:r>
              <w:rPr>
                <w:rStyle w:val="18"/>
                <w:lang w:val="en-US" w:eastAsia="zh-CN" w:bidi="ar"/>
              </w:rPr>
              <w:t>地上附着物和青苗补偿</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住房公积金</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因公出国（境）费用</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拆迁补偿</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医疗费</w:t>
            </w:r>
          </w:p>
        </w:tc>
        <w:tc>
          <w:tcPr>
            <w:tcW w:w="115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维修（护）费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公务用车购置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其他工资福利支出</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租赁费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 xml:space="preserve">  </w:t>
            </w:r>
            <w:r>
              <w:rPr>
                <w:rStyle w:val="18"/>
                <w:sz w:val="16"/>
                <w:szCs w:val="16"/>
                <w:lang w:val="en-US" w:eastAsia="zh-CN" w:bidi="ar"/>
              </w:rPr>
              <w:t>其他交通工具购置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会议费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文物和陈列品购置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离休费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32.48</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培训费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无形资产购置</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退休费</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公务招待费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其他资本性支出</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退职（役）费</w:t>
            </w:r>
          </w:p>
        </w:tc>
        <w:tc>
          <w:tcPr>
            <w:tcW w:w="115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专用材料费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抚恤金</w:t>
            </w:r>
          </w:p>
        </w:tc>
        <w:tc>
          <w:tcPr>
            <w:tcW w:w="115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w:t>
            </w: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被装购置费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31201</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资本金注入</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生活补助</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专用燃料费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31203</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 xml:space="preserve">  </w:t>
            </w:r>
            <w:r>
              <w:rPr>
                <w:rStyle w:val="18"/>
                <w:sz w:val="15"/>
                <w:szCs w:val="15"/>
                <w:lang w:val="en-US" w:eastAsia="zh-CN" w:bidi="ar"/>
              </w:rPr>
              <w:t>政府投资基金股权投资</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救济费</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劳务费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费用补贴</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医疗费补助</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委托业务费</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31205</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利息补贴</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助学金</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工会经费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31299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其他对企业补助</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奖励金</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福利费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个人农业生产补贴</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公务用车运行维护费</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 xml:space="preserve">  </w:t>
            </w:r>
            <w:r>
              <w:rPr>
                <w:rStyle w:val="18"/>
                <w:sz w:val="16"/>
                <w:szCs w:val="16"/>
                <w:lang w:val="en-US" w:eastAsia="zh-CN" w:bidi="ar"/>
              </w:rPr>
              <w:t>对社会保险基金补助</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对其他个人和家庭的补助支出</w:t>
            </w: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其他交通费用</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31303</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 xml:space="preserve">  </w:t>
            </w:r>
            <w:r>
              <w:rPr>
                <w:rStyle w:val="18"/>
                <w:sz w:val="15"/>
                <w:szCs w:val="15"/>
                <w:lang w:val="en-US" w:eastAsia="zh-CN" w:bidi="ar"/>
              </w:rPr>
              <w:t>补充全国社会保障基金</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税金及附加费用</w:t>
            </w:r>
          </w:p>
        </w:tc>
        <w:tc>
          <w:tcPr>
            <w:tcW w:w="1020"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其他商品和服务支出</w:t>
            </w:r>
          </w:p>
        </w:tc>
        <w:tc>
          <w:tcPr>
            <w:tcW w:w="102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赠与</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02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8"/>
                <w:sz w:val="18"/>
                <w:szCs w:val="18"/>
                <w:lang w:val="en-US" w:eastAsia="zh-CN" w:bidi="ar"/>
              </w:rPr>
              <w:t>国家赔偿费用支出</w:t>
            </w:r>
          </w:p>
        </w:tc>
        <w:tc>
          <w:tcPr>
            <w:tcW w:w="825" w:type="dxa"/>
            <w:tcBorders>
              <w:top w:val="nil"/>
              <w:left w:val="nil"/>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国内债务付息</w:t>
            </w:r>
          </w:p>
        </w:tc>
        <w:tc>
          <w:tcPr>
            <w:tcW w:w="102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8"/>
                <w:szCs w:val="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w:t>
            </w:r>
            <w:r>
              <w:rPr>
                <w:rStyle w:val="18"/>
                <w:sz w:val="18"/>
                <w:szCs w:val="18"/>
                <w:lang w:val="en-US" w:eastAsia="zh-CN" w:bidi="ar"/>
              </w:rPr>
              <w:t>对民间非营利组织和群众性自治组织补贴</w:t>
            </w:r>
          </w:p>
        </w:tc>
        <w:tc>
          <w:tcPr>
            <w:tcW w:w="82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国外债务付息</w:t>
            </w:r>
          </w:p>
        </w:tc>
        <w:tc>
          <w:tcPr>
            <w:tcW w:w="102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其他支出</w:t>
            </w:r>
          </w:p>
        </w:tc>
        <w:tc>
          <w:tcPr>
            <w:tcW w:w="82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2" w:type="dxa"/>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330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30703</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国内债务发行费用</w:t>
            </w:r>
          </w:p>
        </w:tc>
        <w:tc>
          <w:tcPr>
            <w:tcW w:w="102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96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2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7"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0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30704</w:t>
            </w:r>
          </w:p>
        </w:tc>
        <w:tc>
          <w:tcPr>
            <w:tcW w:w="23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8"/>
                <w:lang w:val="en-US" w:eastAsia="zh-CN" w:bidi="ar"/>
              </w:rPr>
              <w:t>国外债务发行费用</w:t>
            </w:r>
          </w:p>
        </w:tc>
        <w:tc>
          <w:tcPr>
            <w:tcW w:w="102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81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96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825"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297.16</w:t>
            </w:r>
          </w:p>
        </w:tc>
        <w:tc>
          <w:tcPr>
            <w:tcW w:w="7140" w:type="dxa"/>
            <w:gridSpan w:val="5"/>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87"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pStyle w:val="2"/>
        <w:rPr>
          <w:rFonts w:hint="eastAsia"/>
        </w:r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val="en-US" w:eastAsia="zh-CN" w:bidi="ar"/>
              </w:rPr>
              <w:t>许昌市妇女联合会</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val="en-US" w:eastAsia="zh-CN" w:bidi="ar"/>
              </w:rPr>
              <w:t>许昌市妇女联合会</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spacing w:beforeLines="0" w:afterLines="0" w:line="590" w:lineRule="exact"/>
        <w:ind w:firstLine="64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2021年度收、支总计均为345.43万元。与上年度相比，收、支总计各减少45.11万元，下降11.55%。</w:t>
      </w:r>
      <w:r>
        <w:rPr>
          <w:rFonts w:hint="eastAsia" w:ascii="仿宋_GB2312" w:hAnsi="仿宋_GB2312" w:eastAsia="仿宋_GB2312" w:cs="Times New Roman"/>
          <w:sz w:val="32"/>
          <w:szCs w:val="24"/>
        </w:rPr>
        <w:t>主要原因是</w:t>
      </w:r>
      <w:r>
        <w:rPr>
          <w:rFonts w:hint="eastAsia" w:ascii="仿宋_GB2312" w:hAnsi="仿宋_GB2312" w:eastAsia="仿宋_GB2312" w:cs="Times New Roman"/>
          <w:sz w:val="32"/>
          <w:szCs w:val="24"/>
          <w:lang w:eastAsia="zh-CN"/>
        </w:rPr>
        <w:t>减少项目支出，压缩经费</w:t>
      </w:r>
      <w:r>
        <w:rPr>
          <w:rFonts w:hint="eastAsia" w:ascii="仿宋_GB2312" w:hAnsi="仿宋_GB2312" w:eastAsia="仿宋_GB2312" w:cs="Times New Roman"/>
          <w:sz w:val="32"/>
          <w:szCs w:val="24"/>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2021年度收入合计313.4</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万元，其中：财政拨款收入313.4</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2021年度支出合计345.35万元，其中：基本支出327.17万元，占94.74%；项目支出18.18万元，占5.26%；上缴上级支出0万元，占0%；经营支出0万元，占0%；对附属单位补助支出0万元，占0%。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spacing w:beforeLines="0" w:after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sz w:val="32"/>
          <w:szCs w:val="24"/>
          <w:lang w:val="en-US"/>
        </w:rPr>
        <w:t>2021年度财政拨款收、支总计均为345.43万元。与上年度相比，财政拨款收、支总计各增加</w:t>
      </w:r>
      <w:r>
        <w:rPr>
          <w:rFonts w:hint="eastAsia" w:ascii="仿宋_GB2312" w:hAnsi="仿宋_GB2312" w:eastAsia="仿宋_GB2312"/>
          <w:color w:val="000000"/>
          <w:sz w:val="32"/>
          <w:szCs w:val="24"/>
          <w:lang w:val="en-US"/>
        </w:rPr>
        <w:t>5.89万元，增长1.73%。主要原因是</w:t>
      </w:r>
      <w:r>
        <w:rPr>
          <w:rFonts w:hint="eastAsia" w:ascii="仿宋_GB2312" w:hAnsi="仿宋_GB2312" w:eastAsia="仿宋_GB2312"/>
          <w:color w:val="000000"/>
          <w:sz w:val="32"/>
          <w:szCs w:val="24"/>
          <w:lang w:val="en-US" w:eastAsia="zh-CN"/>
        </w:rPr>
        <w:t>使用上年结转</w:t>
      </w:r>
      <w:r>
        <w:rPr>
          <w:rFonts w:hint="eastAsia" w:ascii="仿宋_GB2312" w:hAnsi="仿宋_GB2312" w:eastAsia="仿宋_GB2312"/>
          <w:color w:val="000000"/>
          <w:sz w:val="32"/>
          <w:szCs w:val="24"/>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Times New Roman"/>
          <w:sz w:val="32"/>
          <w:szCs w:val="24"/>
          <w:lang w:val="en-US" w:eastAsia="zh-CN"/>
        </w:rPr>
      </w:pPr>
      <w:r>
        <w:rPr>
          <w:rFonts w:hint="eastAsia" w:ascii="仿宋_GB2312" w:hAnsi="仿宋_GB2312" w:eastAsia="仿宋_GB2312"/>
          <w:sz w:val="32"/>
          <w:szCs w:val="24"/>
          <w:lang w:val="en-US"/>
        </w:rPr>
        <w:t>2021年度一般公共预算财政拨款支出345.35万元，占支出合计的100%。与上年度相比，一般公共预算财政拨款支出增加41.26万元，增长13.57%。</w:t>
      </w:r>
      <w:r>
        <w:rPr>
          <w:rFonts w:hint="eastAsia" w:ascii="仿宋_GB2312" w:hAnsi="仿宋_GB2312" w:eastAsia="仿宋_GB2312" w:cs="Times New Roman"/>
          <w:sz w:val="32"/>
          <w:szCs w:val="24"/>
          <w:lang w:val="en-US"/>
        </w:rPr>
        <w:t>主要原因是</w:t>
      </w:r>
      <w:r>
        <w:rPr>
          <w:rFonts w:hint="eastAsia" w:ascii="仿宋_GB2312" w:hAnsi="仿宋_GB2312" w:eastAsia="仿宋_GB2312" w:cs="Times New Roman"/>
          <w:sz w:val="32"/>
          <w:szCs w:val="24"/>
          <w:lang w:val="en-US" w:eastAsia="zh-CN"/>
        </w:rPr>
        <w:t>社保基数调整，人员经费增加。</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shd w:val="clear" w:color="auto" w:fill="auto"/>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
        </w:rPr>
        <w:t>345.35</w:t>
      </w:r>
      <w:r>
        <w:rPr>
          <w:rFonts w:hint="eastAsia" w:ascii="仿宋_GB2312" w:hAnsi="仿宋_GB2312" w:eastAsia="仿宋_GB2312" w:cs="仿宋_GB2312"/>
          <w:sz w:val="32"/>
          <w:szCs w:val="32"/>
          <w:highlight w:val="none"/>
        </w:rPr>
        <w:t>万元，主要用于以下方面：一般公共服务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default" w:ascii="仿宋_GB2312" w:hAnsi="仿宋_GB2312" w:eastAsia="仿宋_GB2312" w:cs="仿宋_GB2312"/>
          <w:sz w:val="32"/>
          <w:szCs w:val="32"/>
          <w:highlight w:val="none"/>
          <w:lang w:val="en"/>
        </w:rPr>
        <w:t>218.77</w:t>
      </w:r>
      <w:r>
        <w:rPr>
          <w:rFonts w:hint="eastAsia" w:ascii="仿宋_GB2312" w:hAnsi="仿宋_GB2312" w:eastAsia="仿宋_GB2312" w:cs="仿宋_GB2312"/>
          <w:sz w:val="32"/>
          <w:szCs w:val="32"/>
          <w:highlight w:val="none"/>
        </w:rPr>
        <w:t>元，占</w:t>
      </w:r>
      <w:r>
        <w:rPr>
          <w:rFonts w:hint="default" w:ascii="仿宋_GB2312" w:hAnsi="仿宋_GB2312" w:eastAsia="仿宋_GB2312" w:cs="仿宋_GB2312"/>
          <w:sz w:val="32"/>
          <w:szCs w:val="32"/>
          <w:highlight w:val="none"/>
          <w:lang w:val="en"/>
        </w:rPr>
        <w:t>63.35</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default" w:ascii="仿宋_GB2312" w:hAnsi="仿宋_GB2312" w:eastAsia="仿宋_GB2312" w:cs="仿宋_GB2312"/>
          <w:sz w:val="32"/>
          <w:szCs w:val="32"/>
          <w:highlight w:val="none"/>
          <w:lang w:val="en"/>
        </w:rPr>
        <w:t>114.45</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
        </w:rPr>
        <w:t>33.14</w:t>
      </w:r>
      <w:r>
        <w:rPr>
          <w:rFonts w:hint="eastAsia" w:ascii="仿宋_GB2312" w:hAnsi="仿宋_GB2312" w:eastAsia="仿宋_GB2312" w:cs="仿宋_GB2312"/>
          <w:sz w:val="32"/>
          <w:szCs w:val="32"/>
          <w:highlight w:val="none"/>
        </w:rPr>
        <w:t>%；卫生健康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default" w:ascii="仿宋_GB2312" w:hAnsi="仿宋_GB2312" w:eastAsia="仿宋_GB2312" w:cs="仿宋_GB2312"/>
          <w:sz w:val="32"/>
          <w:szCs w:val="32"/>
          <w:highlight w:val="none"/>
          <w:lang w:val="en"/>
        </w:rPr>
        <w:t>12.13</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
        </w:rPr>
        <w:t>3.51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sz w:val="32"/>
          <w:szCs w:val="24"/>
          <w:lang w:val="en-US"/>
        </w:rPr>
        <w:t>2021年度一般公共预算财政拨款支出年初预算为271.81万元，支出决算为345.35万元，完成年初预算的127.0</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%。其中：</w:t>
      </w:r>
    </w:p>
    <w:p>
      <w:pPr>
        <w:widowControl/>
        <w:shd w:val="clear" w:color="auto" w:fill="auto"/>
        <w:spacing w:line="590" w:lineRule="exact"/>
        <w:ind w:firstLine="643" w:firstLineChars="200"/>
        <w:rPr>
          <w:rFonts w:hint="eastAsia" w:ascii="仿宋_GB2312" w:hAnsi="仿宋_GB2312" w:eastAsia="仿宋_GB2312" w:cs="仿宋_GB2312"/>
          <w:sz w:val="32"/>
          <w:szCs w:val="32"/>
          <w:highlight w:val="none"/>
          <w:lang w:val="en"/>
        </w:rPr>
      </w:pPr>
      <w:r>
        <w:rPr>
          <w:rFonts w:hint="eastAsia" w:ascii="仿宋_GB2312" w:hAnsi="仿宋_GB2312" w:eastAsia="仿宋_GB2312" w:cs="仿宋_GB2312"/>
          <w:b/>
          <w:bCs/>
          <w:sz w:val="32"/>
          <w:szCs w:val="32"/>
          <w:highlight w:val="none"/>
        </w:rPr>
        <w:t>1．一般公共服务支出（类）群众团体事物（款）行政运行（项）。</w:t>
      </w:r>
      <w:r>
        <w:rPr>
          <w:rFonts w:hint="eastAsia" w:ascii="仿宋_GB2312" w:hAnsi="仿宋_GB2312" w:eastAsia="仿宋_GB2312" w:cs="仿宋_GB2312"/>
          <w:sz w:val="32"/>
          <w:szCs w:val="32"/>
          <w:highlight w:val="none"/>
        </w:rPr>
        <w:t>年初预算为</w:t>
      </w:r>
      <w:r>
        <w:rPr>
          <w:rFonts w:hint="default" w:ascii="仿宋_GB2312" w:hAnsi="仿宋_GB2312" w:eastAsia="仿宋_GB2312" w:cs="仿宋_GB2312"/>
          <w:sz w:val="32"/>
          <w:szCs w:val="32"/>
          <w:highlight w:val="none"/>
          <w:lang w:val="en"/>
        </w:rPr>
        <w:t>194.38</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
        </w:rPr>
        <w:t>217.8</w:t>
      </w:r>
      <w:r>
        <w:rPr>
          <w:rFonts w:hint="eastAsia" w:ascii="仿宋_GB2312" w:hAnsi="仿宋_GB2312" w:eastAsia="仿宋_GB2312" w:cs="仿宋_GB2312"/>
          <w:sz w:val="32"/>
          <w:szCs w:val="32"/>
          <w:highlight w:val="none"/>
        </w:rPr>
        <w:t>万元，完成年初预算的</w:t>
      </w:r>
      <w:r>
        <w:rPr>
          <w:rFonts w:hint="default" w:ascii="仿宋_GB2312" w:hAnsi="仿宋_GB2312" w:eastAsia="仿宋_GB2312" w:cs="仿宋_GB2312"/>
          <w:sz w:val="32"/>
          <w:szCs w:val="32"/>
          <w:highlight w:val="none"/>
          <w:lang w:val="en"/>
        </w:rPr>
        <w:t>112.05</w:t>
      </w:r>
      <w:r>
        <w:rPr>
          <w:rFonts w:hint="eastAsia" w:ascii="仿宋_GB2312" w:hAnsi="仿宋_GB2312" w:eastAsia="仿宋_GB2312" w:cs="仿宋_GB2312"/>
          <w:sz w:val="32"/>
          <w:szCs w:val="32"/>
          <w:highlight w:val="none"/>
          <w:lang w:val="en"/>
        </w:rPr>
        <w:t>%。决算数与年初预算数存在差异的主要原因是</w:t>
      </w:r>
      <w:r>
        <w:rPr>
          <w:rFonts w:hint="eastAsia" w:ascii="仿宋_GB2312" w:hAnsi="仿宋_GB2312" w:eastAsia="仿宋_GB2312" w:cs="仿宋_GB2312"/>
          <w:sz w:val="32"/>
          <w:szCs w:val="32"/>
          <w:highlight w:val="none"/>
          <w:lang w:val="en" w:eastAsia="zh-CN"/>
        </w:rPr>
        <w:t>人员晋级晋档</w:t>
      </w:r>
      <w:r>
        <w:rPr>
          <w:rFonts w:hint="eastAsia" w:ascii="仿宋_GB2312" w:hAnsi="仿宋_GB2312" w:eastAsia="仿宋_GB2312" w:cs="仿宋_GB2312"/>
          <w:sz w:val="32"/>
          <w:szCs w:val="32"/>
          <w:highlight w:val="none"/>
          <w:lang w:val="en"/>
        </w:rPr>
        <w:t>。</w:t>
      </w:r>
    </w:p>
    <w:p>
      <w:pPr>
        <w:widowControl/>
        <w:shd w:val="clear" w:color="auto" w:fill="auto"/>
        <w:spacing w:line="590" w:lineRule="exact"/>
        <w:ind w:firstLine="643" w:firstLineChars="200"/>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b/>
          <w:bCs/>
          <w:sz w:val="32"/>
          <w:szCs w:val="32"/>
          <w:highlight w:val="none"/>
          <w:lang w:val="en"/>
        </w:rPr>
        <w:t>2</w:t>
      </w:r>
      <w:r>
        <w:rPr>
          <w:rFonts w:hint="eastAsia" w:ascii="仿宋_GB2312" w:hAnsi="仿宋_GB2312" w:eastAsia="仿宋_GB2312" w:cs="仿宋_GB2312"/>
          <w:b/>
          <w:bCs/>
          <w:sz w:val="32"/>
          <w:szCs w:val="32"/>
          <w:highlight w:val="none"/>
        </w:rPr>
        <w:t>．一般公共服务支出（类）群众团体事物（款）工会事务（项）。</w:t>
      </w:r>
      <w:r>
        <w:rPr>
          <w:rFonts w:hint="eastAsia" w:ascii="仿宋_GB2312" w:hAnsi="仿宋_GB2312" w:eastAsia="仿宋_GB2312" w:cs="仿宋_GB2312"/>
          <w:sz w:val="32"/>
          <w:szCs w:val="32"/>
          <w:highlight w:val="none"/>
        </w:rPr>
        <w:t>年初预算为</w:t>
      </w:r>
      <w:r>
        <w:rPr>
          <w:rFonts w:hint="default" w:ascii="仿宋_GB2312" w:hAnsi="仿宋_GB2312" w:eastAsia="仿宋_GB2312" w:cs="仿宋_GB2312"/>
          <w:sz w:val="32"/>
          <w:szCs w:val="32"/>
          <w:highlight w:val="none"/>
          <w:lang w:val="en"/>
        </w:rPr>
        <w:t>0.97</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
        </w:rPr>
        <w:t>0.97</w:t>
      </w:r>
      <w:r>
        <w:rPr>
          <w:rFonts w:hint="eastAsia" w:ascii="仿宋_GB2312" w:hAnsi="仿宋_GB2312" w:eastAsia="仿宋_GB2312" w:cs="仿宋_GB2312"/>
          <w:sz w:val="32"/>
          <w:szCs w:val="32"/>
          <w:highlight w:val="none"/>
        </w:rPr>
        <w:t>万元，完成年初预算的100%。</w:t>
      </w:r>
      <w:r>
        <w:rPr>
          <w:rFonts w:hint="eastAsia" w:ascii="仿宋_GB2312" w:hAnsi="仿宋_GB2312" w:eastAsia="仿宋_GB2312" w:cs="仿宋_GB2312"/>
          <w:sz w:val="32"/>
          <w:szCs w:val="32"/>
          <w:highlight w:val="none"/>
          <w:lang w:val="en"/>
        </w:rPr>
        <w:t>决算数与年初预算数</w:t>
      </w:r>
      <w:r>
        <w:rPr>
          <w:rFonts w:hint="eastAsia" w:ascii="仿宋_GB2312" w:hAnsi="仿宋_GB2312" w:eastAsia="仿宋_GB2312" w:cs="仿宋_GB2312"/>
          <w:sz w:val="32"/>
          <w:szCs w:val="32"/>
          <w:highlight w:val="none"/>
          <w:lang w:val="en" w:eastAsia="zh-CN"/>
        </w:rPr>
        <w:t>不</w:t>
      </w:r>
      <w:r>
        <w:rPr>
          <w:rFonts w:hint="eastAsia" w:ascii="仿宋_GB2312" w:hAnsi="仿宋_GB2312" w:eastAsia="仿宋_GB2312" w:cs="仿宋_GB2312"/>
          <w:sz w:val="32"/>
          <w:szCs w:val="32"/>
          <w:highlight w:val="none"/>
          <w:lang w:val="en"/>
        </w:rPr>
        <w:t>存在差异</w:t>
      </w:r>
      <w:r>
        <w:rPr>
          <w:rFonts w:hint="eastAsia" w:ascii="仿宋_GB2312" w:hAnsi="仿宋_GB2312" w:eastAsia="仿宋_GB2312" w:cs="仿宋_GB2312"/>
          <w:sz w:val="32"/>
          <w:szCs w:val="32"/>
          <w:highlight w:val="none"/>
          <w:lang w:val="en" w:eastAsia="zh-CN"/>
        </w:rPr>
        <w:t>。</w:t>
      </w:r>
    </w:p>
    <w:p>
      <w:pPr>
        <w:widowControl/>
        <w:shd w:val="clear" w:color="auto" w:fill="auto"/>
        <w:spacing w:line="590" w:lineRule="exact"/>
        <w:ind w:firstLine="643"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highlight w:val="none"/>
          <w:lang w:val="en"/>
        </w:rPr>
        <w:t>3</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年初预算为</w:t>
      </w:r>
      <w:r>
        <w:rPr>
          <w:rFonts w:hint="default" w:ascii="仿宋_GB2312" w:hAnsi="仿宋_GB2312" w:eastAsia="仿宋_GB2312" w:cs="仿宋_GB2312"/>
          <w:sz w:val="32"/>
          <w:szCs w:val="32"/>
          <w:highlight w:val="none"/>
          <w:lang w:val="en"/>
        </w:rPr>
        <w:t>51.99</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
        </w:rPr>
        <w:t>60.08</w:t>
      </w:r>
      <w:r>
        <w:rPr>
          <w:rFonts w:hint="eastAsia" w:ascii="仿宋_GB2312" w:hAnsi="仿宋_GB2312" w:eastAsia="仿宋_GB2312" w:cs="仿宋_GB2312"/>
          <w:sz w:val="32"/>
          <w:szCs w:val="32"/>
          <w:highlight w:val="none"/>
        </w:rPr>
        <w:t>万元，完成年初预算的</w:t>
      </w:r>
      <w:r>
        <w:rPr>
          <w:rFonts w:hint="default" w:ascii="仿宋_GB2312" w:hAnsi="仿宋_GB2312" w:eastAsia="仿宋_GB2312" w:cs="仿宋_GB2312"/>
          <w:sz w:val="32"/>
          <w:szCs w:val="32"/>
          <w:highlight w:val="none"/>
          <w:lang w:val="en"/>
        </w:rPr>
        <w:t>115.56</w:t>
      </w:r>
      <w:r>
        <w:rPr>
          <w:rFonts w:hint="eastAsia" w:ascii="仿宋_GB2312" w:hAnsi="仿宋_GB2312" w:eastAsia="仿宋_GB2312" w:cs="仿宋_GB2312"/>
          <w:sz w:val="32"/>
          <w:szCs w:val="32"/>
          <w:highlight w:val="none"/>
        </w:rPr>
        <w:t>%。决算数与年初预算数存在差异的主要原因</w:t>
      </w:r>
      <w:r>
        <w:rPr>
          <w:rFonts w:hint="eastAsia" w:ascii="仿宋_GB2312" w:hAnsi="仿宋_GB2312" w:eastAsia="仿宋_GB2312" w:cs="仿宋_GB2312"/>
          <w:sz w:val="32"/>
          <w:szCs w:val="32"/>
          <w:highlight w:val="none"/>
          <w:lang w:eastAsia="zh-CN"/>
        </w:rPr>
        <w:t>是退休人员增加。</w:t>
      </w:r>
    </w:p>
    <w:p>
      <w:pPr>
        <w:widowControl/>
        <w:shd w:val="clear" w:color="auto" w:fill="auto"/>
        <w:spacing w:line="590" w:lineRule="exact"/>
        <w:ind w:firstLine="643" w:firstLineChars="200"/>
        <w:rPr>
          <w:rFonts w:hint="eastAsia" w:ascii="仿宋_GB2312" w:hAnsi="仿宋_GB2312" w:eastAsia="仿宋_GB2312" w:cs="仿宋_GB2312"/>
          <w:color w:val="0000FF"/>
          <w:sz w:val="32"/>
          <w:szCs w:val="32"/>
          <w:highlight w:val="none"/>
        </w:rPr>
      </w:pPr>
      <w:r>
        <w:rPr>
          <w:rFonts w:hint="default" w:ascii="仿宋_GB2312" w:hAnsi="仿宋_GB2312" w:eastAsia="仿宋_GB2312" w:cs="仿宋_GB2312"/>
          <w:b/>
          <w:bCs/>
          <w:sz w:val="32"/>
          <w:szCs w:val="32"/>
          <w:highlight w:val="none"/>
          <w:lang w:val="en"/>
        </w:rPr>
        <w:t>4</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rPr>
        <w:t>年初预算为1</w:t>
      </w:r>
      <w:r>
        <w:rPr>
          <w:rFonts w:hint="default" w:ascii="仿宋_GB2312" w:hAnsi="仿宋_GB2312" w:eastAsia="仿宋_GB2312" w:cs="仿宋_GB2312"/>
          <w:sz w:val="32"/>
          <w:szCs w:val="32"/>
          <w:highlight w:val="none"/>
          <w:lang w:val="en"/>
        </w:rPr>
        <w:t>2.19</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
        </w:rPr>
        <w:t>16.08</w:t>
      </w:r>
      <w:r>
        <w:rPr>
          <w:rFonts w:hint="eastAsia" w:ascii="仿宋_GB2312" w:hAnsi="仿宋_GB2312" w:eastAsia="仿宋_GB2312" w:cs="仿宋_GB2312"/>
          <w:sz w:val="32"/>
          <w:szCs w:val="32"/>
          <w:highlight w:val="none"/>
        </w:rPr>
        <w:t>万元，完成年初预算的</w:t>
      </w:r>
      <w:r>
        <w:rPr>
          <w:rFonts w:hint="default" w:ascii="仿宋_GB2312" w:hAnsi="仿宋_GB2312" w:eastAsia="仿宋_GB2312" w:cs="仿宋_GB2312"/>
          <w:sz w:val="32"/>
          <w:szCs w:val="32"/>
          <w:highlight w:val="none"/>
          <w:lang w:val="en"/>
        </w:rPr>
        <w:t>131.91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000000"/>
          <w:sz w:val="32"/>
          <w:szCs w:val="32"/>
          <w:highlight w:val="none"/>
          <w:lang w:eastAsia="zh-CN"/>
        </w:rPr>
        <w:t>养老保险基数增加</w:t>
      </w:r>
      <w:r>
        <w:rPr>
          <w:rFonts w:hint="eastAsia" w:ascii="仿宋_GB2312" w:hAnsi="仿宋_GB2312" w:eastAsia="仿宋_GB2312" w:cs="仿宋_GB2312"/>
          <w:color w:val="000000"/>
          <w:sz w:val="32"/>
          <w:szCs w:val="32"/>
          <w:highlight w:val="none"/>
        </w:rPr>
        <w:t>。</w:t>
      </w:r>
    </w:p>
    <w:p>
      <w:pPr>
        <w:widowControl/>
        <w:shd w:val="clear" w:color="auto" w:fill="auto"/>
        <w:spacing w:line="590" w:lineRule="exact"/>
        <w:ind w:firstLine="643" w:firstLineChars="200"/>
        <w:rPr>
          <w:rFonts w:hint="eastAsia" w:ascii="仿宋_GB2312" w:hAnsi="仿宋_GB2312" w:eastAsia="仿宋_GB2312" w:cs="仿宋_GB2312"/>
          <w:color w:val="0000FF"/>
          <w:sz w:val="32"/>
          <w:szCs w:val="32"/>
          <w:highlight w:val="none"/>
        </w:rPr>
      </w:pPr>
      <w:r>
        <w:rPr>
          <w:rFonts w:hint="default" w:ascii="仿宋_GB2312" w:hAnsi="仿宋_GB2312" w:eastAsia="仿宋_GB2312" w:cs="仿宋_GB2312"/>
          <w:b/>
          <w:bCs/>
          <w:sz w:val="32"/>
          <w:szCs w:val="32"/>
          <w:highlight w:val="none"/>
          <w:lang w:val="en"/>
        </w:rPr>
        <w:t>5</w:t>
      </w:r>
      <w:r>
        <w:rPr>
          <w:rFonts w:hint="eastAsia" w:ascii="仿宋_GB2312" w:hAnsi="仿宋_GB2312" w:eastAsia="仿宋_GB2312" w:cs="仿宋_GB2312"/>
          <w:b/>
          <w:bCs/>
          <w:sz w:val="32"/>
          <w:szCs w:val="32"/>
          <w:highlight w:val="none"/>
        </w:rPr>
        <w:t>．社会保障和就业支出（类）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20.11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000000"/>
          <w:sz w:val="32"/>
          <w:szCs w:val="32"/>
          <w:highlight w:val="none"/>
          <w:lang w:eastAsia="zh-CN"/>
        </w:rPr>
        <w:t>离休人员去世</w:t>
      </w:r>
      <w:r>
        <w:rPr>
          <w:rFonts w:hint="eastAsia" w:ascii="仿宋_GB2312" w:hAnsi="仿宋_GB2312" w:eastAsia="仿宋_GB2312" w:cs="仿宋_GB2312"/>
          <w:color w:val="000000"/>
          <w:sz w:val="32"/>
          <w:szCs w:val="32"/>
          <w:highlight w:val="none"/>
        </w:rPr>
        <w:t>。</w:t>
      </w:r>
    </w:p>
    <w:p>
      <w:pPr>
        <w:widowControl/>
        <w:shd w:val="clear" w:color="auto" w:fill="auto"/>
        <w:spacing w:line="59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6．社会保障和就业支出（类）临时救助（款）临时救助支出（项）。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color w:val="000000"/>
          <w:sz w:val="32"/>
          <w:szCs w:val="32"/>
          <w:highlight w:val="none"/>
          <w:lang w:val="en-US" w:eastAsia="zh-CN"/>
        </w:rPr>
        <w:t>.18</w:t>
      </w:r>
      <w:r>
        <w:rPr>
          <w:rFonts w:hint="eastAsia" w:ascii="仿宋_GB2312" w:hAnsi="仿宋_GB2312" w:eastAsia="仿宋_GB2312" w:cs="仿宋_GB2312"/>
          <w:color w:val="000000"/>
          <w:sz w:val="32"/>
          <w:szCs w:val="32"/>
          <w:highlight w:val="none"/>
        </w:rPr>
        <w:t>万元，决算数与年初预算数存在差异的主要原因是</w:t>
      </w:r>
      <w:r>
        <w:rPr>
          <w:rFonts w:hint="eastAsia" w:ascii="仿宋_GB2312" w:hAnsi="仿宋_GB2312" w:eastAsia="仿宋_GB2312" w:cs="仿宋_GB2312"/>
          <w:color w:val="000000"/>
          <w:sz w:val="32"/>
          <w:szCs w:val="32"/>
          <w:highlight w:val="none"/>
          <w:lang w:eastAsia="zh-CN"/>
        </w:rPr>
        <w:t>年中收到专项资金慰问困境儿童</w:t>
      </w:r>
      <w:r>
        <w:rPr>
          <w:rFonts w:hint="eastAsia" w:ascii="仿宋_GB2312" w:hAnsi="仿宋_GB2312" w:eastAsia="仿宋_GB2312" w:cs="仿宋_GB2312"/>
          <w:color w:val="000000"/>
          <w:sz w:val="32"/>
          <w:szCs w:val="32"/>
          <w:highlight w:val="none"/>
        </w:rPr>
        <w:t>。</w:t>
      </w:r>
    </w:p>
    <w:p>
      <w:pPr>
        <w:widowControl/>
        <w:shd w:val="clear" w:color="auto" w:fill="auto"/>
        <w:spacing w:line="59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sz w:val="32"/>
          <w:szCs w:val="32"/>
          <w:highlight w:val="none"/>
        </w:rPr>
        <w:t>7．卫生健康支出（类）行政事业单位医疗（款）行政单位医疗（项）。</w:t>
      </w:r>
      <w:r>
        <w:rPr>
          <w:rFonts w:hint="eastAsia" w:ascii="仿宋_GB2312" w:hAnsi="仿宋_GB2312" w:eastAsia="仿宋_GB2312" w:cs="仿宋_GB2312"/>
          <w:sz w:val="32"/>
          <w:szCs w:val="32"/>
          <w:highlight w:val="none"/>
        </w:rPr>
        <w:t>年初预算为6.</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58.19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lang w:eastAsia="zh-CN"/>
        </w:rPr>
        <w:t>决算数与年初预算数存在差异的主要原因是调整医疗保险基数。</w:t>
      </w:r>
    </w:p>
    <w:p>
      <w:pPr>
        <w:widowControl/>
        <w:shd w:val="clear" w:color="auto" w:fill="auto"/>
        <w:spacing w:line="59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8．卫生健康支出（类）行政事业单位医疗（款）公务员医疗补助（项）。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5.99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8.47</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141.4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决算数与年初预算数存在差异的主要原因是</w:t>
      </w:r>
      <w:r>
        <w:rPr>
          <w:rFonts w:hint="eastAsia" w:ascii="仿宋_GB2312" w:hAnsi="仿宋_GB2312" w:eastAsia="仿宋_GB2312" w:cs="仿宋_GB2312"/>
          <w:color w:val="000000"/>
          <w:sz w:val="32"/>
          <w:szCs w:val="32"/>
          <w:highlight w:val="none"/>
          <w:lang w:eastAsia="zh-CN"/>
        </w:rPr>
        <w:t>使用以前年度结转资金</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2021年度一般公共预算财政拨款基本支出327.17万元。其中：人员经费297.16万元，主要包括：基本工资、津贴补贴、奖金、机关事业单位基本养老保险缴费、</w:t>
      </w:r>
      <w:r>
        <w:rPr>
          <w:rFonts w:hint="eastAsia" w:ascii="仿宋_GB2312" w:hAnsi="仿宋_GB2312" w:eastAsia="仿宋_GB2312"/>
          <w:sz w:val="32"/>
          <w:szCs w:val="24"/>
          <w:lang w:val="en-US" w:eastAsia="zh-CN"/>
        </w:rPr>
        <w:t>职工基本</w:t>
      </w:r>
      <w:r>
        <w:rPr>
          <w:rFonts w:hint="eastAsia" w:ascii="仿宋_GB2312" w:hAnsi="仿宋_GB2312" w:eastAsia="仿宋_GB2312"/>
          <w:sz w:val="32"/>
          <w:szCs w:val="24"/>
          <w:lang w:val="en-US"/>
        </w:rPr>
        <w:t>医疗保险缴费、</w:t>
      </w:r>
      <w:r>
        <w:rPr>
          <w:rFonts w:hint="eastAsia" w:ascii="仿宋_GB2312" w:hAnsi="仿宋_GB2312" w:eastAsia="仿宋_GB2312"/>
          <w:sz w:val="32"/>
          <w:szCs w:val="24"/>
          <w:lang w:val="en-US" w:eastAsia="zh-CN"/>
        </w:rPr>
        <w:t>公务员医疗补助缴费、</w:t>
      </w:r>
      <w:r>
        <w:rPr>
          <w:rFonts w:hint="eastAsia" w:ascii="仿宋_GB2312" w:hAnsi="仿宋_GB2312" w:eastAsia="仿宋_GB2312"/>
          <w:sz w:val="32"/>
          <w:szCs w:val="24"/>
          <w:lang w:val="en-US"/>
        </w:rPr>
        <w:t>住房公积金、离休费、退休费</w:t>
      </w:r>
      <w:r>
        <w:rPr>
          <w:rFonts w:hint="eastAsia" w:ascii="仿宋_GB2312" w:hAnsi="仿宋_GB2312" w:eastAsia="仿宋_GB2312"/>
          <w:sz w:val="32"/>
          <w:szCs w:val="24"/>
          <w:lang w:val="en-US" w:eastAsia="zh-CN"/>
        </w:rPr>
        <w:t>、抚恤金等</w:t>
      </w:r>
      <w:r>
        <w:rPr>
          <w:rFonts w:hint="eastAsia" w:ascii="仿宋_GB2312" w:hAnsi="仿宋_GB2312" w:eastAsia="仿宋_GB2312"/>
          <w:sz w:val="32"/>
          <w:szCs w:val="24"/>
          <w:lang w:val="en-US"/>
        </w:rPr>
        <w:t>；公用经费30.01万元，主要包括：办公费、</w:t>
      </w:r>
      <w:r>
        <w:rPr>
          <w:rFonts w:hint="eastAsia" w:ascii="仿宋_GB2312" w:hAnsi="仿宋_GB2312" w:eastAsia="仿宋_GB2312"/>
          <w:sz w:val="32"/>
          <w:szCs w:val="24"/>
          <w:lang w:val="en-US" w:eastAsia="zh-CN"/>
        </w:rPr>
        <w:t>印刷费</w:t>
      </w:r>
      <w:r>
        <w:rPr>
          <w:rFonts w:hint="eastAsia" w:ascii="仿宋_GB2312" w:hAnsi="仿宋_GB2312" w:eastAsia="仿宋_GB2312"/>
          <w:sz w:val="32"/>
          <w:szCs w:val="24"/>
          <w:lang w:val="en-US"/>
        </w:rPr>
        <w:t>、邮电费、</w:t>
      </w:r>
      <w:r>
        <w:rPr>
          <w:rFonts w:hint="eastAsia" w:ascii="仿宋_GB2312" w:hAnsi="仿宋_GB2312" w:eastAsia="仿宋_GB2312"/>
          <w:sz w:val="32"/>
          <w:szCs w:val="24"/>
          <w:lang w:val="en-US" w:eastAsia="zh-CN"/>
        </w:rPr>
        <w:t>培训费、其他交通费、</w:t>
      </w:r>
      <w:r>
        <w:rPr>
          <w:rFonts w:hint="eastAsia" w:ascii="仿宋_GB2312" w:hAnsi="仿宋_GB2312" w:eastAsia="仿宋_GB2312"/>
          <w:sz w:val="32"/>
          <w:szCs w:val="24"/>
          <w:lang w:val="en-US"/>
        </w:rPr>
        <w:t>公务用车运行维护费、工会经费</w:t>
      </w:r>
      <w:r>
        <w:rPr>
          <w:rFonts w:hint="eastAsia" w:ascii="仿宋_GB2312" w:hAnsi="仿宋_GB2312" w:eastAsia="仿宋_GB2312"/>
          <w:sz w:val="32"/>
          <w:szCs w:val="24"/>
          <w:lang w:val="en-US" w:eastAsia="zh-CN"/>
        </w:rPr>
        <w:t>、福利费</w:t>
      </w:r>
      <w:r>
        <w:rPr>
          <w:rFonts w:hint="eastAsia" w:ascii="仿宋_GB2312" w:hAnsi="仿宋_GB2312" w:eastAsia="仿宋_GB2312"/>
          <w:sz w:val="32"/>
          <w:szCs w:val="24"/>
          <w:lang w:val="en-US"/>
        </w:rPr>
        <w:t>等。</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hd w:val="clear" w:color="auto" w:fill="auto"/>
        <w:spacing w:line="590" w:lineRule="exact"/>
        <w:ind w:firstLine="640" w:firstLineChars="20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w:t>
      </w:r>
      <w:r>
        <w:rPr>
          <w:rFonts w:hint="eastAsia" w:ascii="仿宋_GB2312" w:hAnsi="仿宋_GB2312" w:eastAsia="仿宋_GB2312"/>
          <w:sz w:val="32"/>
          <w:szCs w:val="24"/>
          <w:lang w:val="en-US" w:eastAsia="zh-CN"/>
        </w:rPr>
        <w:t>4.00</w:t>
      </w:r>
      <w:r>
        <w:rPr>
          <w:rFonts w:hint="eastAsia" w:ascii="仿宋_GB2312" w:hAnsi="仿宋_GB2312" w:eastAsia="仿宋_GB2312"/>
          <w:sz w:val="32"/>
          <w:szCs w:val="24"/>
          <w:lang w:val="en-US"/>
        </w:rPr>
        <w:t>万元，支出决算为0.15万元，完成预算的3.</w:t>
      </w:r>
      <w:r>
        <w:rPr>
          <w:rFonts w:hint="eastAsia" w:ascii="仿宋_GB2312" w:hAnsi="仿宋_GB2312" w:eastAsia="仿宋_GB2312"/>
          <w:sz w:val="32"/>
          <w:szCs w:val="24"/>
          <w:lang w:val="en-US" w:eastAsia="zh-CN"/>
        </w:rPr>
        <w:t>75</w:t>
      </w: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sz w:val="32"/>
          <w:szCs w:val="24"/>
          <w:lang w:val="en-US" w:eastAsia="zh-CN"/>
        </w:rPr>
        <w:t>厉行节约，</w:t>
      </w:r>
      <w:r>
        <w:rPr>
          <w:rFonts w:hint="eastAsia" w:ascii="仿宋_GB2312" w:hAnsi="仿宋_GB2312" w:eastAsia="仿宋_GB2312" w:cs="仿宋_GB2312"/>
          <w:sz w:val="32"/>
          <w:szCs w:val="32"/>
          <w:highlight w:val="none"/>
          <w:lang w:eastAsia="zh-CN"/>
        </w:rPr>
        <w:t>压缩</w:t>
      </w:r>
      <w:r>
        <w:rPr>
          <w:rFonts w:hint="eastAsia" w:ascii="仿宋_GB2312" w:hAnsi="仿宋_GB2312" w:eastAsia="仿宋_GB2312" w:cs="仿宋_GB2312"/>
          <w:sz w:val="32"/>
          <w:szCs w:val="32"/>
          <w:highlight w:val="none"/>
        </w:rPr>
        <w:t>“三公”经费支出。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经费财政拨款支出决算中，因公出国（境）费支出决算0万元，占0%；公务用车购置及运行费支出决算0.15万元，完成预算的3.</w:t>
      </w:r>
      <w:r>
        <w:rPr>
          <w:rFonts w:hint="eastAsia" w:ascii="仿宋_GB2312" w:hAnsi="仿宋_GB2312" w:eastAsia="仿宋_GB2312"/>
          <w:sz w:val="32"/>
          <w:szCs w:val="24"/>
          <w:lang w:val="en-US" w:eastAsia="zh-CN"/>
        </w:rPr>
        <w:t>75</w:t>
      </w:r>
      <w:r>
        <w:rPr>
          <w:rFonts w:hint="eastAsia" w:ascii="仿宋_GB2312" w:hAnsi="仿宋_GB2312" w:eastAsia="仿宋_GB2312"/>
          <w:sz w:val="32"/>
          <w:szCs w:val="24"/>
          <w:lang w:val="en-US"/>
        </w:rPr>
        <w:t>%，占100%；公务接待费支出决算0万元，占0%；具体情况如下：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预算为0万元，支出决算为0万元。决算数与预算数不存在差异。因公出国（境）团组数0个，因公出国（境）人次数0人。</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2．公务用车购置及运行费</w:t>
      </w:r>
      <w:r>
        <w:rPr>
          <w:rFonts w:hint="eastAsia" w:ascii="仿宋_GB2312" w:hAnsi="仿宋_GB2312" w:eastAsia="仿宋_GB2312"/>
          <w:sz w:val="32"/>
          <w:szCs w:val="24"/>
          <w:lang w:val="en-US"/>
        </w:rPr>
        <w:t>预算为4万元，支出决算为0.15万元，完成年初预算的3.</w:t>
      </w:r>
      <w:r>
        <w:rPr>
          <w:rFonts w:hint="eastAsia" w:ascii="仿宋_GB2312" w:hAnsi="仿宋_GB2312" w:eastAsia="仿宋_GB2312"/>
          <w:sz w:val="32"/>
          <w:szCs w:val="24"/>
          <w:lang w:val="en-US" w:eastAsia="zh-CN"/>
        </w:rPr>
        <w:t>75</w:t>
      </w:r>
      <w:r>
        <w:rPr>
          <w:rFonts w:hint="eastAsia" w:ascii="仿宋_GB2312" w:hAnsi="仿宋_GB2312" w:eastAsia="仿宋_GB2312"/>
          <w:sz w:val="32"/>
          <w:szCs w:val="24"/>
          <w:lang w:val="en-US"/>
        </w:rPr>
        <w:t>%，决算数与年初预算数存在差异的主要原因是</w:t>
      </w:r>
      <w:r>
        <w:rPr>
          <w:rFonts w:hint="eastAsia" w:ascii="仿宋_GB2312" w:hAnsi="仿宋_GB2312" w:eastAsia="仿宋_GB2312" w:cs="仿宋_GB2312"/>
          <w:sz w:val="32"/>
          <w:szCs w:val="32"/>
          <w:highlight w:val="none"/>
          <w:lang w:eastAsia="zh-CN"/>
        </w:rPr>
        <w:t>压缩公务用车运行费</w:t>
      </w:r>
      <w:r>
        <w:rPr>
          <w:rFonts w:hint="eastAsia" w:ascii="仿宋_GB2312" w:hAnsi="仿宋_GB2312" w:eastAsia="仿宋_GB2312"/>
          <w:sz w:val="32"/>
          <w:szCs w:val="24"/>
          <w:lang w:val="en-US"/>
        </w:rPr>
        <w:t>。其中：</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公务用车购置支出</w:t>
      </w:r>
      <w:r>
        <w:rPr>
          <w:rFonts w:hint="eastAsia" w:ascii="仿宋_GB2312" w:hAnsi="仿宋_GB2312" w:eastAsia="仿宋_GB2312"/>
          <w:sz w:val="32"/>
          <w:szCs w:val="24"/>
          <w:lang w:val="en-US"/>
        </w:rPr>
        <w:t>0万元，购置车辆</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台。</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公务用车运行支出</w:t>
      </w:r>
      <w:r>
        <w:rPr>
          <w:rFonts w:hint="eastAsia" w:ascii="仿宋_GB2312" w:hAnsi="仿宋_GB2312" w:eastAsia="仿宋_GB2312"/>
          <w:sz w:val="32"/>
          <w:szCs w:val="24"/>
          <w:lang w:val="en-US"/>
        </w:rPr>
        <w:t>0.15万元。主要用于</w:t>
      </w:r>
      <w:r>
        <w:rPr>
          <w:rFonts w:hint="eastAsia" w:ascii="仿宋_GB2312" w:hAnsi="仿宋_GB2312" w:eastAsia="仿宋_GB2312" w:cs="仿宋_GB2312"/>
          <w:sz w:val="32"/>
          <w:szCs w:val="32"/>
          <w:highlight w:val="none"/>
        </w:rPr>
        <w:t>支付车辆保险费</w:t>
      </w:r>
      <w:r>
        <w:rPr>
          <w:rFonts w:hint="eastAsia" w:ascii="仿宋_GB2312" w:hAnsi="仿宋_GB2312" w:eastAsia="仿宋_GB2312"/>
          <w:sz w:val="32"/>
          <w:szCs w:val="24"/>
          <w:lang w:val="en-US"/>
        </w:rPr>
        <w:t>。2021年期末，</w:t>
      </w:r>
      <w:r>
        <w:rPr>
          <w:rFonts w:hint="eastAsia" w:ascii="仿宋_GB2312" w:hAnsi="仿宋_GB2312" w:eastAsia="仿宋_GB2312"/>
          <w:sz w:val="32"/>
          <w:szCs w:val="24"/>
          <w:lang w:val="en-US" w:eastAsia="zh-CN"/>
        </w:rPr>
        <w:t>部门</w:t>
      </w:r>
      <w:r>
        <w:rPr>
          <w:rFonts w:hint="eastAsia" w:ascii="仿宋_GB2312" w:hAnsi="仿宋_GB2312" w:eastAsia="仿宋_GB2312"/>
          <w:sz w:val="32"/>
          <w:szCs w:val="24"/>
          <w:lang w:val="en-US"/>
        </w:rPr>
        <w:t>开支财政拨款的公务用车保有量为</w:t>
      </w:r>
      <w:r>
        <w:rPr>
          <w:rFonts w:hint="eastAsia" w:ascii="仿宋_GB2312" w:hAnsi="仿宋_GB2312" w:eastAsia="仿宋_GB2312"/>
          <w:sz w:val="32"/>
          <w:szCs w:val="24"/>
          <w:lang w:val="en-US" w:eastAsia="zh-CN"/>
        </w:rPr>
        <w:t>1辆</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b/>
          <w:sz w:val="32"/>
          <w:szCs w:val="24"/>
          <w:lang w:val="en-US"/>
        </w:rPr>
        <w:t>3.公务接待费</w:t>
      </w:r>
      <w:r>
        <w:rPr>
          <w:rFonts w:hint="eastAsia" w:ascii="仿宋_GB2312" w:hAnsi="仿宋_GB2312" w:eastAsia="仿宋_GB2312"/>
          <w:sz w:val="32"/>
          <w:szCs w:val="24"/>
          <w:lang w:val="en-US"/>
        </w:rPr>
        <w:t>预算为0万元，支出决算为0万元。</w:t>
      </w:r>
      <w:r>
        <w:rPr>
          <w:rFonts w:hint="eastAsia" w:ascii="仿宋_GB2312" w:hAnsi="仿宋_GB2312" w:eastAsia="仿宋_GB2312" w:cs="仿宋_GB2312"/>
          <w:color w:val="auto"/>
          <w:sz w:val="32"/>
          <w:szCs w:val="32"/>
          <w:highlight w:val="none"/>
          <w:lang w:val="en-US" w:eastAsia="zh-CN"/>
        </w:rPr>
        <w:t>2021年共接待国内来访团组0个、来宾0人次（不包括陪同人员）。</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Times New Roman" w:hAnsi="Times New Roman" w:eastAsia="Times New Roman"/>
          <w:kern w:val="0"/>
          <w:sz w:val="18"/>
          <w:szCs w:val="24"/>
          <w:lang w:val="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。情况说明：我部门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2021年度机关运行经费</w:t>
      </w:r>
      <w:r>
        <w:rPr>
          <w:rFonts w:hint="eastAsia" w:ascii="仿宋_GB2312" w:hAnsi="仿宋_GB2312" w:eastAsia="仿宋_GB2312"/>
          <w:sz w:val="32"/>
          <w:szCs w:val="24"/>
          <w:lang w:val="en-US" w:eastAsia="zh-CN"/>
        </w:rPr>
        <w:t>年初</w:t>
      </w:r>
      <w:r>
        <w:rPr>
          <w:rFonts w:hint="eastAsia" w:ascii="仿宋_GB2312" w:hAnsi="仿宋_GB2312" w:eastAsia="仿宋_GB2312"/>
          <w:sz w:val="32"/>
          <w:szCs w:val="24"/>
          <w:lang w:val="en-US"/>
        </w:rPr>
        <w:t>预算为</w:t>
      </w:r>
      <w:r>
        <w:rPr>
          <w:rFonts w:hint="eastAsia" w:ascii="仿宋_GB2312" w:hAnsi="仿宋_GB2312" w:eastAsia="仿宋_GB2312"/>
          <w:sz w:val="32"/>
          <w:szCs w:val="24"/>
          <w:lang w:val="en-US" w:eastAsia="zh-CN"/>
        </w:rPr>
        <w:t>30.01</w:t>
      </w:r>
      <w:r>
        <w:rPr>
          <w:rFonts w:hint="eastAsia" w:ascii="仿宋_GB2312" w:hAnsi="仿宋_GB2312" w:eastAsia="仿宋_GB2312"/>
          <w:sz w:val="32"/>
          <w:szCs w:val="24"/>
          <w:lang w:val="en-US"/>
        </w:rPr>
        <w:t>万元，支出决算为30.01万元，完成年初预算的</w:t>
      </w:r>
      <w:r>
        <w:rPr>
          <w:rFonts w:hint="eastAsia" w:ascii="仿宋_GB2312" w:hAnsi="仿宋_GB2312" w:eastAsia="仿宋_GB2312"/>
          <w:sz w:val="32"/>
          <w:szCs w:val="24"/>
          <w:lang w:val="en-US" w:eastAsia="zh-CN"/>
        </w:rPr>
        <w:t>100</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不存在差异。</w:t>
      </w:r>
      <w:bookmarkStart w:id="0" w:name="_GoBack"/>
      <w:bookmarkEnd w:id="0"/>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color w:val="auto"/>
          <w:sz w:val="32"/>
          <w:szCs w:val="32"/>
          <w:highlight w:val="none"/>
        </w:rPr>
        <w:t>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spacing w:beforeLines="0" w:afterLines="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妇女联合会对本部门整体绩效目标和项目支出绩效目标进行了自评。一是许昌市妇女联合会整体绩效自评情况良好，部门资金全部到位，资金管理情况良好，能够按照预期要求完成支付，财务制度健全，会计核算规范，部门整体绩效自评得分98分。二是项目绩效自评情况。我部门共有1个项目批复了绩效目标，项目金额18.18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p>
    <w:pPr>
      <w:pStyle w:val="5"/>
      <w:pBdr>
        <w:bottom w:val="none" w:color="auto" w:sz="0" w:space="1"/>
      </w:pBdr>
      <w:tabs>
        <w:tab w:val="left" w:pos="2151"/>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0F11372"/>
    <w:rsid w:val="07675A5B"/>
    <w:rsid w:val="0B3807DB"/>
    <w:rsid w:val="18C71CBA"/>
    <w:rsid w:val="1AF7E13C"/>
    <w:rsid w:val="1B5F76AA"/>
    <w:rsid w:val="1D5BB121"/>
    <w:rsid w:val="1F2910DE"/>
    <w:rsid w:val="1F697CE7"/>
    <w:rsid w:val="1FDF6B76"/>
    <w:rsid w:val="1FFFB791"/>
    <w:rsid w:val="28034C6D"/>
    <w:rsid w:val="2F8FFBE9"/>
    <w:rsid w:val="2FAB36E3"/>
    <w:rsid w:val="31E817F5"/>
    <w:rsid w:val="33770DB5"/>
    <w:rsid w:val="34474001"/>
    <w:rsid w:val="345F6348"/>
    <w:rsid w:val="35215704"/>
    <w:rsid w:val="37E3257D"/>
    <w:rsid w:val="3A7D4CD7"/>
    <w:rsid w:val="405A6B30"/>
    <w:rsid w:val="40A37834"/>
    <w:rsid w:val="42193BEE"/>
    <w:rsid w:val="4A9B5A20"/>
    <w:rsid w:val="4F2D64ED"/>
    <w:rsid w:val="567B377A"/>
    <w:rsid w:val="5B7F3FEF"/>
    <w:rsid w:val="5C6456C8"/>
    <w:rsid w:val="5C8F5B1F"/>
    <w:rsid w:val="5E782E32"/>
    <w:rsid w:val="5F753724"/>
    <w:rsid w:val="5F9C7D2B"/>
    <w:rsid w:val="5FEB94EC"/>
    <w:rsid w:val="65DE1515"/>
    <w:rsid w:val="67E92CE5"/>
    <w:rsid w:val="68B96828"/>
    <w:rsid w:val="6A221A6D"/>
    <w:rsid w:val="6B1F4904"/>
    <w:rsid w:val="6DD325FA"/>
    <w:rsid w:val="6EF9A8F8"/>
    <w:rsid w:val="6FD5E787"/>
    <w:rsid w:val="6FFC0046"/>
    <w:rsid w:val="73E6E021"/>
    <w:rsid w:val="769F742F"/>
    <w:rsid w:val="76FF5F07"/>
    <w:rsid w:val="77FBB506"/>
    <w:rsid w:val="7A0B3779"/>
    <w:rsid w:val="7BB7D652"/>
    <w:rsid w:val="7DEA8B54"/>
    <w:rsid w:val="7DF76DC0"/>
    <w:rsid w:val="7E2DA77D"/>
    <w:rsid w:val="7F571F52"/>
    <w:rsid w:val="7FB70EA7"/>
    <w:rsid w:val="7FC53090"/>
    <w:rsid w:val="7FFB4784"/>
    <w:rsid w:val="7FFF7F62"/>
    <w:rsid w:val="8FFF807D"/>
    <w:rsid w:val="92FFCEA0"/>
    <w:rsid w:val="9F74A5BE"/>
    <w:rsid w:val="A37BC57E"/>
    <w:rsid w:val="A5FE4E40"/>
    <w:rsid w:val="B1B5003E"/>
    <w:rsid w:val="BD5670D7"/>
    <w:rsid w:val="BF2F3BEC"/>
    <w:rsid w:val="BF6DE086"/>
    <w:rsid w:val="BFEB0F72"/>
    <w:rsid w:val="BFEF37BC"/>
    <w:rsid w:val="C67E9285"/>
    <w:rsid w:val="CD7D2E6E"/>
    <w:rsid w:val="D4B047AE"/>
    <w:rsid w:val="DDE754D7"/>
    <w:rsid w:val="DF3FF5DC"/>
    <w:rsid w:val="DFFFA2BB"/>
    <w:rsid w:val="EBEF2A46"/>
    <w:rsid w:val="EDF9F0C7"/>
    <w:rsid w:val="EFDEC463"/>
    <w:rsid w:val="F3FB9E92"/>
    <w:rsid w:val="F6FBE37A"/>
    <w:rsid w:val="F7BCF1D6"/>
    <w:rsid w:val="F97F3CB0"/>
    <w:rsid w:val="FC6F5F89"/>
    <w:rsid w:val="FE9FA8DE"/>
    <w:rsid w:val="FEF73D85"/>
    <w:rsid w:val="FFC7A573"/>
    <w:rsid w:val="FFF592A2"/>
    <w:rsid w:val="FFFC2298"/>
    <w:rsid w:val="FFFE0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Char Char"/>
    <w:link w:val="3"/>
    <w:qFormat/>
    <w:uiPriority w:val="99"/>
    <w:rPr>
      <w:kern w:val="2"/>
      <w:sz w:val="18"/>
      <w:szCs w:val="18"/>
    </w:rPr>
  </w:style>
  <w:style w:type="character" w:customStyle="1" w:styleId="11">
    <w:name w:val="页脚 Char Char Char"/>
    <w:link w:val="4"/>
    <w:qFormat/>
    <w:uiPriority w:val="99"/>
    <w:rPr>
      <w:kern w:val="2"/>
      <w:sz w:val="18"/>
      <w:szCs w:val="18"/>
    </w:rPr>
  </w:style>
  <w:style w:type="character" w:customStyle="1" w:styleId="12">
    <w:name w:val="页眉 Char Char Char"/>
    <w:link w:val="5"/>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7662</Words>
  <Characters>9326</Characters>
  <Lines>60</Lines>
  <Paragraphs>16</Paragraphs>
  <TotalTime>0</TotalTime>
  <ScaleCrop>false</ScaleCrop>
  <LinksUpToDate>false</LinksUpToDate>
  <CharactersWithSpaces>9634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2007-12-03T03:41:00Z</dcterms:created>
  <dc:creator>管理者</dc:creator>
  <cp:lastModifiedBy>Administrator</cp:lastModifiedBy>
  <cp:lastPrinted>2022-09-16T15:28:00Z</cp:lastPrinted>
  <dcterms:modified xsi:type="dcterms:W3CDTF">2023-05-19T03:15:53Z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E1251A1AC5254AA6862BAD40A2279C18</vt:lpwstr>
  </property>
</Properties>
</file>